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76A17" w14:textId="77777777" w:rsidR="008B2CC1" w:rsidRPr="00C930E2" w:rsidRDefault="0040540C" w:rsidP="00897816">
      <w:pPr>
        <w:pBdr>
          <w:bottom w:val="single" w:sz="4" w:space="11" w:color="auto"/>
        </w:pBdr>
        <w:spacing w:after="120"/>
        <w:jc w:val="right"/>
      </w:pPr>
      <w:r w:rsidRPr="00C930E2">
        <w:rPr>
          <w:noProof/>
          <w:lang w:val="en-US" w:eastAsia="en-US"/>
        </w:rPr>
        <w:drawing>
          <wp:inline distT="0" distB="0" distL="0" distR="0" wp14:anchorId="217628C8" wp14:editId="4D074C1C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BDB5" w14:textId="77777777" w:rsidR="00B1090C" w:rsidRPr="00C930E2" w:rsidRDefault="00897816" w:rsidP="0040540C">
      <w:pPr>
        <w:jc w:val="right"/>
        <w:rPr>
          <w:rFonts w:ascii="Arial Black" w:hAnsi="Arial Black"/>
          <w:caps/>
          <w:sz w:val="15"/>
        </w:rPr>
      </w:pPr>
      <w:r w:rsidRPr="00C930E2">
        <w:rPr>
          <w:rFonts w:ascii="Arial Black" w:hAnsi="Arial Black"/>
          <w:caps/>
          <w:sz w:val="15"/>
        </w:rPr>
        <w:t>CDIP/30/</w:t>
      </w:r>
      <w:bookmarkStart w:id="0" w:name="Code"/>
      <w:bookmarkEnd w:id="0"/>
      <w:r w:rsidRPr="00C930E2">
        <w:rPr>
          <w:rFonts w:ascii="Arial Black" w:hAnsi="Arial Black"/>
          <w:caps/>
          <w:sz w:val="15"/>
        </w:rPr>
        <w:t>9</w:t>
      </w:r>
    </w:p>
    <w:p w14:paraId="2693C24A" w14:textId="46768368" w:rsidR="008B2CC1" w:rsidRPr="00C930E2" w:rsidRDefault="00B1090C" w:rsidP="0040540C">
      <w:pPr>
        <w:jc w:val="right"/>
        <w:rPr>
          <w:rFonts w:ascii="Arial Black" w:hAnsi="Arial Black"/>
          <w:sz w:val="15"/>
          <w:szCs w:val="15"/>
        </w:rPr>
      </w:pPr>
      <w:r w:rsidRPr="00C930E2">
        <w:rPr>
          <w:rFonts w:ascii="Arial Black" w:hAnsi="Arial Black"/>
          <w:caps/>
          <w:sz w:val="15"/>
        </w:rPr>
        <w:t>ORIGINAL</w:t>
      </w:r>
      <w:r w:rsidR="003F440A" w:rsidRPr="00C930E2">
        <w:rPr>
          <w:rFonts w:ascii="Arial Black" w:hAnsi="Arial Black"/>
          <w:caps/>
          <w:sz w:val="15"/>
        </w:rPr>
        <w:t> :</w:t>
      </w:r>
      <w:r w:rsidRPr="00C930E2">
        <w:rPr>
          <w:rFonts w:ascii="Arial Black" w:hAnsi="Arial Black"/>
          <w:caps/>
          <w:sz w:val="15"/>
        </w:rPr>
        <w:t xml:space="preserve"> </w:t>
      </w:r>
      <w:bookmarkStart w:id="1" w:name="Original"/>
      <w:r w:rsidRPr="00C930E2">
        <w:rPr>
          <w:rFonts w:ascii="Arial Black" w:hAnsi="Arial Black"/>
          <w:caps/>
          <w:sz w:val="15"/>
        </w:rPr>
        <w:t>anglais</w:t>
      </w:r>
    </w:p>
    <w:bookmarkEnd w:id="1"/>
    <w:p w14:paraId="0D915C30" w14:textId="3D96DDD6" w:rsidR="008B2CC1" w:rsidRPr="00C930E2" w:rsidRDefault="00B1090C" w:rsidP="00B1090C">
      <w:pPr>
        <w:spacing w:after="1200"/>
        <w:jc w:val="right"/>
        <w:rPr>
          <w:rFonts w:ascii="Arial Black" w:hAnsi="Arial Black"/>
          <w:sz w:val="15"/>
          <w:szCs w:val="15"/>
        </w:rPr>
      </w:pPr>
      <w:r w:rsidRPr="00C930E2">
        <w:rPr>
          <w:rFonts w:ascii="Arial Black" w:hAnsi="Arial Black"/>
          <w:caps/>
          <w:sz w:val="15"/>
        </w:rPr>
        <w:t>DATE</w:t>
      </w:r>
      <w:r w:rsidR="003F440A" w:rsidRPr="00C930E2">
        <w:rPr>
          <w:rFonts w:ascii="Arial Black" w:hAnsi="Arial Black"/>
          <w:caps/>
          <w:sz w:val="15"/>
        </w:rPr>
        <w:t> :</w:t>
      </w:r>
      <w:r w:rsidRPr="00C930E2">
        <w:rPr>
          <w:rFonts w:ascii="Arial Black" w:hAnsi="Arial Black"/>
          <w:caps/>
          <w:sz w:val="15"/>
        </w:rPr>
        <w:t xml:space="preserve"> </w:t>
      </w:r>
      <w:bookmarkStart w:id="2" w:name="Date"/>
      <w:r w:rsidRPr="00C930E2">
        <w:rPr>
          <w:rFonts w:ascii="Arial Black" w:hAnsi="Arial Black"/>
          <w:caps/>
          <w:sz w:val="15"/>
        </w:rPr>
        <w:t>27 février 2023</w:t>
      </w:r>
    </w:p>
    <w:bookmarkEnd w:id="2"/>
    <w:p w14:paraId="1C8A65F8" w14:textId="454150E1" w:rsidR="003845C1" w:rsidRPr="00C930E2" w:rsidRDefault="001060FF" w:rsidP="00737574">
      <w:pPr>
        <w:spacing w:after="600"/>
        <w:rPr>
          <w:b/>
          <w:sz w:val="28"/>
          <w:szCs w:val="28"/>
        </w:rPr>
      </w:pPr>
      <w:r w:rsidRPr="00C930E2">
        <w:rPr>
          <w:b/>
          <w:sz w:val="28"/>
        </w:rPr>
        <w:t>Comité du développement et de la propriété intellectuelle</w:t>
      </w:r>
      <w:r w:rsidR="00C930E2">
        <w:rPr>
          <w:b/>
          <w:sz w:val="28"/>
        </w:rPr>
        <w:t> </w:t>
      </w:r>
      <w:r w:rsidRPr="00C930E2">
        <w:rPr>
          <w:b/>
          <w:sz w:val="28"/>
        </w:rPr>
        <w:t>(CDIP)</w:t>
      </w:r>
    </w:p>
    <w:p w14:paraId="0476AE58" w14:textId="69915717" w:rsidR="00FE19E9" w:rsidRPr="00C930E2" w:rsidRDefault="00897816" w:rsidP="00FE19E9">
      <w:pPr>
        <w:outlineLvl w:val="1"/>
        <w:rPr>
          <w:b/>
          <w:sz w:val="24"/>
          <w:szCs w:val="24"/>
        </w:rPr>
      </w:pPr>
      <w:r w:rsidRPr="00C930E2">
        <w:rPr>
          <w:b/>
          <w:sz w:val="24"/>
        </w:rPr>
        <w:t>Trent</w:t>
      </w:r>
      <w:r w:rsidR="003F440A" w:rsidRPr="00C930E2">
        <w:rPr>
          <w:b/>
          <w:sz w:val="24"/>
        </w:rPr>
        <w:t>ième session</w:t>
      </w:r>
    </w:p>
    <w:p w14:paraId="580B11E0" w14:textId="77777777" w:rsidR="008B2CC1" w:rsidRPr="003845C1" w:rsidRDefault="00897816" w:rsidP="001060FF">
      <w:pPr>
        <w:spacing w:after="720"/>
        <w:outlineLvl w:val="1"/>
        <w:rPr>
          <w:b/>
          <w:sz w:val="24"/>
          <w:szCs w:val="24"/>
        </w:rPr>
      </w:pPr>
      <w:r w:rsidRPr="00C930E2">
        <w:rPr>
          <w:b/>
          <w:sz w:val="24"/>
        </w:rPr>
        <w:t>Genève, 24 – 28 avril 2023</w:t>
      </w:r>
    </w:p>
    <w:p w14:paraId="3BB9A926" w14:textId="77C5670F" w:rsidR="00737574" w:rsidRPr="00A56F48" w:rsidRDefault="00C930E2" w:rsidP="00A56F48">
      <w:pPr>
        <w:spacing w:after="360"/>
        <w:rPr>
          <w:caps/>
          <w:sz w:val="24"/>
        </w:rPr>
      </w:pPr>
      <w:bookmarkStart w:id="3" w:name="Prepared"/>
      <w:bookmarkEnd w:id="3"/>
      <w:r w:rsidRPr="00A56F48">
        <w:rPr>
          <w:caps/>
          <w:sz w:val="24"/>
        </w:rPr>
        <w:t>Projet pilote sur l</w:t>
      </w:r>
      <w:r w:rsidR="003F440A" w:rsidRPr="00A56F48">
        <w:rPr>
          <w:caps/>
          <w:sz w:val="24"/>
        </w:rPr>
        <w:t>’</w:t>
      </w:r>
      <w:r w:rsidRPr="00A56F48">
        <w:rPr>
          <w:caps/>
          <w:sz w:val="24"/>
        </w:rPr>
        <w:t>exploration de textes et de données à l</w:t>
      </w:r>
      <w:r w:rsidR="003F440A" w:rsidRPr="00A56F48">
        <w:rPr>
          <w:caps/>
          <w:sz w:val="24"/>
        </w:rPr>
        <w:t>’</w:t>
      </w:r>
      <w:r w:rsidRPr="00A56F48">
        <w:rPr>
          <w:caps/>
          <w:sz w:val="24"/>
        </w:rPr>
        <w:t>appui de la recherche et de l</w:t>
      </w:r>
      <w:r w:rsidR="003F440A" w:rsidRPr="00A56F48">
        <w:rPr>
          <w:caps/>
          <w:sz w:val="24"/>
        </w:rPr>
        <w:t>’</w:t>
      </w:r>
      <w:r w:rsidRPr="00A56F48">
        <w:rPr>
          <w:caps/>
          <w:sz w:val="24"/>
        </w:rPr>
        <w:t>innovation dans les universités et autres établissements axés sur la recherche en Afrique</w:t>
      </w:r>
      <w:r w:rsidR="003F440A" w:rsidRPr="00A56F48">
        <w:rPr>
          <w:caps/>
          <w:sz w:val="24"/>
        </w:rPr>
        <w:t xml:space="preserve"> – </w:t>
      </w:r>
      <w:r w:rsidR="00A56F48" w:rsidRPr="00A56F48">
        <w:rPr>
          <w:caps/>
          <w:sz w:val="24"/>
        </w:rPr>
        <w:t>P</w:t>
      </w:r>
      <w:r w:rsidRPr="00A56F48">
        <w:rPr>
          <w:caps/>
          <w:sz w:val="24"/>
        </w:rPr>
        <w:t>roposition présentée par le groupe des pays africains</w:t>
      </w:r>
    </w:p>
    <w:p w14:paraId="5C9AEA6C" w14:textId="77777777" w:rsidR="00737574" w:rsidRPr="003F440A" w:rsidRDefault="00737574" w:rsidP="00737574">
      <w:pPr>
        <w:pStyle w:val="TableParagraph"/>
        <w:widowControl/>
        <w:spacing w:after="960"/>
        <w:rPr>
          <w:i/>
          <w:szCs w:val="24"/>
        </w:rPr>
      </w:pPr>
      <w:r>
        <w:rPr>
          <w:i/>
        </w:rPr>
        <w:t>Document établi par le Secrétariat</w:t>
      </w:r>
    </w:p>
    <w:p w14:paraId="7E981400" w14:textId="620DDD85" w:rsidR="003F440A" w:rsidRDefault="00737574" w:rsidP="00A56F48">
      <w:pPr>
        <w:pStyle w:val="ONUMFS"/>
      </w:pPr>
      <w:r>
        <w:t>Par une communication datée du 3 novembre 2022, la délégation de l</w:t>
      </w:r>
      <w:r w:rsidR="003F440A">
        <w:t>’</w:t>
      </w:r>
      <w:r>
        <w:t>Algérie, au nom du groupe des pays africains, a présenté une proposition de projet pilote portant sur l</w:t>
      </w:r>
      <w:r w:rsidR="003F440A">
        <w:t>’</w:t>
      </w:r>
      <w:r>
        <w:t xml:space="preserve">“Exploration de textes et de données </w:t>
      </w:r>
      <w:r w:rsidR="00E875E1">
        <w:t>à l</w:t>
      </w:r>
      <w:r w:rsidR="003F440A">
        <w:t>’</w:t>
      </w:r>
      <w:r w:rsidR="00E875E1">
        <w:t xml:space="preserve">appui de </w:t>
      </w:r>
      <w:r>
        <w:t xml:space="preserve">la recherche et </w:t>
      </w:r>
      <w:r w:rsidR="00E875E1">
        <w:t xml:space="preserve">de </w:t>
      </w:r>
      <w:r>
        <w:t>l</w:t>
      </w:r>
      <w:r w:rsidR="003F440A">
        <w:t>’</w:t>
      </w:r>
      <w:r>
        <w:t xml:space="preserve">innovation dans les universités et autres établissements </w:t>
      </w:r>
      <w:r w:rsidR="00B4503C">
        <w:t xml:space="preserve">axés sur </w:t>
      </w:r>
      <w:r>
        <w:t>la recherche en Afrique”, pour examen par le CDIP à sa trent</w:t>
      </w:r>
      <w:r w:rsidR="003F440A">
        <w:t>ième session</w:t>
      </w:r>
      <w:r>
        <w:t>.</w:t>
      </w:r>
    </w:p>
    <w:p w14:paraId="7341847F" w14:textId="2ACBB194" w:rsidR="003F440A" w:rsidRDefault="00737574" w:rsidP="00A56F48">
      <w:pPr>
        <w:pStyle w:val="ONUMFS"/>
      </w:pPr>
      <w:r>
        <w:t>L</w:t>
      </w:r>
      <w:r w:rsidR="003F440A">
        <w:t>’</w:t>
      </w:r>
      <w:r>
        <w:t>annexe du présent document contient ladite proposition, élaborée avec le concours du Secrétariat de l</w:t>
      </w:r>
      <w:r w:rsidR="003F440A">
        <w:t>’</w:t>
      </w:r>
      <w:r>
        <w:t>OMPI.</w:t>
      </w:r>
    </w:p>
    <w:p w14:paraId="3375D5FF" w14:textId="653E6787" w:rsidR="00737574" w:rsidRPr="00A56F48" w:rsidRDefault="00737574" w:rsidP="00A56F48">
      <w:pPr>
        <w:pStyle w:val="ONUMFS"/>
        <w:ind w:left="5533"/>
        <w:rPr>
          <w:i/>
          <w:szCs w:val="22"/>
        </w:rPr>
      </w:pPr>
      <w:r w:rsidRPr="00A56F48">
        <w:rPr>
          <w:i/>
        </w:rPr>
        <w:t>Le comité est invité à examiner l</w:t>
      </w:r>
      <w:r w:rsidR="003F440A" w:rsidRPr="00A56F48">
        <w:rPr>
          <w:i/>
        </w:rPr>
        <w:t>’</w:t>
      </w:r>
      <w:r w:rsidRPr="00A56F48">
        <w:rPr>
          <w:i/>
        </w:rPr>
        <w:t>annexe ci</w:t>
      </w:r>
      <w:r w:rsidR="00A56F48" w:rsidRPr="00A56F48">
        <w:rPr>
          <w:i/>
        </w:rPr>
        <w:noBreakHyphen/>
      </w:r>
      <w:r w:rsidRPr="00A56F48">
        <w:rPr>
          <w:i/>
        </w:rPr>
        <w:t>jointe.</w:t>
      </w:r>
    </w:p>
    <w:p w14:paraId="4A9F54DA" w14:textId="58E0AECD" w:rsidR="00737574" w:rsidRDefault="00737574" w:rsidP="00A56F48">
      <w:pPr>
        <w:pStyle w:val="Endofdocument-Annex"/>
        <w:spacing w:before="720"/>
        <w:rPr>
          <w:rFonts w:eastAsia="Arial"/>
          <w:szCs w:val="22"/>
        </w:rPr>
        <w:sectPr w:rsidR="00737574" w:rsidSect="007375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  <w:r>
        <w:t>[L</w:t>
      </w:r>
      <w:r w:rsidR="003F440A">
        <w:t>’</w:t>
      </w:r>
      <w:r>
        <w:t>annexe suit]</w:t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"/>
      </w:tblPr>
      <w:tblGrid>
        <w:gridCol w:w="4676"/>
        <w:gridCol w:w="4676"/>
      </w:tblGrid>
      <w:tr w:rsidR="00737574" w:rsidRPr="007458BD" w14:paraId="22BFB56F" w14:textId="77777777" w:rsidTr="00C930E2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5D871865" w14:textId="2966E9FA" w:rsidR="00737574" w:rsidRPr="000576E0" w:rsidRDefault="00737574" w:rsidP="00562891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567"/>
              </w:tabs>
              <w:spacing w:line="234" w:lineRule="exact"/>
              <w:ind w:left="567" w:hanging="567"/>
              <w:jc w:val="center"/>
              <w:rPr>
                <w:b/>
              </w:rPr>
            </w:pPr>
            <w:r w:rsidRPr="00A56F48">
              <w:rPr>
                <w:b/>
              </w:rPr>
              <w:lastRenderedPageBreak/>
              <w:t>Code du projet</w:t>
            </w:r>
          </w:p>
        </w:tc>
      </w:tr>
      <w:tr w:rsidR="00737574" w:rsidRPr="007458BD" w14:paraId="2B66AA58" w14:textId="77777777" w:rsidTr="00C930E2">
        <w:trPr>
          <w:trHeight w:val="312"/>
        </w:trPr>
        <w:tc>
          <w:tcPr>
            <w:tcW w:w="9352" w:type="dxa"/>
            <w:gridSpan w:val="2"/>
          </w:tcPr>
          <w:p w14:paraId="2FA01587" w14:textId="77777777" w:rsidR="00737574" w:rsidRPr="000576E0" w:rsidRDefault="00737574" w:rsidP="00562891">
            <w:pPr>
              <w:pStyle w:val="TableParagraph"/>
              <w:widowControl/>
              <w:ind w:right="2"/>
              <w:jc w:val="center"/>
            </w:pPr>
            <w:r>
              <w:t>DA_4_10_16_25_27_01</w:t>
            </w:r>
          </w:p>
        </w:tc>
      </w:tr>
      <w:tr w:rsidR="00737574" w:rsidRPr="007458BD" w14:paraId="05038229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1CA1C4B1" w14:textId="20F7258A" w:rsidR="00737574" w:rsidRPr="000576E0" w:rsidRDefault="00737574" w:rsidP="00562891">
            <w:pPr>
              <w:pStyle w:val="TableParagraph"/>
              <w:widowControl/>
              <w:spacing w:line="232" w:lineRule="exact"/>
              <w:jc w:val="center"/>
              <w:rPr>
                <w:b/>
              </w:rPr>
            </w:pPr>
            <w:r w:rsidRPr="00A56F48">
              <w:rPr>
                <w:b/>
              </w:rPr>
              <w:t>1.2</w:t>
            </w:r>
            <w:r w:rsidR="00562891">
              <w:rPr>
                <w:b/>
              </w:rPr>
              <w:tab/>
            </w:r>
            <w:r w:rsidRPr="00A56F48">
              <w:rPr>
                <w:b/>
              </w:rPr>
              <w:t>Titre du projet</w:t>
            </w:r>
          </w:p>
        </w:tc>
      </w:tr>
      <w:tr w:rsidR="00737574" w:rsidRPr="007458BD" w14:paraId="42DB2B61" w14:textId="77777777" w:rsidTr="00C930E2">
        <w:trPr>
          <w:trHeight w:val="901"/>
        </w:trPr>
        <w:tc>
          <w:tcPr>
            <w:tcW w:w="9352" w:type="dxa"/>
            <w:gridSpan w:val="2"/>
          </w:tcPr>
          <w:p w14:paraId="72A519C9" w14:textId="3DB846F4" w:rsidR="00737574" w:rsidRPr="000576E0" w:rsidRDefault="00737574" w:rsidP="00E352CD">
            <w:pPr>
              <w:pStyle w:val="TableParagraph"/>
              <w:widowControl/>
              <w:spacing w:before="120" w:after="120"/>
              <w:ind w:left="276"/>
              <w:jc w:val="center"/>
            </w:pPr>
            <w:r>
              <w:t>Projet pilote sur l</w:t>
            </w:r>
            <w:r w:rsidR="003F440A">
              <w:t>’</w:t>
            </w:r>
            <w:r>
              <w:t>exploration de textes et de données à l</w:t>
            </w:r>
            <w:r w:rsidR="003F440A">
              <w:t>’</w:t>
            </w:r>
            <w:r>
              <w:t>appui de la recherche et de l</w:t>
            </w:r>
            <w:r w:rsidR="003F440A">
              <w:t>’</w:t>
            </w:r>
            <w:r>
              <w:t>innovation dans les universités et autres établissements axés sur la recherche en Afrique</w:t>
            </w:r>
            <w:r w:rsidR="003F440A">
              <w:t xml:space="preserve"> – </w:t>
            </w:r>
            <w:r>
              <w:t>proposition présentée par le groupe des pays africains</w:t>
            </w:r>
          </w:p>
        </w:tc>
      </w:tr>
      <w:tr w:rsidR="00737574" w:rsidRPr="007458BD" w14:paraId="6893B366" w14:textId="77777777" w:rsidTr="00C930E2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6D1C0FB6" w14:textId="08956F10" w:rsidR="00737574" w:rsidRPr="000576E0" w:rsidRDefault="00737574" w:rsidP="00562891">
            <w:pPr>
              <w:pStyle w:val="TableParagraph"/>
              <w:widowControl/>
              <w:spacing w:line="232" w:lineRule="exact"/>
              <w:jc w:val="center"/>
              <w:rPr>
                <w:b/>
              </w:rPr>
            </w:pPr>
            <w:r w:rsidRPr="00A56F48">
              <w:rPr>
                <w:b/>
              </w:rPr>
              <w:t>1.3</w:t>
            </w:r>
            <w:r w:rsidR="00562891">
              <w:rPr>
                <w:b/>
              </w:rPr>
              <w:tab/>
            </w:r>
            <w:r w:rsidRPr="00A56F48">
              <w:rPr>
                <w:b/>
              </w:rPr>
              <w:t>Recommandations du Plan d</w:t>
            </w:r>
            <w:r w:rsidR="003F440A" w:rsidRPr="00A56F48">
              <w:rPr>
                <w:b/>
              </w:rPr>
              <w:t>’</w:t>
            </w:r>
            <w:r w:rsidRPr="00A56F48">
              <w:rPr>
                <w:b/>
              </w:rPr>
              <w:t>action pour le développement</w:t>
            </w:r>
          </w:p>
        </w:tc>
      </w:tr>
      <w:tr w:rsidR="00737574" w:rsidRPr="007458BD" w14:paraId="0D05750E" w14:textId="77777777" w:rsidTr="00A56F48">
        <w:trPr>
          <w:trHeight w:val="760"/>
        </w:trPr>
        <w:tc>
          <w:tcPr>
            <w:tcW w:w="9352" w:type="dxa"/>
            <w:gridSpan w:val="2"/>
            <w:shd w:val="clear" w:color="auto" w:fill="auto"/>
          </w:tcPr>
          <w:p w14:paraId="05563AAE" w14:textId="453AE691" w:rsidR="00737574" w:rsidRPr="00A56F48" w:rsidRDefault="00737574" w:rsidP="00E352CD">
            <w:pPr>
              <w:pStyle w:val="TableParagraph"/>
              <w:widowControl/>
              <w:spacing w:before="120" w:after="240"/>
              <w:ind w:left="276"/>
            </w:pPr>
            <w:r w:rsidRPr="00A56F48">
              <w:rPr>
                <w:i/>
              </w:rPr>
              <w:t>Recommandation n° 4</w:t>
            </w:r>
            <w:r w:rsidR="003F440A" w:rsidRPr="00A56F48">
              <w:t> :</w:t>
            </w:r>
            <w:r w:rsidRPr="00A56F48">
              <w:t xml:space="preserve"> accorder une attention particulière aux besoins des PME, des institutions chargées de la recherche scientifique et des industries culturelles et aider les États membres, à leur demande, à élaborer des stratégies nationales appropriées dans le domaine de la propriété intellectuelle.</w:t>
            </w:r>
          </w:p>
          <w:p w14:paraId="5815EAE5" w14:textId="540BF480" w:rsidR="00737574" w:rsidRPr="00A56F48" w:rsidRDefault="00737574" w:rsidP="00E352CD">
            <w:pPr>
              <w:pStyle w:val="TableParagraph"/>
              <w:widowControl/>
              <w:spacing w:after="240"/>
              <w:ind w:left="276"/>
            </w:pPr>
            <w:r w:rsidRPr="00A56F48">
              <w:rPr>
                <w:i/>
              </w:rPr>
              <w:t>Recommandation n° 10</w:t>
            </w:r>
            <w:r w:rsidR="003F440A" w:rsidRPr="00A56F48">
              <w:rPr>
                <w:i/>
              </w:rPr>
              <w:t> </w:t>
            </w:r>
            <w:r w:rsidR="003F440A" w:rsidRPr="008457E5">
              <w:t>:</w:t>
            </w:r>
            <w:r w:rsidRPr="00A56F48">
              <w:t xml:space="preserve"> aider les États membres à développer et à améliorer les capacités institutionnelles nationales en propriété intellectuelle par le développement des infrastructures et autres moyens en vue de renforcer l</w:t>
            </w:r>
            <w:r w:rsidR="003F440A" w:rsidRPr="00A56F48">
              <w:t>’</w:t>
            </w:r>
            <w:r w:rsidRPr="00A56F48">
              <w:t>efficacité des institutions nationales de propriété intellectuelle et de concilier protection de la propriété intellectuelle et préservation de l</w:t>
            </w:r>
            <w:r w:rsidR="003F440A" w:rsidRPr="00A56F48">
              <w:t>’</w:t>
            </w:r>
            <w:r w:rsidRPr="00A56F48">
              <w:t>intérêt génér</w:t>
            </w:r>
            <w:r w:rsidR="00C930E2" w:rsidRPr="00A56F48">
              <w:t>al.  Ce</w:t>
            </w:r>
            <w:r w:rsidRPr="00A56F48">
              <w:t xml:space="preserve">tte assistance technique devrait également être étendue aux organisations </w:t>
            </w:r>
            <w:proofErr w:type="spellStart"/>
            <w:r w:rsidRPr="00A56F48">
              <w:t>sous</w:t>
            </w:r>
            <w:r w:rsidR="00A56F48" w:rsidRPr="00A56F48">
              <w:noBreakHyphen/>
            </w:r>
            <w:r w:rsidRPr="00A56F48">
              <w:t>régionales</w:t>
            </w:r>
            <w:proofErr w:type="spellEnd"/>
            <w:r w:rsidRPr="00A56F48">
              <w:t xml:space="preserve"> et régionales œuvrant dans le domaine de la propriété intellectuelle.</w:t>
            </w:r>
          </w:p>
          <w:p w14:paraId="5BE12A2F" w14:textId="5E3F677B" w:rsidR="00737574" w:rsidRPr="00A56F48" w:rsidRDefault="00737574" w:rsidP="00E352CD">
            <w:pPr>
              <w:pStyle w:val="TableParagraph"/>
              <w:widowControl/>
              <w:spacing w:after="240"/>
              <w:ind w:left="276"/>
            </w:pPr>
            <w:r w:rsidRPr="00A56F48">
              <w:rPr>
                <w:i/>
              </w:rPr>
              <w:t>Recommandation n° 16</w:t>
            </w:r>
            <w:r w:rsidR="003F440A" w:rsidRPr="00A56F48">
              <w:rPr>
                <w:i/>
              </w:rPr>
              <w:t> </w:t>
            </w:r>
            <w:r w:rsidR="003F440A" w:rsidRPr="008457E5">
              <w:t>:</w:t>
            </w:r>
            <w:r w:rsidRPr="00A56F48">
              <w:t xml:space="preserve"> prendre en considération la préservation du domaine public dans l</w:t>
            </w:r>
            <w:r w:rsidR="003F440A" w:rsidRPr="00A56F48">
              <w:t>’</w:t>
            </w:r>
            <w:r w:rsidRPr="00A56F48">
              <w:t>élaboration des normes à l</w:t>
            </w:r>
            <w:r w:rsidR="003F440A" w:rsidRPr="00A56F48">
              <w:t>’</w:t>
            </w:r>
            <w:r w:rsidRPr="00A56F48">
              <w:t>OMPI et approfondir l</w:t>
            </w:r>
            <w:r w:rsidR="003F440A" w:rsidRPr="00A56F48">
              <w:t>’</w:t>
            </w:r>
            <w:r w:rsidRPr="00A56F48">
              <w:t>analyse des conséquences et des avantages d</w:t>
            </w:r>
            <w:r w:rsidR="003F440A" w:rsidRPr="00A56F48">
              <w:t>’</w:t>
            </w:r>
            <w:r w:rsidRPr="00A56F48">
              <w:t>un domaine public riche et accessible.</w:t>
            </w:r>
          </w:p>
          <w:p w14:paraId="681C227E" w14:textId="422C0B69" w:rsidR="00737574" w:rsidRPr="00A56F48" w:rsidRDefault="00737574" w:rsidP="00E352CD">
            <w:pPr>
              <w:pStyle w:val="TableParagraph"/>
              <w:widowControl/>
              <w:spacing w:after="240"/>
              <w:ind w:left="276"/>
            </w:pPr>
            <w:r w:rsidRPr="00A56F48">
              <w:rPr>
                <w:i/>
              </w:rPr>
              <w:t>Recommandation n° 25</w:t>
            </w:r>
            <w:r w:rsidR="003F440A" w:rsidRPr="00A56F48">
              <w:rPr>
                <w:i/>
              </w:rPr>
              <w:t> </w:t>
            </w:r>
            <w:r w:rsidR="003F440A" w:rsidRPr="008457E5">
              <w:t>:</w:t>
            </w:r>
            <w:r w:rsidRPr="00A56F48">
              <w:t xml:space="preserve"> étudier les politiques et initiatives relatives à la propriété intellectuelle nécessaires pour promouvoir le transfert et la diffusion de la technologie au profit des pays en développement, et prendre les mesures appropriées pour permettre à ces pays de comprendre pleinement les différentes dispositions concernant les flexibilités prévues dans les accords internationaux et d</w:t>
            </w:r>
            <w:r w:rsidR="003F440A" w:rsidRPr="00A56F48">
              <w:t>’</w:t>
            </w:r>
            <w:r w:rsidRPr="00A56F48">
              <w:t>en tirer profit, le cas échéant.</w:t>
            </w:r>
          </w:p>
          <w:p w14:paraId="1A641850" w14:textId="1BC9EEE6" w:rsidR="00737574" w:rsidRPr="000576E0" w:rsidRDefault="00737574" w:rsidP="00E352CD">
            <w:pPr>
              <w:pStyle w:val="TableParagraph"/>
              <w:widowControl/>
              <w:spacing w:after="120"/>
              <w:ind w:left="276"/>
            </w:pPr>
            <w:r w:rsidRPr="00A56F48">
              <w:rPr>
                <w:i/>
              </w:rPr>
              <w:t>Recommandation n° 27</w:t>
            </w:r>
            <w:r w:rsidR="003F440A" w:rsidRPr="00A56F48">
              <w:rPr>
                <w:i/>
              </w:rPr>
              <w:t> </w:t>
            </w:r>
            <w:r w:rsidR="003F440A" w:rsidRPr="008457E5">
              <w:t>:</w:t>
            </w:r>
            <w:r w:rsidRPr="00A56F48">
              <w:t xml:space="preserve"> promouvoir les aspects</w:t>
            </w:r>
            <w:r w:rsidR="003F440A" w:rsidRPr="00A56F48">
              <w:t xml:space="preserve"> des TIC</w:t>
            </w:r>
            <w:r w:rsidRPr="00A56F48">
              <w:t xml:space="preserve"> liés à la propriété intellectuelle en faveur de la croissance et du développement</w:t>
            </w:r>
            <w:r w:rsidR="003F440A" w:rsidRPr="00A56F48">
              <w:t> :</w:t>
            </w:r>
            <w:r w:rsidRPr="00A56F48">
              <w:t xml:space="preserve"> permettre, dans le cadre d</w:t>
            </w:r>
            <w:r w:rsidR="003F440A" w:rsidRPr="00A56F48">
              <w:t>’</w:t>
            </w:r>
            <w:r w:rsidRPr="00A56F48">
              <w:t>un organe compétent de l</w:t>
            </w:r>
            <w:r w:rsidR="003F440A" w:rsidRPr="00A56F48">
              <w:t>’</w:t>
            </w:r>
            <w:r w:rsidRPr="00A56F48">
              <w:t>OMPI, des discussions axées sur l</w:t>
            </w:r>
            <w:r w:rsidR="003F440A" w:rsidRPr="00A56F48">
              <w:t>’</w:t>
            </w:r>
            <w:r w:rsidRPr="00A56F48">
              <w:t>importance des aspects des TIC liés à la propriété intellectuelle et de leur rôle dans le développement économique et culturel, une attention particulière devant être accordée à la nécessité d</w:t>
            </w:r>
            <w:r w:rsidR="003F440A" w:rsidRPr="00A56F48">
              <w:t>’</w:t>
            </w:r>
            <w:r w:rsidRPr="00A56F48">
              <w:t>aider les États membres à déterminer des stratégies de propriété intellectuelle concrètes en ce qui concerne l</w:t>
            </w:r>
            <w:r w:rsidR="003F440A" w:rsidRPr="00A56F48">
              <w:t>’</w:t>
            </w:r>
            <w:r w:rsidRPr="00A56F48">
              <w:t>utilisation des TIC au service du développement économique, social et culturel.</w:t>
            </w:r>
          </w:p>
        </w:tc>
      </w:tr>
      <w:tr w:rsidR="00737574" w:rsidRPr="007458BD" w14:paraId="2E2696F8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25685236" w14:textId="7621271C" w:rsidR="00737574" w:rsidRPr="000576E0" w:rsidRDefault="00737574" w:rsidP="00562891">
            <w:pPr>
              <w:pStyle w:val="TableParagraph"/>
              <w:widowControl/>
              <w:spacing w:line="232" w:lineRule="exact"/>
              <w:jc w:val="center"/>
              <w:rPr>
                <w:b/>
              </w:rPr>
            </w:pPr>
            <w:r w:rsidRPr="00E352CD">
              <w:rPr>
                <w:b/>
              </w:rPr>
              <w:t>1.4</w:t>
            </w:r>
            <w:r w:rsidR="00562891">
              <w:rPr>
                <w:b/>
              </w:rPr>
              <w:tab/>
            </w:r>
            <w:r w:rsidRPr="00E352CD">
              <w:rPr>
                <w:b/>
              </w:rPr>
              <w:t>Durée du projet</w:t>
            </w:r>
          </w:p>
        </w:tc>
      </w:tr>
      <w:tr w:rsidR="00737574" w:rsidRPr="007458BD" w14:paraId="07FAABFD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197A6829" w14:textId="77777777" w:rsidR="00737574" w:rsidRPr="000576E0" w:rsidRDefault="00737574" w:rsidP="00E352CD">
            <w:pPr>
              <w:pStyle w:val="TableParagraph"/>
              <w:widowControl/>
              <w:spacing w:before="120" w:after="120"/>
              <w:ind w:left="360"/>
              <w:jc w:val="center"/>
            </w:pPr>
            <w:r>
              <w:t>36 mois</w:t>
            </w:r>
          </w:p>
        </w:tc>
      </w:tr>
      <w:tr w:rsidR="00737574" w:rsidRPr="007458BD" w14:paraId="6885B784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36A4BA24" w14:textId="7B1AC5E3" w:rsidR="00737574" w:rsidRPr="000576E0" w:rsidRDefault="00562891" w:rsidP="00562891">
            <w:pPr>
              <w:pStyle w:val="TableParagraph"/>
              <w:widowControl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1.5</w:t>
            </w:r>
            <w:r>
              <w:rPr>
                <w:b/>
              </w:rPr>
              <w:tab/>
            </w:r>
            <w:r w:rsidR="00737574" w:rsidRPr="00E352CD">
              <w:rPr>
                <w:b/>
              </w:rPr>
              <w:t>Budget du projet</w:t>
            </w:r>
          </w:p>
        </w:tc>
      </w:tr>
      <w:tr w:rsidR="00737574" w:rsidRPr="007458BD" w14:paraId="2139DB74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6CDE24E2" w14:textId="68916196" w:rsidR="00737574" w:rsidRPr="000576E0" w:rsidRDefault="00737574" w:rsidP="008457E5">
            <w:pPr>
              <w:pStyle w:val="TableParagraph"/>
              <w:widowControl/>
              <w:spacing w:before="120" w:after="120"/>
              <w:ind w:left="276"/>
              <w:rPr>
                <w:bCs/>
              </w:rPr>
            </w:pPr>
            <w:r>
              <w:t>Budget total du projet</w:t>
            </w:r>
            <w:r w:rsidR="003F440A">
              <w:t> :</w:t>
            </w:r>
            <w:r>
              <w:t xml:space="preserve"> 523 800 </w:t>
            </w:r>
            <w:r w:rsidR="008457E5">
              <w:t xml:space="preserve">francs suisses </w:t>
            </w:r>
            <w:r>
              <w:t>alloués au titre des dépenses autres que de personnel</w:t>
            </w:r>
          </w:p>
        </w:tc>
      </w:tr>
      <w:tr w:rsidR="00737574" w:rsidRPr="007458BD" w14:paraId="208AF935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43A4B39A" w14:textId="63133487" w:rsidR="00737574" w:rsidRPr="000576E0" w:rsidRDefault="00562891" w:rsidP="00562891">
            <w:pPr>
              <w:pStyle w:val="TableParagraph"/>
              <w:widowControl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 w:rsidR="00737574" w:rsidRPr="00E352CD">
              <w:rPr>
                <w:b/>
              </w:rPr>
              <w:t>Description du projet</w:t>
            </w:r>
          </w:p>
        </w:tc>
      </w:tr>
      <w:tr w:rsidR="00737574" w:rsidRPr="007458BD" w14:paraId="162FAE23" w14:textId="77777777" w:rsidTr="00C930E2">
        <w:trPr>
          <w:trHeight w:val="60"/>
        </w:trPr>
        <w:tc>
          <w:tcPr>
            <w:tcW w:w="9352" w:type="dxa"/>
            <w:gridSpan w:val="2"/>
          </w:tcPr>
          <w:p w14:paraId="43F3BB0F" w14:textId="0B09ED6E" w:rsidR="003F440A" w:rsidRDefault="00737574" w:rsidP="00E352CD">
            <w:pPr>
              <w:pStyle w:val="TableParagraph"/>
              <w:widowControl/>
              <w:spacing w:before="120" w:after="240"/>
              <w:ind w:left="276"/>
            </w:pPr>
            <w:r>
              <w:t>L</w:t>
            </w:r>
            <w:r w:rsidR="003F440A">
              <w:t>’</w:t>
            </w:r>
            <w:r>
              <w:t>exploration de textes et de données désigne l</w:t>
            </w:r>
            <w:r w:rsidR="003F440A">
              <w:t>’</w:t>
            </w:r>
            <w:r>
              <w:t>application de processus informatiques à de la documentation en vue d</w:t>
            </w:r>
            <w:r w:rsidR="003F440A">
              <w:t>’</w:t>
            </w:r>
            <w:r>
              <w:t>extraire des données et des textes de documents, de documents de recherche et de divers ouvrages ou à propos de ceux</w:t>
            </w:r>
            <w:r w:rsidR="00A56F48">
              <w:noBreakHyphen/>
            </w:r>
            <w:r w:rsidR="00C930E2">
              <w:t>ci.  Le</w:t>
            </w:r>
            <w:r>
              <w:t>s chercheurs en exploration de textes et de données travaillent avec de grandes quantités de documents numéris</w:t>
            </w:r>
            <w:r w:rsidR="00C930E2">
              <w:t>és.  L’e</w:t>
            </w:r>
            <w:r>
              <w:t>xploration de textes et de données constitue une étape de l</w:t>
            </w:r>
            <w:r w:rsidR="003F440A">
              <w:t>’</w:t>
            </w:r>
            <w:r>
              <w:t>entraînement des ordinateurs à l</w:t>
            </w:r>
            <w:r w:rsidR="003F440A">
              <w:t>’</w:t>
            </w:r>
            <w:r>
              <w:t>apprentissage automatique et à l</w:t>
            </w:r>
            <w:r w:rsidR="003F440A">
              <w:t>’</w:t>
            </w:r>
            <w:r>
              <w:t>intelligence artificielle</w:t>
            </w:r>
            <w:r w:rsidR="00E352CD">
              <w:t> </w:t>
            </w:r>
            <w:r>
              <w:t>(IA).</w:t>
            </w:r>
          </w:p>
          <w:p w14:paraId="72D88B3D" w14:textId="740392B3" w:rsidR="00737574" w:rsidRPr="007458BD" w:rsidRDefault="00737574" w:rsidP="00E352CD">
            <w:pPr>
              <w:pStyle w:val="TableParagraph"/>
              <w:widowControl/>
              <w:spacing w:after="240"/>
              <w:ind w:left="276"/>
            </w:pPr>
            <w:r>
              <w:t>Ce projet s</w:t>
            </w:r>
            <w:r w:rsidR="003F440A">
              <w:t>’</w:t>
            </w:r>
            <w:r>
              <w:t>intéresse à l</w:t>
            </w:r>
            <w:r w:rsidR="003F440A">
              <w:t>’</w:t>
            </w:r>
            <w:r>
              <w:t xml:space="preserve">exploration de textes et de données </w:t>
            </w:r>
            <w:r w:rsidR="00460E8E">
              <w:t>sous l</w:t>
            </w:r>
            <w:r w:rsidR="003F440A">
              <w:t>’</w:t>
            </w:r>
            <w:r w:rsidR="00460E8E">
              <w:t xml:space="preserve">angle </w:t>
            </w:r>
            <w:r>
              <w:t>des universités et autres établissements axés sur la recherche en Afriq</w:t>
            </w:r>
            <w:r w:rsidR="00C930E2">
              <w:t>ue.  Le</w:t>
            </w:r>
            <w:r>
              <w:t>s universités et les établissements axés sur la recherche ont un rôle clé à jouer en tant que parties prenantes de l</w:t>
            </w:r>
            <w:r w:rsidR="003F440A">
              <w:t>’</w:t>
            </w:r>
            <w:r>
              <w:t>exploitation de textes et de données.</w:t>
            </w:r>
          </w:p>
          <w:p w14:paraId="7862877C" w14:textId="0B01E981" w:rsidR="00737574" w:rsidRPr="007458BD" w:rsidRDefault="00737574" w:rsidP="00E352CD">
            <w:pPr>
              <w:pStyle w:val="TableParagraph"/>
              <w:widowControl/>
              <w:spacing w:after="240"/>
              <w:ind w:left="276"/>
            </w:pPr>
            <w:r>
              <w:t xml:space="preserve">Une cartographie </w:t>
            </w:r>
            <w:r w:rsidR="00460E8E">
              <w:t xml:space="preserve">approfondie </w:t>
            </w:r>
            <w:r>
              <w:t xml:space="preserve">de la mise en œuvre </w:t>
            </w:r>
            <w:r w:rsidR="00460E8E">
              <w:t xml:space="preserve">du </w:t>
            </w:r>
            <w:r>
              <w:t>traité sur le droit d</w:t>
            </w:r>
            <w:r w:rsidR="003F440A">
              <w:t>’</w:t>
            </w:r>
            <w:r>
              <w:t>auteur, du cadre juridique du droit d</w:t>
            </w:r>
            <w:r w:rsidR="003F440A">
              <w:t>’</w:t>
            </w:r>
            <w:r>
              <w:t xml:space="preserve">auteur, notamment des dispositions spécifiques pour la recherche, ainsi que des accords et pratiques </w:t>
            </w:r>
            <w:r w:rsidR="00460E8E">
              <w:t xml:space="preserve">en matière </w:t>
            </w:r>
            <w:r>
              <w:t>de licence</w:t>
            </w:r>
            <w:r w:rsidR="00460E8E">
              <w:t>s</w:t>
            </w:r>
            <w:r>
              <w:t>, est nécessaire pour que les universités et autres établissements africains axés sur la recherche puissent accéder efficacement et utilement à l</w:t>
            </w:r>
            <w:r w:rsidR="003F440A">
              <w:t>’</w:t>
            </w:r>
            <w:r>
              <w:t>exploration de textes et de données.</w:t>
            </w:r>
          </w:p>
          <w:p w14:paraId="7CAE5C73" w14:textId="509BBA6E" w:rsidR="003F440A" w:rsidRDefault="00737574" w:rsidP="00E352CD">
            <w:pPr>
              <w:pStyle w:val="TableParagraph"/>
              <w:widowControl/>
              <w:spacing w:after="240"/>
              <w:ind w:left="276"/>
            </w:pPr>
            <w:r>
              <w:t>Le projet pilote proposé vise à promouvoir la sensibilisation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 xml:space="preserve">exploration de textes </w:t>
            </w:r>
            <w:r w:rsidR="00C60766">
              <w:t xml:space="preserve">et de données </w:t>
            </w:r>
            <w:r>
              <w:t>par les universités et autres établissements axés sur la recherche en Afrique et à renforcer leurs capacités en la matière;  il contribuera ainsi à faciliter l</w:t>
            </w:r>
            <w:r w:rsidR="003F440A">
              <w:t>’</w:t>
            </w:r>
            <w:r>
              <w:t>utilisation des outils d</w:t>
            </w:r>
            <w:r w:rsidR="00C60766">
              <w:t>e l</w:t>
            </w:r>
            <w:r w:rsidR="003F440A">
              <w:t>’</w:t>
            </w:r>
            <w:r>
              <w:t>IA, à créer et à diffuser des connaissances sur l</w:t>
            </w:r>
            <w:r w:rsidR="003F440A">
              <w:t>’</w:t>
            </w:r>
            <w:r>
              <w:t>exploration de textes et de données en documentant les pratiques recommandées des universités ou des établissements de recherche de la région, et à renforcer les capacités du personnel des universités et des établissement</w:t>
            </w:r>
            <w:r w:rsidR="00C930E2">
              <w:t xml:space="preserve">s </w:t>
            </w:r>
            <w:r>
              <w:t>de recherche en Afrique.</w:t>
            </w:r>
          </w:p>
          <w:p w14:paraId="0E981587" w14:textId="56B22631" w:rsidR="003F440A" w:rsidRDefault="00737574" w:rsidP="00E352CD">
            <w:pPr>
              <w:pStyle w:val="TableParagraph"/>
              <w:widowControl/>
              <w:spacing w:after="240"/>
              <w:ind w:left="276"/>
            </w:pPr>
            <w:r>
              <w:t>Le projet répond aux recommandations</w:t>
            </w:r>
            <w:r w:rsidR="00E352CD">
              <w:t> </w:t>
            </w:r>
            <w:r>
              <w:t>n</w:t>
            </w:r>
            <w:r w:rsidR="00E352CD" w:rsidRPr="00B545E1">
              <w:rPr>
                <w:vertAlign w:val="superscript"/>
              </w:rPr>
              <w:t>os</w:t>
            </w:r>
            <w:r>
              <w:t> 4, 10, 16, 25</w:t>
            </w:r>
            <w:r w:rsidR="00E352CD">
              <w:t> </w:t>
            </w:r>
            <w:r>
              <w:t>et</w:t>
            </w:r>
            <w:r w:rsidR="00E352CD">
              <w:t> </w:t>
            </w:r>
            <w:r>
              <w:t>27 du Plan d</w:t>
            </w:r>
            <w:r w:rsidR="003F440A">
              <w:t>’</w:t>
            </w:r>
            <w:r>
              <w:t>action pour le développement.</w:t>
            </w:r>
          </w:p>
          <w:p w14:paraId="340A2235" w14:textId="407E111F" w:rsidR="003F440A" w:rsidRDefault="00737574" w:rsidP="00B545E1">
            <w:pPr>
              <w:pStyle w:val="TableParagraph"/>
              <w:widowControl/>
              <w:spacing w:after="240"/>
              <w:ind w:left="276"/>
              <w:rPr>
                <w:i/>
              </w:rPr>
            </w:pPr>
            <w:r>
              <w:t>En outre, cette proposition s</w:t>
            </w:r>
            <w:r w:rsidR="003F440A">
              <w:t>’</w:t>
            </w:r>
            <w:r>
              <w:t>inscrit dans le droit fil du Plan stratégique à moyen terme de l</w:t>
            </w:r>
            <w:r w:rsidR="003F440A">
              <w:t>’</w:t>
            </w:r>
            <w:r>
              <w:t xml:space="preserve">OMPI </w:t>
            </w:r>
            <w:r w:rsidR="003F440A">
              <w:t>pour 2022</w:t>
            </w:r>
            <w:r w:rsidR="00A56F48">
              <w:noBreakHyphen/>
            </w:r>
            <w:r>
              <w:t xml:space="preserve">2026, notamment sa vision qui est de contribuer à créer </w:t>
            </w:r>
            <w:r>
              <w:rPr>
                <w:i/>
              </w:rPr>
              <w:t>“un monde où l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innovation et la créativité, d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où qu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elles viennent, sont stimulées par la propriété intellectuelle, dans l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intérêt général” et sa mission de “jouer un rôle de premier</w:t>
            </w:r>
            <w:r w:rsidR="00B545E1">
              <w:rPr>
                <w:i/>
              </w:rPr>
              <w:t> </w:t>
            </w:r>
            <w:r>
              <w:rPr>
                <w:i/>
              </w:rPr>
              <w:t>plan dans l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élaboration d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un écosystème mondial de propriété intellectuelle équilibré et inclusif afin de promouvoir l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innovation et la créativité pour un avenir meilleur et plus durable”.</w:t>
            </w:r>
          </w:p>
          <w:p w14:paraId="3A92BD52" w14:textId="52CE50F1" w:rsidR="00737574" w:rsidRPr="007458BD" w:rsidRDefault="004936BA" w:rsidP="00B545E1">
            <w:pPr>
              <w:pStyle w:val="TableParagraph"/>
              <w:widowControl/>
              <w:spacing w:after="240"/>
              <w:ind w:left="276"/>
              <w:rPr>
                <w:iCs/>
              </w:rPr>
            </w:pPr>
            <w:r>
              <w:t>Par ailleurs</w:t>
            </w:r>
            <w:r w:rsidR="00737574">
              <w:t>, ce projet est conforme à l</w:t>
            </w:r>
            <w:r w:rsidR="003F440A">
              <w:t>’</w:t>
            </w:r>
            <w:r w:rsidR="00737574">
              <w:t>orientation future de l</w:t>
            </w:r>
            <w:r w:rsidR="003F440A">
              <w:t>’</w:t>
            </w:r>
            <w:r w:rsidR="00737574">
              <w:t xml:space="preserve">OMPI mise en place pour </w:t>
            </w:r>
            <w:r w:rsidR="00B545E1">
              <w:t>atteindre le résultat escompté°</w:t>
            </w:r>
            <w:r w:rsidR="00737574">
              <w:t>2.2</w:t>
            </w:r>
            <w:r w:rsidR="003F440A">
              <w:t> :</w:t>
            </w:r>
            <w:r w:rsidR="00737574">
              <w:t xml:space="preserve"> </w:t>
            </w:r>
            <w:r w:rsidR="00737574">
              <w:rPr>
                <w:i/>
                <w:iCs/>
              </w:rPr>
              <w:t>“rassembler la communauté internationale afin d</w:t>
            </w:r>
            <w:r w:rsidR="003F440A">
              <w:rPr>
                <w:i/>
                <w:iCs/>
              </w:rPr>
              <w:t>’</w:t>
            </w:r>
            <w:r w:rsidR="00737574">
              <w:rPr>
                <w:i/>
                <w:iCs/>
              </w:rPr>
              <w:t>anticiper les questions émergentes et les enjeux de politique générale qui se présentent au niveau mondial concernant la propriété intellectuelle, l</w:t>
            </w:r>
            <w:r w:rsidR="003F440A">
              <w:rPr>
                <w:i/>
                <w:iCs/>
              </w:rPr>
              <w:t>’</w:t>
            </w:r>
            <w:r w:rsidR="00737574">
              <w:rPr>
                <w:i/>
                <w:iCs/>
              </w:rPr>
              <w:t xml:space="preserve">innovation et la créativité” </w:t>
            </w:r>
            <w:r w:rsidR="00737574">
              <w:t>et en particulier, créer “</w:t>
            </w:r>
            <w:r w:rsidR="00737574">
              <w:rPr>
                <w:i/>
                <w:iCs/>
              </w:rPr>
              <w:t>des</w:t>
            </w:r>
            <w:r w:rsidR="00737574">
              <w:t xml:space="preserve"> </w:t>
            </w:r>
            <w:r w:rsidR="00737574">
              <w:rPr>
                <w:i/>
              </w:rPr>
              <w:t>espaces pour le partage d</w:t>
            </w:r>
            <w:r w:rsidR="003F440A">
              <w:rPr>
                <w:i/>
              </w:rPr>
              <w:t>’</w:t>
            </w:r>
            <w:r w:rsidR="00737574">
              <w:rPr>
                <w:i/>
              </w:rPr>
              <w:t>informations, l</w:t>
            </w:r>
            <w:r w:rsidR="003F440A">
              <w:rPr>
                <w:i/>
              </w:rPr>
              <w:t>’</w:t>
            </w:r>
            <w:r w:rsidR="00737574">
              <w:rPr>
                <w:i/>
              </w:rPr>
              <w:t>échange de pratiques recommandées et d</w:t>
            </w:r>
            <w:r w:rsidR="003F440A">
              <w:rPr>
                <w:i/>
              </w:rPr>
              <w:t>’</w:t>
            </w:r>
            <w:r w:rsidR="00737574">
              <w:rPr>
                <w:i/>
              </w:rPr>
              <w:t>autres réflexions importantes”, pour “enrichir la compréhension des questions émergentes relatives à la propriété intellectuelle parmi les parties prenantes et la communauté des utilisateurs au sens large”</w:t>
            </w:r>
            <w:r w:rsidR="00737574" w:rsidRPr="007458BD">
              <w:rPr>
                <w:iCs/>
                <w:vertAlign w:val="superscript"/>
              </w:rPr>
              <w:footnoteReference w:id="2"/>
            </w:r>
            <w:r w:rsidR="00A576F8">
              <w:t>.</w:t>
            </w:r>
          </w:p>
          <w:p w14:paraId="3D10F86B" w14:textId="4B7B4B42" w:rsidR="003F440A" w:rsidRDefault="00737574" w:rsidP="00B545E1">
            <w:pPr>
              <w:pStyle w:val="TableParagraph"/>
              <w:widowControl/>
              <w:spacing w:after="240"/>
              <w:ind w:left="276"/>
            </w:pPr>
            <w:r>
              <w:t>Dans un premier</w:t>
            </w:r>
            <w:r w:rsidR="00B545E1">
              <w:t> </w:t>
            </w:r>
            <w:r>
              <w:t>temps, le projet pilote dressera la carte de la mise en œuvre actuelle du traité, du cadre juridique et des systèmes de licence, ainsi que des matériels existants (études, boîtes à outils, etc.) provenant de la région concernant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dans la recherche, et en particulier la recherche menée par les universités et les établissements axés sur la recherc</w:t>
            </w:r>
            <w:r w:rsidR="00C930E2">
              <w:t>he.  Da</w:t>
            </w:r>
            <w:r>
              <w:t>ns un deuxième</w:t>
            </w:r>
            <w:r w:rsidR="00B545E1">
              <w:t> </w:t>
            </w:r>
            <w:r>
              <w:t>temps, sur la base des informations et des expériences recueillies dans le cadre de la cartographie, le projet travaillera avec trois</w:t>
            </w:r>
            <w:r w:rsidR="00A576F8">
              <w:t> </w:t>
            </w:r>
            <w:r>
              <w:t>universités pilotes d</w:t>
            </w:r>
            <w:r w:rsidR="003F440A">
              <w:t>’</w:t>
            </w:r>
            <w:r>
              <w:t>Afrique, tout en s</w:t>
            </w:r>
            <w:r w:rsidR="003F440A">
              <w:t>’</w:t>
            </w:r>
            <w:r>
              <w:t>appuyant sur la contribution d</w:t>
            </w:r>
            <w:r w:rsidR="003F440A">
              <w:t>’</w:t>
            </w:r>
            <w:r>
              <w:t>autres parties prenantes régionales, en vue d</w:t>
            </w:r>
            <w:r w:rsidR="003F440A">
              <w:t>’</w:t>
            </w:r>
            <w:r>
              <w:t>élaborer des études de cas sur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dans la recherche.</w:t>
            </w:r>
          </w:p>
          <w:p w14:paraId="41ADCEFB" w14:textId="01B2E2B3" w:rsidR="003F440A" w:rsidRDefault="00737574" w:rsidP="00B545E1">
            <w:pPr>
              <w:pStyle w:val="TableParagraph"/>
              <w:keepLines/>
              <w:widowControl/>
              <w:spacing w:after="240"/>
              <w:ind w:left="276"/>
            </w:pPr>
            <w:r>
              <w:t xml:space="preserve">Les enseignements tirés de ces études de cas seront intégrés dans </w:t>
            </w:r>
            <w:r w:rsidR="00CF71E8">
              <w:t>d</w:t>
            </w:r>
            <w:r>
              <w:t>es supports de formation sur l</w:t>
            </w:r>
            <w:r w:rsidR="003F440A">
              <w:t>’</w:t>
            </w:r>
            <w:r>
              <w:t>utilisation efficace de l</w:t>
            </w:r>
            <w:r w:rsidR="003F440A">
              <w:t>’</w:t>
            </w:r>
            <w:r>
              <w:t>exploration de textes et de données par les universités et autres établissements axés sur la recherche en Afrique, qui seront examinés par des experts du domai</w:t>
            </w:r>
            <w:r w:rsidR="00C930E2">
              <w:t>ne.  En</w:t>
            </w:r>
            <w:r>
              <w:t>fin, la dernière étape du processus consistera à organiser deux séminaires de formation régionaux à l</w:t>
            </w:r>
            <w:r w:rsidR="003F440A">
              <w:t>’</w:t>
            </w:r>
            <w:r>
              <w:t>intention d</w:t>
            </w:r>
            <w:r w:rsidR="003F440A">
              <w:t>’</w:t>
            </w:r>
            <w:r>
              <w:t>un groupe plus vaste de parties prenantes.</w:t>
            </w:r>
          </w:p>
          <w:p w14:paraId="0CA5875C" w14:textId="0A748445" w:rsidR="003F440A" w:rsidRDefault="00737574" w:rsidP="00B545E1">
            <w:pPr>
              <w:pStyle w:val="TableParagraph"/>
              <w:widowControl/>
              <w:spacing w:after="240"/>
              <w:ind w:left="276"/>
            </w:pPr>
            <w:r>
              <w:t>Les principaux groupes de parties prenantes recensés comme pertinents pour ce projet sont les suivants</w:t>
            </w:r>
            <w:r w:rsidR="003F440A">
              <w:t> :</w:t>
            </w:r>
          </w:p>
          <w:p w14:paraId="3C00E970" w14:textId="77777777" w:rsidR="003F440A" w:rsidRDefault="00737574" w:rsidP="00AA4A9F">
            <w:pPr>
              <w:pStyle w:val="TableParagraph"/>
              <w:widowControl/>
              <w:numPr>
                <w:ilvl w:val="0"/>
                <w:numId w:val="7"/>
              </w:numPr>
              <w:spacing w:line="242" w:lineRule="auto"/>
              <w:ind w:left="1126" w:hanging="567"/>
            </w:pPr>
            <w:proofErr w:type="gramStart"/>
            <w:r>
              <w:t>les</w:t>
            </w:r>
            <w:proofErr w:type="gramEnd"/>
            <w:r>
              <w:t xml:space="preserve"> établissements de recherche publics et privés;</w:t>
            </w:r>
          </w:p>
          <w:p w14:paraId="0A228343" w14:textId="45467B9C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7"/>
              </w:numPr>
              <w:spacing w:line="242" w:lineRule="auto"/>
              <w:ind w:left="1126" w:hanging="567"/>
            </w:pPr>
            <w:proofErr w:type="gramStart"/>
            <w:r>
              <w:t>les</w:t>
            </w:r>
            <w:proofErr w:type="gramEnd"/>
            <w:r>
              <w:t xml:space="preserve"> universités;</w:t>
            </w:r>
          </w:p>
          <w:p w14:paraId="69125BA2" w14:textId="77777777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7"/>
              </w:numPr>
              <w:spacing w:line="242" w:lineRule="auto"/>
              <w:ind w:left="1126" w:hanging="567"/>
            </w:pPr>
            <w:proofErr w:type="gramStart"/>
            <w:r>
              <w:t>les</w:t>
            </w:r>
            <w:proofErr w:type="gramEnd"/>
            <w:r>
              <w:t xml:space="preserve"> chercheurs en exploration de textes et de données;</w:t>
            </w:r>
          </w:p>
          <w:p w14:paraId="00523BD5" w14:textId="1CE7C505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7"/>
              </w:numPr>
              <w:spacing w:line="242" w:lineRule="auto"/>
              <w:ind w:left="1126" w:hanging="567"/>
            </w:pPr>
            <w:proofErr w:type="gramStart"/>
            <w:r>
              <w:t>les</w:t>
            </w:r>
            <w:proofErr w:type="gramEnd"/>
            <w:r>
              <w:t xml:space="preserve"> communautés de créateur et d</w:t>
            </w:r>
            <w:r w:rsidR="003F440A">
              <w:t>’</w:t>
            </w:r>
            <w:r>
              <w:t>innovateurs;</w:t>
            </w:r>
          </w:p>
          <w:p w14:paraId="6DCE1605" w14:textId="0EBB78A2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7"/>
              </w:numPr>
              <w:spacing w:after="120" w:line="242" w:lineRule="auto"/>
              <w:ind w:left="1126" w:hanging="567"/>
            </w:pPr>
            <w:r>
              <w:t>les éditeurs.</w:t>
            </w:r>
          </w:p>
        </w:tc>
      </w:tr>
      <w:tr w:rsidR="00737574" w:rsidRPr="000576E0" w14:paraId="0F308606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3E38415E" w14:textId="596C6A52" w:rsidR="00737574" w:rsidRPr="000576E0" w:rsidDel="00821A8E" w:rsidRDefault="00562891" w:rsidP="00562891">
            <w:pPr>
              <w:pStyle w:val="TableParagraph"/>
              <w:widowControl/>
              <w:jc w:val="center"/>
              <w:rPr>
                <w:b/>
                <w:bCs/>
              </w:rPr>
            </w:pPr>
            <w:r>
              <w:rPr>
                <w:b/>
              </w:rPr>
              <w:t>2.1</w:t>
            </w:r>
            <w:r>
              <w:rPr>
                <w:b/>
              </w:rPr>
              <w:tab/>
            </w:r>
            <w:r w:rsidR="00737574">
              <w:rPr>
                <w:b/>
              </w:rPr>
              <w:t>Objectif, résultats et réalisations du projet</w:t>
            </w:r>
          </w:p>
        </w:tc>
      </w:tr>
      <w:tr w:rsidR="00737574" w:rsidRPr="007458BD" w14:paraId="349D76A3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5392439C" w14:textId="0A271EEF" w:rsidR="00737574" w:rsidRPr="007458BD" w:rsidRDefault="00737574" w:rsidP="00AA4A9F">
            <w:pPr>
              <w:pStyle w:val="TableParagraph"/>
              <w:widowControl/>
              <w:spacing w:before="120" w:after="240"/>
              <w:ind w:left="276"/>
            </w:pPr>
            <w:r>
              <w:t xml:space="preserve">Le projet a pour </w:t>
            </w:r>
            <w:r w:rsidRPr="00AA4A9F">
              <w:rPr>
                <w:b/>
              </w:rPr>
              <w:t>objectif</w:t>
            </w:r>
            <w:r>
              <w:t xml:space="preserve"> global d</w:t>
            </w:r>
            <w:r w:rsidR="003F440A">
              <w:t>’</w:t>
            </w:r>
            <w:r>
              <w:t>améliorer la sensibilisation, d</w:t>
            </w:r>
            <w:r w:rsidR="003F440A">
              <w:t>’</w:t>
            </w:r>
            <w:r>
              <w:t>offrir des possibilité</w:t>
            </w:r>
            <w:r w:rsidR="00F63AFF">
              <w:t>s</w:t>
            </w:r>
            <w:r>
              <w:t xml:space="preserve"> de travailler en réseau et de renforcer les capacités à utiliser l</w:t>
            </w:r>
            <w:r w:rsidR="003F440A">
              <w:t>’</w:t>
            </w:r>
            <w:r>
              <w:t xml:space="preserve">exploration de textes et de données dans les projets de recherche entrepris par </w:t>
            </w:r>
            <w:r w:rsidR="00F63AFF">
              <w:t xml:space="preserve">des </w:t>
            </w:r>
            <w:r>
              <w:t>universités et autres établissements axés sur la recherche en Afrique, afin de faciliter l</w:t>
            </w:r>
            <w:r w:rsidR="003F440A">
              <w:t>’</w:t>
            </w:r>
            <w:r>
              <w:t>utilisation des outils de l</w:t>
            </w:r>
            <w:r w:rsidR="003F440A">
              <w:t>’</w:t>
            </w:r>
            <w:r>
              <w:t>intelligence artificielle.</w:t>
            </w:r>
          </w:p>
          <w:p w14:paraId="2D3890B0" w14:textId="715C9506" w:rsidR="00737574" w:rsidRPr="007458BD" w:rsidRDefault="00737574" w:rsidP="00AA4A9F">
            <w:pPr>
              <w:pStyle w:val="TableParagraph"/>
              <w:widowControl/>
              <w:spacing w:after="240"/>
              <w:ind w:left="276"/>
            </w:pPr>
            <w:r>
              <w:t xml:space="preserve">Plus précisément, le </w:t>
            </w:r>
            <w:r>
              <w:rPr>
                <w:b/>
                <w:bCs/>
              </w:rPr>
              <w:t>résultat</w:t>
            </w:r>
            <w:r>
              <w:t xml:space="preserve"> visé par le projet est de faciliter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dans les recherches entreprises par les universités et autres établissements axés sur la recherche en Afrique, sur la base d</w:t>
            </w:r>
            <w:r w:rsidR="003F440A">
              <w:t>’</w:t>
            </w:r>
            <w:r>
              <w:t>un ensemble d</w:t>
            </w:r>
            <w:r w:rsidR="003F440A">
              <w:t>’</w:t>
            </w:r>
            <w:r>
              <w:t>outils et de supports de formation personnalisés.</w:t>
            </w:r>
          </w:p>
          <w:p w14:paraId="786831D6" w14:textId="15E8E0CA" w:rsidR="003F440A" w:rsidRDefault="00737574" w:rsidP="00AA4A9F">
            <w:pPr>
              <w:pStyle w:val="TableParagraph"/>
              <w:widowControl/>
              <w:spacing w:after="240"/>
              <w:ind w:left="276"/>
            </w:pPr>
            <w:r>
              <w:t xml:space="preserve">Pour ce faire, le projet visera à produire les </w:t>
            </w:r>
            <w:r>
              <w:rPr>
                <w:b/>
                <w:bCs/>
              </w:rPr>
              <w:t>r</w:t>
            </w:r>
            <w:r w:rsidR="00D1054C">
              <w:rPr>
                <w:b/>
                <w:bCs/>
              </w:rPr>
              <w:t xml:space="preserve">ésultats </w:t>
            </w:r>
            <w:r>
              <w:t>suivants</w:t>
            </w:r>
            <w:r w:rsidR="003F440A">
              <w:t> :</w:t>
            </w:r>
          </w:p>
          <w:p w14:paraId="2E45D05B" w14:textId="3B7C062E" w:rsidR="003F440A" w:rsidRDefault="00737574" w:rsidP="00AA4A9F">
            <w:pPr>
              <w:pStyle w:val="TableParagraph"/>
              <w:widowControl/>
              <w:numPr>
                <w:ilvl w:val="0"/>
                <w:numId w:val="8"/>
              </w:numPr>
              <w:ind w:left="1126" w:hanging="567"/>
            </w:pPr>
            <w:r>
              <w:t>Une cartographie du paysage africain de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à des fins de recherche</w:t>
            </w:r>
            <w:r w:rsidR="003F440A">
              <w:t> :</w:t>
            </w:r>
            <w:r>
              <w:t xml:space="preserve"> la mise en œuvre actuelle des traités aux niveaux national et régional, le cadre juridique et les régimes de licences applicables à l</w:t>
            </w:r>
            <w:r w:rsidR="003F440A">
              <w:t>’</w:t>
            </w:r>
            <w:r>
              <w:t>exploration de textes et de données dans chaque pays africain.</w:t>
            </w:r>
          </w:p>
          <w:p w14:paraId="3CD6E9BC" w14:textId="4FCC73EA" w:rsidR="003F440A" w:rsidRDefault="00737574" w:rsidP="00AA4A9F">
            <w:pPr>
              <w:pStyle w:val="TableParagraph"/>
              <w:widowControl/>
              <w:numPr>
                <w:ilvl w:val="0"/>
                <w:numId w:val="8"/>
              </w:numPr>
              <w:ind w:left="1126" w:hanging="567"/>
            </w:pPr>
            <w:r>
              <w:t>Des études de cas dédiées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dans trois universités pilotes d</w:t>
            </w:r>
            <w:r w:rsidR="003F440A">
              <w:t>’</w:t>
            </w:r>
            <w:r>
              <w:t>Afrique et à la sensibilisation à cette utilisation.</w:t>
            </w:r>
          </w:p>
          <w:p w14:paraId="3F0B4E68" w14:textId="54F8AF39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8"/>
              </w:numPr>
              <w:ind w:left="1126" w:hanging="567"/>
            </w:pPr>
            <w:r>
              <w:t>Des supports de formation sur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 xml:space="preserve">exploration de textes et de données </w:t>
            </w:r>
            <w:r w:rsidR="00F80688">
              <w:t xml:space="preserve">à des fins de </w:t>
            </w:r>
            <w:r>
              <w:t xml:space="preserve">recherche scientifique par les universités et autres établissements axés sur la recherche en Afrique, et deux séminaires de formation régionaux </w:t>
            </w:r>
            <w:r w:rsidR="00F80688">
              <w:t>sur l</w:t>
            </w:r>
            <w:r w:rsidR="003F440A">
              <w:t>’</w:t>
            </w:r>
            <w:r w:rsidR="00F80688">
              <w:t xml:space="preserve">utilisation de </w:t>
            </w:r>
            <w:r>
              <w:t>ces supports.</w:t>
            </w:r>
          </w:p>
          <w:p w14:paraId="2FCBB2F7" w14:textId="7F02D53C" w:rsidR="00737574" w:rsidRPr="007458BD" w:rsidDel="00821A8E" w:rsidRDefault="00737574" w:rsidP="00AA4A9F">
            <w:pPr>
              <w:pStyle w:val="TableParagraph"/>
              <w:widowControl/>
              <w:numPr>
                <w:ilvl w:val="0"/>
                <w:numId w:val="8"/>
              </w:numPr>
              <w:spacing w:after="120"/>
              <w:ind w:left="1126" w:hanging="567"/>
            </w:pPr>
            <w:r>
              <w:t xml:space="preserve">Une </w:t>
            </w:r>
            <w:r w:rsidR="003F440A">
              <w:t>page W</w:t>
            </w:r>
            <w:r>
              <w:t>eb dédiée qui permettra d</w:t>
            </w:r>
            <w:r w:rsidR="003F440A">
              <w:t>’</w:t>
            </w:r>
            <w:r>
              <w:t xml:space="preserve">accéder aisément à </w:t>
            </w:r>
            <w:r w:rsidR="00EF56C3">
              <w:t xml:space="preserve">tous </w:t>
            </w:r>
            <w:r>
              <w:t xml:space="preserve">les </w:t>
            </w:r>
            <w:r w:rsidR="00EF56C3">
              <w:t xml:space="preserve">résultats obtenus </w:t>
            </w:r>
            <w:r>
              <w:t>dans le cadre du projet pilote.</w:t>
            </w:r>
          </w:p>
        </w:tc>
      </w:tr>
      <w:tr w:rsidR="00737574" w:rsidRPr="000576E0" w14:paraId="185F4D38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17DD1AF1" w14:textId="13D4D1E4" w:rsidR="00737574" w:rsidRPr="000576E0" w:rsidRDefault="00562891" w:rsidP="00562891">
            <w:pPr>
              <w:pStyle w:val="TableParagraph"/>
              <w:widowControl/>
              <w:jc w:val="center"/>
              <w:rPr>
                <w:b/>
                <w:bCs/>
              </w:rPr>
            </w:pPr>
            <w:r>
              <w:rPr>
                <w:b/>
              </w:rPr>
              <w:t>2.2</w:t>
            </w:r>
            <w:r>
              <w:rPr>
                <w:b/>
              </w:rPr>
              <w:tab/>
            </w:r>
            <w:r w:rsidR="00737574" w:rsidRPr="00AA4A9F">
              <w:rPr>
                <w:b/>
              </w:rPr>
              <w:t>Stratégie de mise en œuvre du projet</w:t>
            </w:r>
          </w:p>
        </w:tc>
      </w:tr>
      <w:tr w:rsidR="00737574" w:rsidRPr="007458BD" w14:paraId="21C46E14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1B2223A1" w14:textId="7AB0AF74" w:rsidR="00737574" w:rsidRPr="007458BD" w:rsidRDefault="00737574" w:rsidP="00AA4A9F">
            <w:pPr>
              <w:pStyle w:val="TableParagraph"/>
              <w:widowControl/>
              <w:spacing w:before="120" w:after="240"/>
              <w:ind w:left="276" w:right="202"/>
            </w:pPr>
            <w:r>
              <w:t xml:space="preserve">Voici la stratégie de mise en œuvre </w:t>
            </w:r>
            <w:proofErr w:type="gramStart"/>
            <w:r>
              <w:t>du projet proposée</w:t>
            </w:r>
            <w:proofErr w:type="gramEnd"/>
            <w:r w:rsidR="003F440A">
              <w:t> :</w:t>
            </w:r>
          </w:p>
          <w:p w14:paraId="6DE4EFC6" w14:textId="4876C131" w:rsidR="003F440A" w:rsidRDefault="00737574" w:rsidP="00AA4A9F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  <w:bCs/>
              </w:rPr>
              <w:t>Résultat 1 –</w:t>
            </w:r>
            <w:r>
              <w:t xml:space="preserve"> Cartographie des informations et des outils disponibles en Afrique relatifs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à des fins de recherche, de la mise en œuvre des traités relatifs à la propriété intellectuelle aux niveaux national et régional, du cadre juridique, des régimes de licences applicables à l</w:t>
            </w:r>
            <w:r w:rsidR="003F440A">
              <w:t>’</w:t>
            </w:r>
            <w:r>
              <w:t xml:space="preserve">exploration de textes </w:t>
            </w:r>
            <w:r w:rsidR="00EF56C3">
              <w:t>e</w:t>
            </w:r>
            <w:r>
              <w:t>t de données dans tous les pays africains.</w:t>
            </w:r>
          </w:p>
          <w:p w14:paraId="69731961" w14:textId="0A9C1F60" w:rsidR="003F440A" w:rsidRDefault="00737574" w:rsidP="00AA4A9F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</w:rPr>
              <w:t>Activités</w:t>
            </w:r>
            <w:r w:rsidR="003F440A">
              <w:rPr>
                <w:b/>
              </w:rPr>
              <w:t> :</w:t>
            </w:r>
            <w:r>
              <w:t xml:space="preserve"> </w:t>
            </w:r>
            <w:r w:rsidR="00FB0646">
              <w:t>d</w:t>
            </w:r>
            <w:r>
              <w:t>resser la cartographie des documents et ressources disponibles aux niveaux local et régional concernant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à des fins de recherche par les universités et autres établissements axés sur la recherche en Afriq</w:t>
            </w:r>
            <w:r w:rsidR="00C930E2">
              <w:t>ue.  En</w:t>
            </w:r>
            <w:r>
              <w:t>quêter sur la mise en œuvre actuelle des traités aux niveaux national et régional, sur le cadre juridique et les régimes de licences applicables à l</w:t>
            </w:r>
            <w:r w:rsidR="003F440A">
              <w:t>’</w:t>
            </w:r>
            <w:r>
              <w:t>exploration de textes et de données dans chaque pays africain.</w:t>
            </w:r>
          </w:p>
          <w:p w14:paraId="6BE44298" w14:textId="1961AFA1" w:rsidR="00737574" w:rsidRPr="007458BD" w:rsidRDefault="00737574" w:rsidP="00AA4A9F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  <w:bCs/>
              </w:rPr>
              <w:t>Résultat 2</w:t>
            </w:r>
            <w:r>
              <w:t xml:space="preserve"> – Élaboration d</w:t>
            </w:r>
            <w:r w:rsidR="003F440A">
              <w:t>’</w:t>
            </w:r>
            <w:r>
              <w:t>études de cas sur le cadre de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avec trois universités africaines intéressées à piloter le projet afin d</w:t>
            </w:r>
            <w:r w:rsidR="003F440A">
              <w:t>’</w:t>
            </w:r>
            <w:r>
              <w:t>accroître leur sensibilisation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et de renforcer leurs capacités en la matière.</w:t>
            </w:r>
          </w:p>
          <w:p w14:paraId="2EDBB1C3" w14:textId="6AC4DA45" w:rsidR="00737574" w:rsidRPr="007458BD" w:rsidRDefault="00737574" w:rsidP="00AA4A9F">
            <w:pPr>
              <w:pStyle w:val="TableParagraph"/>
              <w:widowControl/>
              <w:spacing w:after="240"/>
              <w:ind w:left="276" w:right="202"/>
              <w:rPr>
                <w:b/>
              </w:rPr>
            </w:pPr>
            <w:r>
              <w:rPr>
                <w:b/>
              </w:rPr>
              <w:t>Activités</w:t>
            </w:r>
            <w:r w:rsidR="003F440A">
              <w:rPr>
                <w:b/>
              </w:rPr>
              <w:t> :</w:t>
            </w:r>
          </w:p>
          <w:p w14:paraId="3D3F5916" w14:textId="51DC54A6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10"/>
              </w:numPr>
              <w:spacing w:after="240"/>
              <w:ind w:left="1126" w:right="202" w:hanging="567"/>
            </w:pPr>
            <w:r>
              <w:t>Identifier trois</w:t>
            </w:r>
            <w:r w:rsidR="00A576F8">
              <w:t> </w:t>
            </w:r>
            <w:r>
              <w:t>universités africaines qui participeront au projet pilote sur les capacités d</w:t>
            </w:r>
            <w:r w:rsidR="003F440A">
              <w:t>’</w:t>
            </w:r>
            <w:r>
              <w:t>exploration de textes et de données.</w:t>
            </w:r>
          </w:p>
          <w:p w14:paraId="42497343" w14:textId="450AF59D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10"/>
              </w:numPr>
              <w:spacing w:after="240"/>
              <w:ind w:left="1126" w:right="202" w:hanging="567"/>
            </w:pPr>
            <w:r>
              <w:t>Organiser des ateliers avec des représentants de la recherche universitaire et d</w:t>
            </w:r>
            <w:r w:rsidR="003F440A">
              <w:t>’</w:t>
            </w:r>
            <w:r>
              <w:t>autres parties prenantes, et élaborer des projets pilotes adaptés à la situation de chaque université.</w:t>
            </w:r>
          </w:p>
          <w:p w14:paraId="16D7BC1E" w14:textId="77777777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10"/>
              </w:numPr>
              <w:spacing w:after="240"/>
              <w:ind w:left="1126" w:right="202" w:hanging="567"/>
            </w:pPr>
            <w:r>
              <w:t>Travailler avec les représentants de la recherche universitaire pour mettre en œuvre les projets pilotes.</w:t>
            </w:r>
          </w:p>
          <w:p w14:paraId="6D587827" w14:textId="77777777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10"/>
              </w:numPr>
              <w:spacing w:after="240"/>
              <w:ind w:left="1126" w:right="202" w:hanging="567"/>
            </w:pPr>
            <w:r>
              <w:t>Rendre compte des projets pilotes dans des études de cas qui serviront de fondement aux supports de formation.</w:t>
            </w:r>
          </w:p>
          <w:p w14:paraId="38C9299B" w14:textId="08B7250E" w:rsidR="003F440A" w:rsidRDefault="00737574" w:rsidP="00AA4A9F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  <w:bCs/>
              </w:rPr>
              <w:t>Résultat 3 –</w:t>
            </w:r>
            <w:r>
              <w:t xml:space="preserve"> Élabor</w:t>
            </w:r>
            <w:r w:rsidR="009B05A6">
              <w:t>ation</w:t>
            </w:r>
            <w:r>
              <w:t xml:space="preserve"> de supports de formation sur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à des fins de recherche scientifique par les universités et autres établissements axés sur la recherche en Afrique.</w:t>
            </w:r>
          </w:p>
          <w:p w14:paraId="7553E8B7" w14:textId="395609E1" w:rsidR="003F440A" w:rsidRPr="0016273B" w:rsidRDefault="00737574" w:rsidP="0016273B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</w:rPr>
              <w:t>Activités</w:t>
            </w:r>
            <w:r w:rsidR="003F440A">
              <w:rPr>
                <w:b/>
              </w:rPr>
              <w:t> :</w:t>
            </w:r>
          </w:p>
          <w:p w14:paraId="215AF715" w14:textId="3CA0B695" w:rsidR="003F440A" w:rsidRDefault="00737574" w:rsidP="0016273B">
            <w:pPr>
              <w:pStyle w:val="TableParagraph"/>
              <w:widowControl/>
              <w:numPr>
                <w:ilvl w:val="0"/>
                <w:numId w:val="9"/>
              </w:numPr>
              <w:spacing w:after="240"/>
              <w:ind w:left="1126" w:right="202" w:hanging="567"/>
            </w:pPr>
            <w:r>
              <w:rPr>
                <w:u w:val="single"/>
              </w:rPr>
              <w:t>Élaborer des supports de formation, notamment des tutoriels vidéo, des documents d</w:t>
            </w:r>
            <w:r w:rsidR="003F440A">
              <w:rPr>
                <w:u w:val="single"/>
              </w:rPr>
              <w:t>’</w:t>
            </w:r>
            <w:r>
              <w:rPr>
                <w:u w:val="single"/>
              </w:rPr>
              <w:t>orientation et des procédures étape par éta</w:t>
            </w:r>
            <w:r w:rsidR="00C930E2">
              <w:rPr>
                <w:u w:val="single"/>
              </w:rPr>
              <w:t>pe</w:t>
            </w:r>
            <w:r w:rsidR="00C930E2" w:rsidRPr="00AA4A9F">
              <w:t xml:space="preserve">.  </w:t>
            </w:r>
            <w:r w:rsidR="00C930E2">
              <w:t>Ce</w:t>
            </w:r>
            <w:r>
              <w:t>s supports de formation serviront de base à un cours mixte constitué de modules, qui permettra aux participants d</w:t>
            </w:r>
            <w:r w:rsidR="003F440A">
              <w:t>’</w:t>
            </w:r>
            <w:r>
              <w:t>acquérir les connaissances et les compétences nécessaires pour prendre des décisions systématiques sur des projets d</w:t>
            </w:r>
            <w:r w:rsidR="003F440A">
              <w:t>’</w:t>
            </w:r>
            <w:r>
              <w:t xml:space="preserve">exploration de textes et de données, notamment pour évaluer la situation juridique et en matière de </w:t>
            </w:r>
            <w:r w:rsidR="006B0988">
              <w:t xml:space="preserve">concession de </w:t>
            </w:r>
            <w:r>
              <w:t>licences en ce qui concerne les contenus à intégrer dans les projets d</w:t>
            </w:r>
            <w:r w:rsidR="003F440A">
              <w:t>’</w:t>
            </w:r>
            <w:r>
              <w:t>exploration de textes et de données nouveaux ou en cours.</w:t>
            </w:r>
          </w:p>
          <w:p w14:paraId="448F9148" w14:textId="5FDB0C9D" w:rsidR="00737574" w:rsidRPr="007458BD" w:rsidRDefault="00CB3D4A" w:rsidP="0016273B">
            <w:pPr>
              <w:pStyle w:val="TableParagraph"/>
              <w:widowControl/>
              <w:numPr>
                <w:ilvl w:val="0"/>
                <w:numId w:val="9"/>
              </w:numPr>
              <w:spacing w:after="240"/>
              <w:ind w:left="1126" w:right="202" w:hanging="567"/>
            </w:pPr>
            <w:r>
              <w:rPr>
                <w:u w:val="single"/>
              </w:rPr>
              <w:t>E</w:t>
            </w:r>
            <w:r w:rsidR="00737574">
              <w:rPr>
                <w:u w:val="single"/>
              </w:rPr>
              <w:t>xamen par des pai</w:t>
            </w:r>
            <w:r w:rsidR="00C930E2">
              <w:rPr>
                <w:u w:val="single"/>
              </w:rPr>
              <w:t>rs</w:t>
            </w:r>
            <w:r w:rsidR="00C930E2" w:rsidRPr="00AA4A9F">
              <w:t xml:space="preserve">.  </w:t>
            </w:r>
            <w:r w:rsidR="00C930E2">
              <w:t>De</w:t>
            </w:r>
            <w:r w:rsidR="00737574">
              <w:t>s experts du domaine seront sélectionnés pour procéder à l</w:t>
            </w:r>
            <w:r w:rsidR="003F440A">
              <w:t>’</w:t>
            </w:r>
            <w:r w:rsidR="00737574">
              <w:t>examen des supports de formati</w:t>
            </w:r>
            <w:r w:rsidR="00C930E2">
              <w:t>on.  Su</w:t>
            </w:r>
            <w:r w:rsidR="00737574">
              <w:t xml:space="preserve">r la base des résultats de </w:t>
            </w:r>
            <w:r>
              <w:t xml:space="preserve">cet </w:t>
            </w:r>
            <w:r w:rsidR="00737574">
              <w:t>examen par des pairs, les supports de formation seront révisés et finalisés.</w:t>
            </w:r>
          </w:p>
          <w:p w14:paraId="03111055" w14:textId="53F64983" w:rsidR="003F440A" w:rsidRDefault="00737574" w:rsidP="0016273B">
            <w:pPr>
              <w:pStyle w:val="TableParagraph"/>
              <w:widowControl/>
              <w:numPr>
                <w:ilvl w:val="0"/>
                <w:numId w:val="9"/>
              </w:numPr>
              <w:spacing w:after="240"/>
              <w:ind w:left="1126" w:right="202" w:hanging="567"/>
            </w:pPr>
            <w:r>
              <w:rPr>
                <w:u w:val="single"/>
              </w:rPr>
              <w:t>Organisation de séminaires de formation régionaux s</w:t>
            </w:r>
            <w:r w:rsidR="003F440A">
              <w:rPr>
                <w:u w:val="single"/>
              </w:rPr>
              <w:t>’</w:t>
            </w:r>
            <w:r>
              <w:rPr>
                <w:u w:val="single"/>
              </w:rPr>
              <w:t>appuyant sur les supports de formation à l</w:t>
            </w:r>
            <w:r w:rsidR="003F440A">
              <w:rPr>
                <w:u w:val="single"/>
              </w:rPr>
              <w:t>’</w:t>
            </w:r>
            <w:r>
              <w:rPr>
                <w:u w:val="single"/>
              </w:rPr>
              <w:t>intention d</w:t>
            </w:r>
            <w:r w:rsidR="003F440A">
              <w:rPr>
                <w:u w:val="single"/>
              </w:rPr>
              <w:t>’</w:t>
            </w:r>
            <w:r>
              <w:rPr>
                <w:u w:val="single"/>
              </w:rPr>
              <w:t>un plus vaste groupe de parties prenant</w:t>
            </w:r>
            <w:r w:rsidR="00C930E2">
              <w:rPr>
                <w:u w:val="single"/>
              </w:rPr>
              <w:t>es</w:t>
            </w:r>
            <w:r w:rsidR="00C930E2" w:rsidRPr="00AA4A9F">
              <w:t xml:space="preserve">.  </w:t>
            </w:r>
            <w:r w:rsidR="00C930E2">
              <w:t>Le</w:t>
            </w:r>
            <w:r>
              <w:t>s séminaires de formation régionaux permettront de renforcer les capacités d</w:t>
            </w:r>
            <w:r w:rsidR="003F440A">
              <w:t>’</w:t>
            </w:r>
            <w:r>
              <w:t>un plus grand nombre de parties prenantes, et en particulier d</w:t>
            </w:r>
            <w:r w:rsidR="003F440A">
              <w:t>’</w:t>
            </w:r>
            <w:r>
              <w:t>un plus grand nombre d</w:t>
            </w:r>
            <w:r w:rsidR="003F440A">
              <w:t>’</w:t>
            </w:r>
            <w:r>
              <w:t>universités et d</w:t>
            </w:r>
            <w:r w:rsidR="003F440A">
              <w:t>’</w:t>
            </w:r>
            <w:r>
              <w:t xml:space="preserve">établissements axés sur la recherche à travers le continent africain, </w:t>
            </w:r>
            <w:r w:rsidR="003F440A">
              <w:t>y compris</w:t>
            </w:r>
            <w:r>
              <w:t xml:space="preserve"> les expériences recueillies au cours de la phase pilote des études de c</w:t>
            </w:r>
            <w:r w:rsidR="00C930E2">
              <w:t>as.  Ce</w:t>
            </w:r>
            <w:r>
              <w:t>tte possibilité de travailler en réseau aidera à dispenser des conseils pratiques et à transmettre des idées qui répondront aux besoins et au contexte spécifiques de tous les pays africains participants, et permettra d</w:t>
            </w:r>
            <w:r w:rsidR="003F440A">
              <w:t>’</w:t>
            </w:r>
            <w:r>
              <w:t>établir des relations pour faciliter la collaboration future.</w:t>
            </w:r>
          </w:p>
          <w:p w14:paraId="787EA443" w14:textId="354F7EC9" w:rsidR="00737574" w:rsidRPr="007458BD" w:rsidRDefault="00737574" w:rsidP="0016273B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</w:rPr>
              <w:t>Résultat 4</w:t>
            </w:r>
            <w:r>
              <w:t xml:space="preserve"> – Création d</w:t>
            </w:r>
            <w:r w:rsidR="003F440A">
              <w:t>’</w:t>
            </w:r>
            <w:r>
              <w:t xml:space="preserve">une </w:t>
            </w:r>
            <w:r w:rsidR="003F440A">
              <w:t>page W</w:t>
            </w:r>
            <w:r>
              <w:t>eb dédiée qui permettra d</w:t>
            </w:r>
            <w:r w:rsidR="003F440A">
              <w:t>’</w:t>
            </w:r>
            <w:r>
              <w:t>accéder aisément à tous les résultats produits dans le cadre du projet pilote.</w:t>
            </w:r>
          </w:p>
          <w:p w14:paraId="6F5918BD" w14:textId="686B8B32" w:rsidR="003F440A" w:rsidRDefault="00737574" w:rsidP="0016273B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</w:rPr>
              <w:t>Activités</w:t>
            </w:r>
            <w:r w:rsidR="003F440A">
              <w:rPr>
                <w:b/>
              </w:rPr>
              <w:t> :</w:t>
            </w:r>
            <w:r>
              <w:t xml:space="preserve"> </w:t>
            </w:r>
            <w:r w:rsidR="00874B11">
              <w:t>u</w:t>
            </w:r>
            <w:r>
              <w:t xml:space="preserve">ne </w:t>
            </w:r>
            <w:r w:rsidR="003F440A">
              <w:t>page W</w:t>
            </w:r>
            <w:r>
              <w:t>eb dédiée sera cré</w:t>
            </w:r>
            <w:r w:rsidR="00874B11">
              <w:t>ée</w:t>
            </w:r>
            <w:r>
              <w:t xml:space="preserve"> afin de permettre d</w:t>
            </w:r>
            <w:r w:rsidR="003F440A">
              <w:t>’</w:t>
            </w:r>
            <w:r>
              <w:t>accéder aisément à tous les résultats produits dans le cadre du projet pilote.</w:t>
            </w:r>
          </w:p>
          <w:p w14:paraId="50B09802" w14:textId="5FD020C0" w:rsidR="00737574" w:rsidRPr="007458BD" w:rsidRDefault="00737574" w:rsidP="00AA4A9F">
            <w:pPr>
              <w:pStyle w:val="TableParagraph"/>
              <w:widowControl/>
              <w:spacing w:after="120"/>
              <w:ind w:left="276" w:right="202"/>
            </w:pPr>
            <w:r>
              <w:t>Lorsque cela sera possible et applicable, l</w:t>
            </w:r>
            <w:r w:rsidR="003F440A">
              <w:t>’</w:t>
            </w:r>
            <w:r>
              <w:t>OMPI travaillera en partenariat avec l</w:t>
            </w:r>
            <w:r w:rsidR="003F440A">
              <w:t>’</w:t>
            </w:r>
            <w:r>
              <w:t>Organisation régionale africaine de la propriété intellectuelle</w:t>
            </w:r>
            <w:r w:rsidR="00AA4A9F">
              <w:t> </w:t>
            </w:r>
            <w:r>
              <w:t>(ARIPO) et l</w:t>
            </w:r>
            <w:r w:rsidR="003F440A">
              <w:t>’</w:t>
            </w:r>
            <w:r>
              <w:t>Organisation africaine</w:t>
            </w:r>
            <w:r w:rsidR="00AA4A9F">
              <w:t xml:space="preserve"> de la propriété intellectuelle </w:t>
            </w:r>
            <w:r>
              <w:t>(OAPI), en particulier pour l</w:t>
            </w:r>
            <w:r w:rsidR="003F440A">
              <w:t>’</w:t>
            </w:r>
            <w:r>
              <w:t>organisation des séminaires régionaux.</w:t>
            </w:r>
          </w:p>
        </w:tc>
      </w:tr>
      <w:tr w:rsidR="00737574" w:rsidRPr="0060345C" w14:paraId="60F27916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07BFB795" w14:textId="7CCE5925" w:rsidR="00737574" w:rsidRPr="0060345C" w:rsidRDefault="00562891" w:rsidP="00562891">
            <w:pPr>
              <w:pStyle w:val="TableParagraph"/>
              <w:widowControl/>
              <w:jc w:val="center"/>
              <w:rPr>
                <w:b/>
                <w:bCs/>
              </w:rPr>
            </w:pPr>
            <w:r>
              <w:rPr>
                <w:b/>
              </w:rPr>
              <w:t>2.3</w:t>
            </w:r>
            <w:r>
              <w:rPr>
                <w:b/>
              </w:rPr>
              <w:tab/>
            </w:r>
            <w:r w:rsidR="00737574" w:rsidRPr="00AA4A9F">
              <w:rPr>
                <w:b/>
              </w:rPr>
              <w:t>Indicateurs du projet</w:t>
            </w:r>
          </w:p>
        </w:tc>
      </w:tr>
      <w:tr w:rsidR="00737574" w:rsidRPr="007458BD" w14:paraId="7CDB65C3" w14:textId="77777777" w:rsidTr="00C930E2">
        <w:trPr>
          <w:trHeight w:val="80"/>
        </w:trPr>
        <w:tc>
          <w:tcPr>
            <w:tcW w:w="4676" w:type="dxa"/>
            <w:shd w:val="clear" w:color="auto" w:fill="FFFFFF" w:themeFill="background1"/>
          </w:tcPr>
          <w:p w14:paraId="511C3667" w14:textId="5DF17EB8" w:rsidR="00737574" w:rsidRPr="00AA4A9F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  <w:rPr>
                <w:bCs/>
              </w:rPr>
            </w:pPr>
            <w:r>
              <w:rPr>
                <w:b/>
                <w:u w:val="single"/>
              </w:rPr>
              <w:t>Objectif du projet</w:t>
            </w:r>
            <w:r w:rsidR="003F440A" w:rsidRPr="00AA4A9F">
              <w:t> :</w:t>
            </w:r>
          </w:p>
          <w:p w14:paraId="425FFF76" w14:textId="0129A31C" w:rsidR="00737574" w:rsidRPr="007458BD" w:rsidRDefault="00737574" w:rsidP="00C66634">
            <w:pPr>
              <w:pStyle w:val="TableParagraph"/>
              <w:widowControl/>
              <w:spacing w:after="120"/>
              <w:ind w:left="276"/>
            </w:pPr>
            <w:r>
              <w:t xml:space="preserve">Le projet a pour </w:t>
            </w:r>
            <w:r>
              <w:rPr>
                <w:b/>
                <w:bCs/>
              </w:rPr>
              <w:t>objectif</w:t>
            </w:r>
            <w:r>
              <w:t xml:space="preserve"> global d</w:t>
            </w:r>
            <w:r w:rsidR="003F440A">
              <w:t>’</w:t>
            </w:r>
            <w:r>
              <w:t>améliorer la sensibilisation, d</w:t>
            </w:r>
            <w:r w:rsidR="003F440A">
              <w:t>’</w:t>
            </w:r>
            <w:r>
              <w:t>offrir des possibilités de travailler en réseau et de renforcer les capacités à utiliser l</w:t>
            </w:r>
            <w:r w:rsidR="003F440A">
              <w:t>’</w:t>
            </w:r>
            <w:r>
              <w:t>exploration de textes et de données dans les projets de recherche entrepris par les universités et les autres établissements axés sur la recherche en Afrique, afin de faciliter l</w:t>
            </w:r>
            <w:r w:rsidR="003F440A">
              <w:t>’</w:t>
            </w:r>
            <w:r>
              <w:t>utilisation des outils de l</w:t>
            </w:r>
            <w:r w:rsidR="003F440A">
              <w:t>’</w:t>
            </w:r>
            <w:r>
              <w:t>IA.</w:t>
            </w:r>
          </w:p>
        </w:tc>
        <w:tc>
          <w:tcPr>
            <w:tcW w:w="4676" w:type="dxa"/>
            <w:shd w:val="clear" w:color="auto" w:fill="FFFFFF" w:themeFill="background1"/>
          </w:tcPr>
          <w:p w14:paraId="77D816E0" w14:textId="3720B48A" w:rsidR="00737574" w:rsidRPr="00AA4A9F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  <w:rPr>
                <w:bCs/>
              </w:rPr>
            </w:pPr>
            <w:r>
              <w:rPr>
                <w:b/>
                <w:u w:val="single"/>
              </w:rPr>
              <w:t>Indicateur d</w:t>
            </w:r>
            <w:r w:rsidR="003F440A">
              <w:rPr>
                <w:b/>
                <w:u w:val="single"/>
              </w:rPr>
              <w:t>’</w:t>
            </w:r>
            <w:r>
              <w:rPr>
                <w:b/>
                <w:u w:val="single"/>
              </w:rPr>
              <w:t>objectif</w:t>
            </w:r>
            <w:r w:rsidR="003F440A" w:rsidRPr="00AA4A9F">
              <w:t> :</w:t>
            </w:r>
          </w:p>
          <w:p w14:paraId="6B678161" w14:textId="765B9E77" w:rsidR="00737574" w:rsidRPr="007458BD" w:rsidRDefault="00737574" w:rsidP="008457E5">
            <w:pPr>
              <w:pStyle w:val="TableParagraph"/>
              <w:widowControl/>
              <w:spacing w:after="240"/>
              <w:ind w:left="278"/>
            </w:pPr>
            <w:r>
              <w:t>50% des parties prenantes des universités sélectionnées ont indiqué qu</w:t>
            </w:r>
            <w:r w:rsidR="003F440A">
              <w:t>’</w:t>
            </w:r>
            <w:r>
              <w:t>elles étaient plus sensibles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et qu</w:t>
            </w:r>
            <w:r w:rsidR="003F440A">
              <w:t>’</w:t>
            </w:r>
            <w:r>
              <w:t>elles avaient amélioré leurs capacités en la matière dans des projets de recherche qu</w:t>
            </w:r>
            <w:r w:rsidR="003F440A">
              <w:t>’</w:t>
            </w:r>
            <w:r>
              <w:t>elles ont entrepris à la suite du projet.</w:t>
            </w:r>
          </w:p>
        </w:tc>
      </w:tr>
      <w:tr w:rsidR="00737574" w:rsidRPr="007458BD" w14:paraId="28E37513" w14:textId="77777777" w:rsidTr="00C930E2">
        <w:trPr>
          <w:trHeight w:val="1337"/>
        </w:trPr>
        <w:tc>
          <w:tcPr>
            <w:tcW w:w="4676" w:type="dxa"/>
            <w:shd w:val="clear" w:color="auto" w:fill="FFFFFF" w:themeFill="background1"/>
          </w:tcPr>
          <w:p w14:paraId="07DBF00A" w14:textId="730EE1B3" w:rsidR="00737574" w:rsidRPr="00AA4A9F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  <w:rPr>
                <w:bCs/>
              </w:rPr>
            </w:pPr>
            <w:r>
              <w:rPr>
                <w:b/>
                <w:u w:val="single"/>
              </w:rPr>
              <w:t>Résultats du projet</w:t>
            </w:r>
            <w:r w:rsidR="003F440A" w:rsidRPr="00AA4A9F">
              <w:t> :</w:t>
            </w:r>
          </w:p>
          <w:p w14:paraId="288265A3" w14:textId="3B632D6D" w:rsidR="00737574" w:rsidRPr="007458BD" w:rsidRDefault="00737574" w:rsidP="008457E5">
            <w:pPr>
              <w:pStyle w:val="TableParagraph"/>
              <w:widowControl/>
              <w:ind w:left="276"/>
            </w:pPr>
            <w:r>
              <w:t>Faciliter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dans les recherches entreprises par les universités et autres établissements axés sur la recherche en Afrique, sur la base d</w:t>
            </w:r>
            <w:r w:rsidR="003F440A">
              <w:t>’</w:t>
            </w:r>
            <w:r>
              <w:t>un ensemble d</w:t>
            </w:r>
            <w:r w:rsidR="003F440A">
              <w:t>’</w:t>
            </w:r>
            <w:r>
              <w:t>outils et de supports de formation personnalisés.</w:t>
            </w:r>
          </w:p>
        </w:tc>
        <w:tc>
          <w:tcPr>
            <w:tcW w:w="4676" w:type="dxa"/>
            <w:shd w:val="clear" w:color="auto" w:fill="FFFFFF" w:themeFill="background1"/>
          </w:tcPr>
          <w:p w14:paraId="2D81DFEE" w14:textId="0FEDC453" w:rsidR="00737574" w:rsidRPr="00AA4A9F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  <w:rPr>
                <w:bCs/>
              </w:rPr>
            </w:pPr>
            <w:r>
              <w:rPr>
                <w:b/>
                <w:u w:val="single"/>
              </w:rPr>
              <w:t>Indicateurs de résultats</w:t>
            </w:r>
            <w:r w:rsidR="003F440A" w:rsidRPr="00AA4A9F">
              <w:t> :</w:t>
            </w:r>
          </w:p>
          <w:p w14:paraId="6A786C66" w14:textId="581934BA" w:rsidR="00737574" w:rsidRPr="008A08C8" w:rsidRDefault="00737574" w:rsidP="00C66634">
            <w:pPr>
              <w:pStyle w:val="TableParagraph"/>
              <w:widowControl/>
              <w:spacing w:after="240"/>
              <w:ind w:left="278"/>
            </w:pPr>
            <w:r>
              <w:t>50% du personnel des universités et des établissements de recherche d</w:t>
            </w:r>
            <w:r w:rsidR="003F440A">
              <w:t>’</w:t>
            </w:r>
            <w:r>
              <w:t>Afrique qui ont utilisé les outils et les supports de formation élaborés en tant que résultats du projet, les ont trouvés utiles et adaptés à leur finalité.</w:t>
            </w:r>
          </w:p>
        </w:tc>
      </w:tr>
      <w:tr w:rsidR="00737574" w:rsidRPr="007458BD" w14:paraId="0C6E5752" w14:textId="77777777" w:rsidTr="00C930E2">
        <w:trPr>
          <w:trHeight w:val="952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0D383988" w14:textId="7690A502" w:rsidR="003F440A" w:rsidRPr="0016273B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</w:pPr>
            <w:r>
              <w:rPr>
                <w:b/>
                <w:u w:val="single"/>
              </w:rPr>
              <w:t>Résultats du projet</w:t>
            </w:r>
            <w:r w:rsidR="003F440A" w:rsidRPr="0016273B">
              <w:t> :</w:t>
            </w:r>
          </w:p>
          <w:p w14:paraId="14AE8F50" w14:textId="2485988E" w:rsidR="00737574" w:rsidRPr="007458BD" w:rsidRDefault="00737574" w:rsidP="00C66634">
            <w:pPr>
              <w:pStyle w:val="TableParagraph"/>
              <w:widowControl/>
              <w:spacing w:after="120"/>
              <w:ind w:left="276"/>
            </w:pPr>
            <w:r>
              <w:t>Cartographie du paysage africain de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des fins de recherche</w:t>
            </w:r>
            <w:r w:rsidR="003F440A">
              <w:t> :</w:t>
            </w:r>
            <w:r>
              <w:t xml:space="preserve"> mise en œuvre actuelle des traités aux niveaux national et régional, cadre juridique et régimes de licences applicables à l</w:t>
            </w:r>
            <w:r w:rsidR="003F440A">
              <w:t>’</w:t>
            </w:r>
            <w:r>
              <w:t>exploration de textes et de données dans chaque pays africain.</w:t>
            </w:r>
          </w:p>
        </w:tc>
        <w:tc>
          <w:tcPr>
            <w:tcW w:w="4676" w:type="dxa"/>
            <w:shd w:val="clear" w:color="auto" w:fill="FFFFFF" w:themeFill="background1"/>
          </w:tcPr>
          <w:p w14:paraId="07BCBA18" w14:textId="64DCC829" w:rsidR="00737574" w:rsidRPr="0016273B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  <w:rPr>
                <w:bCs/>
              </w:rPr>
            </w:pPr>
            <w:r>
              <w:rPr>
                <w:b/>
                <w:u w:val="single"/>
              </w:rPr>
              <w:t>Indicateurs de résultats</w:t>
            </w:r>
            <w:r w:rsidR="003F440A" w:rsidRPr="0016273B">
              <w:t> :</w:t>
            </w:r>
          </w:p>
          <w:p w14:paraId="6E3BEFE0" w14:textId="34351F34" w:rsidR="00737574" w:rsidRPr="008A08C8" w:rsidRDefault="008457E5" w:rsidP="008900E0">
            <w:pPr>
              <w:pStyle w:val="TableParagraph"/>
              <w:widowControl/>
              <w:spacing w:after="120"/>
              <w:ind w:left="278"/>
              <w:rPr>
                <w:b/>
                <w:bCs/>
              </w:rPr>
            </w:pPr>
            <w:r>
              <w:t>-</w:t>
            </w:r>
            <w:r>
              <w:tab/>
            </w:r>
            <w:r w:rsidR="00737574">
              <w:t>Un document contenant la cartographie des informations disponibles sur l</w:t>
            </w:r>
            <w:r w:rsidR="003F440A">
              <w:t>’</w:t>
            </w:r>
            <w:r w:rsidR="00737574">
              <w:t>utilisation de l</w:t>
            </w:r>
            <w:r w:rsidR="003F440A">
              <w:t>’</w:t>
            </w:r>
            <w:r w:rsidR="00737574">
              <w:t>exploration de textes et de données à des fins de recherche en Afrique, l</w:t>
            </w:r>
            <w:r w:rsidR="003F440A">
              <w:t>’</w:t>
            </w:r>
            <w:r w:rsidR="00737574">
              <w:t>enquête sur la mise en œuvre des traité</w:t>
            </w:r>
            <w:r w:rsidR="004F4BBE">
              <w:t>s</w:t>
            </w:r>
            <w:r w:rsidR="00737574">
              <w:t xml:space="preserve"> au niveau national et régional, les cadres juridiques et les régimes et pratiques </w:t>
            </w:r>
            <w:r w:rsidR="004F4BBE">
              <w:t xml:space="preserve">en matière de licences </w:t>
            </w:r>
            <w:r w:rsidR="00737574">
              <w:t>applicables à l</w:t>
            </w:r>
            <w:r w:rsidR="003F440A">
              <w:t>’</w:t>
            </w:r>
            <w:r w:rsidR="00737574">
              <w:t>exploration de textes et de données, élaborés et publ</w:t>
            </w:r>
            <w:r w:rsidR="0016273B">
              <w:t>iés conformément au calendrier.</w:t>
            </w:r>
          </w:p>
        </w:tc>
      </w:tr>
      <w:tr w:rsidR="00737574" w:rsidRPr="007458BD" w14:paraId="3DAE3262" w14:textId="77777777" w:rsidTr="00C930E2">
        <w:trPr>
          <w:trHeight w:val="738"/>
        </w:trPr>
        <w:tc>
          <w:tcPr>
            <w:tcW w:w="4676" w:type="dxa"/>
            <w:vMerge/>
            <w:shd w:val="clear" w:color="auto" w:fill="FFFFFF" w:themeFill="background1"/>
          </w:tcPr>
          <w:p w14:paraId="00188A7B" w14:textId="77777777" w:rsidR="00737574" w:rsidRPr="007458BD" w:rsidRDefault="00737574" w:rsidP="00C930E2">
            <w:pPr>
              <w:pStyle w:val="TableParagraph"/>
              <w:widowControl/>
              <w:ind w:left="121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4885522C" w14:textId="3677EEF5" w:rsidR="00737574" w:rsidRPr="007458BD" w:rsidRDefault="008457E5" w:rsidP="008900E0">
            <w:pPr>
              <w:pStyle w:val="TableParagraph"/>
              <w:widowControl/>
              <w:spacing w:before="120" w:after="120"/>
              <w:ind w:left="278"/>
            </w:pPr>
            <w:r>
              <w:t>-</w:t>
            </w:r>
            <w:r>
              <w:tab/>
            </w:r>
            <w:r w:rsidR="00737574">
              <w:t>Au moins 50 téléchargements de la cartographie dans les trois</w:t>
            </w:r>
            <w:r w:rsidR="001C7518">
              <w:t> </w:t>
            </w:r>
            <w:r w:rsidR="00737574">
              <w:t>p</w:t>
            </w:r>
            <w:r w:rsidR="0016273B">
              <w:t>remiers mois de sa publication.</w:t>
            </w:r>
          </w:p>
        </w:tc>
      </w:tr>
    </w:tbl>
    <w:p w14:paraId="4CFD666D" w14:textId="77777777" w:rsidR="008457E5" w:rsidRDefault="008457E5">
      <w:r>
        <w:br w:type="page"/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"/>
      </w:tblPr>
      <w:tblGrid>
        <w:gridCol w:w="4676"/>
        <w:gridCol w:w="4676"/>
      </w:tblGrid>
      <w:tr w:rsidR="00737574" w:rsidRPr="007458BD" w14:paraId="569C0F5E" w14:textId="77777777" w:rsidTr="00C930E2">
        <w:trPr>
          <w:trHeight w:val="590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629C56C7" w14:textId="5D1A1751" w:rsidR="00737574" w:rsidRPr="007458BD" w:rsidRDefault="00737574" w:rsidP="008457E5">
            <w:pPr>
              <w:pStyle w:val="TableParagraph"/>
              <w:keepLines/>
              <w:widowControl/>
              <w:ind w:left="276"/>
            </w:pPr>
            <w:r>
              <w:t>Élaboration d</w:t>
            </w:r>
            <w:r w:rsidR="003F440A">
              <w:t>’</w:t>
            </w:r>
            <w:r>
              <w:t>études de cas sur le cadre de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avec trois universités africaines intéressées à piloter le projet pour accroître leur sensibilisation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et renforcer leurs capacités en la matière.</w:t>
            </w:r>
          </w:p>
        </w:tc>
        <w:tc>
          <w:tcPr>
            <w:tcW w:w="4676" w:type="dxa"/>
            <w:shd w:val="clear" w:color="auto" w:fill="FFFFFF" w:themeFill="background1"/>
          </w:tcPr>
          <w:p w14:paraId="22BA0D47" w14:textId="5D49C327" w:rsidR="00737574" w:rsidRPr="007458BD" w:rsidRDefault="008457E5" w:rsidP="008457E5">
            <w:pPr>
              <w:pStyle w:val="TableParagraph"/>
              <w:keepNext/>
              <w:keepLines/>
              <w:widowControl/>
              <w:spacing w:before="120" w:after="120"/>
              <w:ind w:left="278"/>
            </w:pPr>
            <w:r>
              <w:t>-</w:t>
            </w:r>
            <w:r>
              <w:tab/>
            </w:r>
            <w:r w:rsidR="00737574">
              <w:t>Identification de trois</w:t>
            </w:r>
            <w:r w:rsidR="00A576F8">
              <w:t> </w:t>
            </w:r>
            <w:r w:rsidR="00737574">
              <w:t>universités africaines qui participeront au projet pilote sur les capacités d</w:t>
            </w:r>
            <w:r w:rsidR="003F440A">
              <w:t>’</w:t>
            </w:r>
            <w:r w:rsidR="00737574">
              <w:t>exploration de textes et de données.</w:t>
            </w:r>
          </w:p>
        </w:tc>
      </w:tr>
      <w:tr w:rsidR="00737574" w:rsidRPr="007458BD" w14:paraId="713AB283" w14:textId="77777777" w:rsidTr="00C930E2">
        <w:trPr>
          <w:trHeight w:val="590"/>
        </w:trPr>
        <w:tc>
          <w:tcPr>
            <w:tcW w:w="4676" w:type="dxa"/>
            <w:vMerge/>
            <w:shd w:val="clear" w:color="auto" w:fill="FFFFFF" w:themeFill="background1"/>
          </w:tcPr>
          <w:p w14:paraId="3C067A4A" w14:textId="77777777" w:rsidR="00737574" w:rsidRPr="007458BD" w:rsidRDefault="00737574" w:rsidP="00C930E2">
            <w:pPr>
              <w:pStyle w:val="TableParagraph"/>
              <w:widowControl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5F8E4D5C" w14:textId="585733C5" w:rsidR="00737574" w:rsidRPr="007458BD" w:rsidRDefault="008457E5" w:rsidP="008900E0">
            <w:pPr>
              <w:pStyle w:val="TableParagraph"/>
              <w:widowControl/>
              <w:spacing w:before="120" w:after="120"/>
              <w:ind w:left="278"/>
            </w:pPr>
            <w:r>
              <w:t>-</w:t>
            </w:r>
            <w:r>
              <w:tab/>
            </w:r>
            <w:r w:rsidR="00737574">
              <w:t>Organisation de trois</w:t>
            </w:r>
            <w:r w:rsidR="001C7518">
              <w:t> </w:t>
            </w:r>
            <w:r w:rsidR="00737574">
              <w:t>ateliers (un dans chaque université sélectionnée) avec des représentants de la recherche universitaire et d</w:t>
            </w:r>
            <w:r w:rsidR="003F440A">
              <w:t>’</w:t>
            </w:r>
            <w:r w:rsidR="00737574">
              <w:t>autres parties prenantes, et élaboration de projets pilotes adaptés à la situation de chaque université.</w:t>
            </w:r>
          </w:p>
        </w:tc>
      </w:tr>
      <w:tr w:rsidR="00737574" w:rsidRPr="007458BD" w14:paraId="192B8D14" w14:textId="77777777" w:rsidTr="00C930E2">
        <w:trPr>
          <w:trHeight w:val="316"/>
        </w:trPr>
        <w:tc>
          <w:tcPr>
            <w:tcW w:w="4676" w:type="dxa"/>
            <w:vMerge/>
            <w:shd w:val="clear" w:color="auto" w:fill="FFFFFF" w:themeFill="background1"/>
          </w:tcPr>
          <w:p w14:paraId="73DF4199" w14:textId="77777777" w:rsidR="00737574" w:rsidRPr="007458BD" w:rsidRDefault="00737574" w:rsidP="00C930E2">
            <w:pPr>
              <w:pStyle w:val="TableParagraph"/>
              <w:widowControl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56E48E15" w14:textId="62829DA3" w:rsidR="00737574" w:rsidRPr="007458BD" w:rsidRDefault="008457E5" w:rsidP="008900E0">
            <w:pPr>
              <w:pStyle w:val="TableParagraph"/>
              <w:widowControl/>
              <w:spacing w:before="120" w:after="120"/>
              <w:ind w:left="278"/>
            </w:pPr>
            <w:r>
              <w:t>-</w:t>
            </w:r>
            <w:r>
              <w:tab/>
            </w:r>
            <w:r w:rsidR="00737574">
              <w:t>Trois projets pilotes mis en œuvre dans les universités sélectionnées.</w:t>
            </w:r>
          </w:p>
        </w:tc>
      </w:tr>
      <w:tr w:rsidR="00737574" w:rsidRPr="007458BD" w14:paraId="4151D03C" w14:textId="77777777" w:rsidTr="00C930E2">
        <w:trPr>
          <w:trHeight w:val="316"/>
        </w:trPr>
        <w:tc>
          <w:tcPr>
            <w:tcW w:w="4676" w:type="dxa"/>
            <w:vMerge/>
            <w:shd w:val="clear" w:color="auto" w:fill="FFFFFF" w:themeFill="background1"/>
          </w:tcPr>
          <w:p w14:paraId="36CFFCC0" w14:textId="77777777" w:rsidR="00737574" w:rsidRPr="007458BD" w:rsidRDefault="00737574" w:rsidP="00C930E2">
            <w:pPr>
              <w:pStyle w:val="TableParagraph"/>
              <w:widowControl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64202C56" w14:textId="796A3806" w:rsidR="00737574" w:rsidRPr="007458BD" w:rsidRDefault="008457E5" w:rsidP="008900E0">
            <w:pPr>
              <w:pStyle w:val="TableParagraph"/>
              <w:widowControl/>
              <w:spacing w:before="120" w:after="120"/>
              <w:ind w:left="278"/>
            </w:pPr>
            <w:r>
              <w:t>-</w:t>
            </w:r>
            <w:r>
              <w:tab/>
            </w:r>
            <w:r w:rsidR="00737574">
              <w:t>Élaboration et publication d</w:t>
            </w:r>
            <w:r w:rsidR="003F440A">
              <w:t>’</w:t>
            </w:r>
            <w:r w:rsidR="00737574">
              <w:t>études de cas sur le cadre de l</w:t>
            </w:r>
            <w:r w:rsidR="003F440A">
              <w:t>’</w:t>
            </w:r>
            <w:r w:rsidR="00737574">
              <w:t>utilisation de l</w:t>
            </w:r>
            <w:r w:rsidR="003F440A">
              <w:t>’</w:t>
            </w:r>
            <w:r w:rsidR="00737574">
              <w:t>exploration de texte et de données avec trois universités africaines conformément au calendrier.</w:t>
            </w:r>
          </w:p>
        </w:tc>
      </w:tr>
      <w:tr w:rsidR="00737574" w:rsidRPr="007458BD" w14:paraId="78CA0FD0" w14:textId="77777777" w:rsidTr="00C930E2">
        <w:trPr>
          <w:trHeight w:val="739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7AAE6456" w14:textId="4082CF9F" w:rsidR="00737574" w:rsidRPr="007458BD" w:rsidRDefault="00737574" w:rsidP="00C66634">
            <w:pPr>
              <w:pStyle w:val="TableParagraph"/>
              <w:widowControl/>
              <w:spacing w:before="120" w:after="120"/>
              <w:ind w:left="276"/>
              <w:rPr>
                <w:b/>
                <w:bCs/>
                <w:u w:val="single"/>
              </w:rPr>
            </w:pPr>
            <w:r>
              <w:t>Élaboration de supports de formation apportant aux apprenants les connaissances et les compétences nécessaires pour prendre des décisions systématiques sur les projets d</w:t>
            </w:r>
            <w:r w:rsidR="003F440A">
              <w:t>’</w:t>
            </w:r>
            <w:r>
              <w:t xml:space="preserve">exploration de textes et de données, </w:t>
            </w:r>
            <w:r w:rsidR="003F440A">
              <w:t>y compris</w:t>
            </w:r>
            <w:r>
              <w:t xml:space="preserve"> pour évaluer la situation juridique et en matière de concession de licences en ce qui concerne le contenu à intégrer dans les projets d</w:t>
            </w:r>
            <w:r w:rsidR="003F440A">
              <w:t>’</w:t>
            </w:r>
            <w:r>
              <w:t>exploration de textes et de données nouveaux ou en cours.</w:t>
            </w:r>
          </w:p>
        </w:tc>
        <w:tc>
          <w:tcPr>
            <w:tcW w:w="4676" w:type="dxa"/>
            <w:shd w:val="clear" w:color="auto" w:fill="FFFFFF" w:themeFill="background1"/>
          </w:tcPr>
          <w:p w14:paraId="0F4C2F95" w14:textId="30B6BBFB" w:rsidR="00737574" w:rsidRPr="007458BD" w:rsidRDefault="008457E5" w:rsidP="008900E0">
            <w:pPr>
              <w:pStyle w:val="TableParagraph"/>
              <w:widowControl/>
              <w:spacing w:before="120" w:after="120"/>
              <w:ind w:left="278"/>
            </w:pPr>
            <w:r>
              <w:t>-</w:t>
            </w:r>
            <w:r>
              <w:tab/>
            </w:r>
            <w:r w:rsidR="00737574">
              <w:t>Supports de formation élaborés conformément au calendrier.</w:t>
            </w:r>
          </w:p>
        </w:tc>
      </w:tr>
      <w:tr w:rsidR="00737574" w:rsidRPr="007458BD" w14:paraId="58FEF2C2" w14:textId="77777777" w:rsidTr="00C930E2">
        <w:trPr>
          <w:trHeight w:val="739"/>
        </w:trPr>
        <w:tc>
          <w:tcPr>
            <w:tcW w:w="4676" w:type="dxa"/>
            <w:vMerge/>
            <w:shd w:val="clear" w:color="auto" w:fill="FFFFFF" w:themeFill="background1"/>
          </w:tcPr>
          <w:p w14:paraId="7ACD909A" w14:textId="77777777" w:rsidR="00737574" w:rsidRPr="007458BD" w:rsidRDefault="00737574" w:rsidP="00C930E2">
            <w:pPr>
              <w:pStyle w:val="TableParagraph"/>
              <w:widowControl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6DC27B3E" w14:textId="4B34D8A9" w:rsidR="00737574" w:rsidRPr="007458BD" w:rsidRDefault="008457E5" w:rsidP="008900E0">
            <w:pPr>
              <w:pStyle w:val="TableParagraph"/>
              <w:widowControl/>
              <w:spacing w:before="120" w:after="120"/>
              <w:ind w:left="278"/>
            </w:pPr>
            <w:r>
              <w:t>-</w:t>
            </w:r>
            <w:r>
              <w:tab/>
            </w:r>
            <w:r w:rsidR="00737574">
              <w:t>Deux séminaires régionaux de formation et de travail en réseau dévolus, conformément au calendrier du projet.</w:t>
            </w:r>
          </w:p>
        </w:tc>
      </w:tr>
      <w:tr w:rsidR="00737574" w:rsidRPr="007458BD" w14:paraId="016268A4" w14:textId="77777777" w:rsidTr="00C930E2">
        <w:trPr>
          <w:trHeight w:val="678"/>
        </w:trPr>
        <w:tc>
          <w:tcPr>
            <w:tcW w:w="4676" w:type="dxa"/>
            <w:shd w:val="clear" w:color="auto" w:fill="FFFFFF" w:themeFill="background1"/>
          </w:tcPr>
          <w:p w14:paraId="589C39D2" w14:textId="61BFD795" w:rsidR="00737574" w:rsidRPr="0016273B" w:rsidRDefault="00737574" w:rsidP="00C66634">
            <w:pPr>
              <w:pStyle w:val="TableParagraph"/>
              <w:widowControl/>
              <w:spacing w:before="120" w:after="120"/>
              <w:ind w:left="276"/>
            </w:pPr>
            <w:r>
              <w:t>Création d</w:t>
            </w:r>
            <w:r w:rsidR="003F440A">
              <w:t>’</w:t>
            </w:r>
            <w:r>
              <w:t xml:space="preserve">une </w:t>
            </w:r>
            <w:r w:rsidR="003F440A">
              <w:t>page W</w:t>
            </w:r>
            <w:r>
              <w:t>eb dédiée qui permettra d</w:t>
            </w:r>
            <w:r w:rsidR="003F440A">
              <w:t>’</w:t>
            </w:r>
            <w:r>
              <w:t>accéder aisément à tous les résultats produits dans le cadre du projet pilote.</w:t>
            </w:r>
          </w:p>
        </w:tc>
        <w:tc>
          <w:tcPr>
            <w:tcW w:w="4676" w:type="dxa"/>
            <w:shd w:val="clear" w:color="auto" w:fill="FFFFFF" w:themeFill="background1"/>
          </w:tcPr>
          <w:p w14:paraId="7C631D27" w14:textId="623E4978" w:rsidR="00737574" w:rsidRPr="007458BD" w:rsidRDefault="00737574" w:rsidP="00C66634">
            <w:pPr>
              <w:pStyle w:val="TableParagraph"/>
              <w:widowControl/>
              <w:spacing w:before="120" w:after="120"/>
              <w:ind w:left="278"/>
            </w:pPr>
            <w:r>
              <w:t xml:space="preserve">Une </w:t>
            </w:r>
            <w:r w:rsidR="003F440A">
              <w:t>page W</w:t>
            </w:r>
            <w:r>
              <w:t>eb dédiée permettant d</w:t>
            </w:r>
            <w:r w:rsidR="003F440A">
              <w:t>’</w:t>
            </w:r>
            <w:r>
              <w:t>accéder aisément à tous les résultats produits dans le cadre du projet pilote sera élaborée et mise en ligne à la fin de la mise en œuvre du projet.</w:t>
            </w:r>
          </w:p>
        </w:tc>
      </w:tr>
      <w:tr w:rsidR="00737574" w:rsidRPr="000576E0" w14:paraId="578542DC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37551EA4" w14:textId="639A6E03" w:rsidR="00737574" w:rsidRPr="000576E0" w:rsidRDefault="00562891" w:rsidP="00562891">
            <w:pPr>
              <w:pStyle w:val="TableParagraph"/>
              <w:widowControl/>
              <w:jc w:val="center"/>
              <w:rPr>
                <w:b/>
                <w:bCs/>
              </w:rPr>
            </w:pPr>
            <w:r>
              <w:rPr>
                <w:b/>
              </w:rPr>
              <w:t>2.4</w:t>
            </w:r>
            <w:r>
              <w:rPr>
                <w:b/>
              </w:rPr>
              <w:tab/>
            </w:r>
            <w:r w:rsidR="00737574" w:rsidRPr="0016273B">
              <w:rPr>
                <w:b/>
              </w:rPr>
              <w:t>Stratégie de pérennisation</w:t>
            </w:r>
          </w:p>
        </w:tc>
      </w:tr>
      <w:tr w:rsidR="00737574" w:rsidRPr="007458BD" w14:paraId="09588127" w14:textId="77777777" w:rsidTr="00C930E2">
        <w:trPr>
          <w:trHeight w:val="370"/>
        </w:trPr>
        <w:tc>
          <w:tcPr>
            <w:tcW w:w="9352" w:type="dxa"/>
            <w:gridSpan w:val="2"/>
          </w:tcPr>
          <w:p w14:paraId="2E62C997" w14:textId="1854AE1B" w:rsidR="00737574" w:rsidRPr="007458BD" w:rsidRDefault="00737574" w:rsidP="00C66634">
            <w:pPr>
              <w:pStyle w:val="TableParagraph"/>
              <w:widowControl/>
              <w:spacing w:before="120" w:after="240"/>
              <w:ind w:left="276"/>
            </w:pPr>
            <w:r>
              <w:t xml:space="preserve">La </w:t>
            </w:r>
            <w:r w:rsidR="003F440A">
              <w:t>page W</w:t>
            </w:r>
            <w:r>
              <w:t>eb dédiée, qui comprendra la documentation découlant de la cartographie, des études de cas, des informations provenant des séminaires régionaux et d</w:t>
            </w:r>
            <w:r w:rsidR="003F440A">
              <w:t>’</w:t>
            </w:r>
            <w:r>
              <w:t>autres résultats, permettra de s</w:t>
            </w:r>
            <w:r w:rsidR="003F440A">
              <w:t>’</w:t>
            </w:r>
            <w:r>
              <w:t>assurer que les résultats du projet profitent aux pays de la région africaine et d</w:t>
            </w:r>
            <w:r w:rsidR="003F440A">
              <w:t>’</w:t>
            </w:r>
            <w:r>
              <w:t>ailleurs, et ce même après la fin du projet.</w:t>
            </w:r>
          </w:p>
          <w:p w14:paraId="1EDC6D44" w14:textId="1177FC07" w:rsidR="00737574" w:rsidRPr="007458BD" w:rsidRDefault="00737574" w:rsidP="00C66634">
            <w:pPr>
              <w:pStyle w:val="TableParagraph"/>
              <w:widowControl/>
              <w:spacing w:after="120"/>
              <w:ind w:left="276"/>
            </w:pPr>
            <w:r>
              <w:t xml:space="preserve">Il sera procédé à des mises à jour de la stratégie de pérennisation </w:t>
            </w:r>
            <w:r w:rsidR="00C55669">
              <w:t xml:space="preserve">durant </w:t>
            </w:r>
            <w:r>
              <w:t>la mise en œuvre du projet.</w:t>
            </w:r>
          </w:p>
        </w:tc>
      </w:tr>
      <w:tr w:rsidR="00737574" w:rsidRPr="000576E0" w14:paraId="209FB833" w14:textId="77777777" w:rsidTr="00C930E2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235F7888" w14:textId="2E0F9D2F" w:rsidR="00737574" w:rsidRPr="000576E0" w:rsidRDefault="00737574" w:rsidP="00562891">
            <w:pPr>
              <w:pStyle w:val="TableParagraph"/>
              <w:widowControl/>
              <w:spacing w:line="234" w:lineRule="exact"/>
              <w:jc w:val="center"/>
              <w:rPr>
                <w:b/>
              </w:rPr>
            </w:pPr>
            <w:r w:rsidRPr="00E12EFE">
              <w:rPr>
                <w:b/>
              </w:rPr>
              <w:t>2.5</w:t>
            </w:r>
            <w:r w:rsidR="00562891">
              <w:rPr>
                <w:b/>
              </w:rPr>
              <w:tab/>
            </w:r>
            <w:r w:rsidRPr="00E12EFE">
              <w:rPr>
                <w:b/>
              </w:rPr>
              <w:t>Critères de sélection des pays pilotes/bénéficiaires</w:t>
            </w:r>
          </w:p>
        </w:tc>
      </w:tr>
      <w:tr w:rsidR="00737574" w:rsidRPr="007458BD" w14:paraId="36A21956" w14:textId="77777777" w:rsidTr="00C930E2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4765479D" w14:textId="761D76A9" w:rsidR="003F440A" w:rsidRDefault="00737574" w:rsidP="00C66634">
            <w:pPr>
              <w:pStyle w:val="TableParagraph"/>
              <w:widowControl/>
              <w:spacing w:before="120" w:after="120"/>
              <w:ind w:left="276"/>
            </w:pPr>
            <w:r>
              <w:t>Le projet pilote sera mis en œuvre dans la région africai</w:t>
            </w:r>
            <w:r w:rsidR="00C930E2">
              <w:t>ne.  Bi</w:t>
            </w:r>
            <w:r>
              <w:t xml:space="preserve">en que </w:t>
            </w:r>
            <w:r w:rsidR="00C55669">
              <w:t xml:space="preserve">les </w:t>
            </w:r>
            <w:r>
              <w:t>support</w:t>
            </w:r>
            <w:r w:rsidR="00C55669">
              <w:t>s</w:t>
            </w:r>
            <w:r>
              <w:t xml:space="preserve"> de formation soi</w:t>
            </w:r>
            <w:r w:rsidR="00C55669">
              <w:t>en</w:t>
            </w:r>
            <w:r>
              <w:t>t testé</w:t>
            </w:r>
            <w:r w:rsidR="00C55669">
              <w:t>s</w:t>
            </w:r>
            <w:r>
              <w:t xml:space="preserve"> dans trois</w:t>
            </w:r>
            <w:r w:rsidR="00C55669">
              <w:t> </w:t>
            </w:r>
            <w:r>
              <w:t>universités sélectionnées, la cartographie, les études de cas, le</w:t>
            </w:r>
            <w:r w:rsidR="00C55669">
              <w:t>s</w:t>
            </w:r>
            <w:r>
              <w:t xml:space="preserve"> support</w:t>
            </w:r>
            <w:r w:rsidR="00C55669">
              <w:t>s</w:t>
            </w:r>
            <w:r>
              <w:t xml:space="preserve"> de formation </w:t>
            </w:r>
            <w:r w:rsidR="00C55669">
              <w:t xml:space="preserve">finaux </w:t>
            </w:r>
            <w:r>
              <w:t>et les séminaires de formation seront mis à la disposition de tous les pays africains.</w:t>
            </w:r>
          </w:p>
          <w:p w14:paraId="2B2D5B32" w14:textId="70A65619" w:rsidR="003F440A" w:rsidRDefault="00737574" w:rsidP="00C66634">
            <w:pPr>
              <w:pStyle w:val="TableParagraph"/>
              <w:keepNext/>
              <w:keepLines/>
              <w:widowControl/>
              <w:spacing w:after="240"/>
              <w:ind w:left="276"/>
            </w:pPr>
            <w:r>
              <w:t>Les universités seront sélectionnées par le chef de projet, en concertation avec les divisions régionales concernées du Secteur du développement régional et national de l</w:t>
            </w:r>
            <w:r w:rsidR="003F440A">
              <w:t>’</w:t>
            </w:r>
            <w:r>
              <w:t>OMPI, l</w:t>
            </w:r>
            <w:r w:rsidR="003F440A">
              <w:t>’</w:t>
            </w:r>
            <w:r>
              <w:t>Académie de l</w:t>
            </w:r>
            <w:r w:rsidR="003F440A">
              <w:t>’</w:t>
            </w:r>
            <w:r>
              <w:t>OMPI et la Division de la propriété intellectuelle et des technologies de pointe, sur la base de leur manifestation d</w:t>
            </w:r>
            <w:r w:rsidR="003F440A">
              <w:t>’</w:t>
            </w:r>
            <w:r>
              <w:t>intér</w:t>
            </w:r>
            <w:r w:rsidR="00C930E2">
              <w:t>êt.  Le</w:t>
            </w:r>
            <w:r>
              <w:t>s critères suivants peuvent être pris en considération</w:t>
            </w:r>
            <w:r w:rsidR="003F440A">
              <w:t> :</w:t>
            </w:r>
          </w:p>
          <w:p w14:paraId="40A57AA2" w14:textId="3F3D42B5" w:rsidR="00737574" w:rsidRPr="007458BD" w:rsidRDefault="00E12EFE" w:rsidP="00E12EFE">
            <w:pPr>
              <w:pStyle w:val="TableParagraph"/>
              <w:widowControl/>
              <w:numPr>
                <w:ilvl w:val="0"/>
                <w:numId w:val="12"/>
              </w:numPr>
              <w:spacing w:line="242" w:lineRule="auto"/>
              <w:ind w:left="562"/>
            </w:pPr>
            <w:proofErr w:type="gramStart"/>
            <w:r>
              <w:t>c</w:t>
            </w:r>
            <w:r w:rsidR="00737574">
              <w:t>onnaissance</w:t>
            </w:r>
            <w:proofErr w:type="gramEnd"/>
            <w:r w:rsidR="00737574">
              <w:t xml:space="preserve"> des limitations et des exceptions au droit d</w:t>
            </w:r>
            <w:r w:rsidR="003F440A">
              <w:t>’</w:t>
            </w:r>
            <w:r w:rsidR="00737574">
              <w:t>auteur, ainsi que des pratiques en matière de concession de licences liées à la recherche scientifique;</w:t>
            </w:r>
          </w:p>
          <w:p w14:paraId="72F47496" w14:textId="4241B732" w:rsidR="003F440A" w:rsidRDefault="00E12EFE" w:rsidP="00737574">
            <w:pPr>
              <w:pStyle w:val="TableParagraph"/>
              <w:widowControl/>
              <w:numPr>
                <w:ilvl w:val="0"/>
                <w:numId w:val="12"/>
              </w:numPr>
              <w:spacing w:line="242" w:lineRule="auto"/>
            </w:pPr>
            <w:proofErr w:type="gramStart"/>
            <w:r>
              <w:t>e</w:t>
            </w:r>
            <w:r w:rsidR="00737574">
              <w:t>xistence</w:t>
            </w:r>
            <w:proofErr w:type="gramEnd"/>
            <w:r w:rsidR="00737574">
              <w:t xml:space="preserve"> d</w:t>
            </w:r>
            <w:r w:rsidR="003F440A">
              <w:t>’</w:t>
            </w:r>
            <w:r w:rsidR="00737574">
              <w:t>un département de propriété intellectuelle;</w:t>
            </w:r>
          </w:p>
          <w:p w14:paraId="3A3EB1B9" w14:textId="6DB8546B" w:rsidR="003F440A" w:rsidRDefault="00E12EFE" w:rsidP="00737574">
            <w:pPr>
              <w:pStyle w:val="TableParagraph"/>
              <w:widowControl/>
              <w:numPr>
                <w:ilvl w:val="0"/>
                <w:numId w:val="12"/>
              </w:numPr>
              <w:spacing w:line="242" w:lineRule="auto"/>
            </w:pPr>
            <w:proofErr w:type="gramStart"/>
            <w:r>
              <w:t>e</w:t>
            </w:r>
            <w:r w:rsidR="00737574">
              <w:t>xistence</w:t>
            </w:r>
            <w:proofErr w:type="gramEnd"/>
            <w:r w:rsidR="00737574">
              <w:t xml:space="preserve"> d</w:t>
            </w:r>
            <w:r w:rsidR="003F440A">
              <w:t>’</w:t>
            </w:r>
            <w:r w:rsidR="00737574">
              <w:t>un intérêt à entreprendre le projet;</w:t>
            </w:r>
          </w:p>
          <w:p w14:paraId="1A89E1A4" w14:textId="04128406" w:rsidR="00737574" w:rsidRPr="007458BD" w:rsidRDefault="00E12EFE" w:rsidP="00E12EFE">
            <w:pPr>
              <w:pStyle w:val="TableParagraph"/>
              <w:widowControl/>
              <w:numPr>
                <w:ilvl w:val="0"/>
                <w:numId w:val="12"/>
              </w:numPr>
              <w:spacing w:after="120" w:line="242" w:lineRule="auto"/>
              <w:ind w:left="562"/>
            </w:pPr>
            <w:r>
              <w:t>c</w:t>
            </w:r>
            <w:r w:rsidR="00737574">
              <w:t xml:space="preserve">adre juridique national et régimes de </w:t>
            </w:r>
            <w:r w:rsidR="009E696A">
              <w:t xml:space="preserve">concession de </w:t>
            </w:r>
            <w:r w:rsidR="00737574">
              <w:t>licence</w:t>
            </w:r>
            <w:r w:rsidR="009E696A">
              <w:t>s</w:t>
            </w:r>
            <w:r w:rsidR="00737574">
              <w:t xml:space="preserve"> en place.</w:t>
            </w:r>
          </w:p>
        </w:tc>
      </w:tr>
      <w:tr w:rsidR="00737574" w:rsidRPr="000576E0" w14:paraId="7A978AD0" w14:textId="77777777" w:rsidTr="00C930E2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03B2BA09" w14:textId="3353B2DD" w:rsidR="00737574" w:rsidRPr="000576E0" w:rsidRDefault="00737574" w:rsidP="00562891">
            <w:pPr>
              <w:pStyle w:val="TableParagraph"/>
              <w:widowControl/>
              <w:jc w:val="center"/>
              <w:rPr>
                <w:b/>
              </w:rPr>
            </w:pPr>
            <w:r w:rsidRPr="00E12EFE">
              <w:rPr>
                <w:b/>
              </w:rPr>
              <w:t>2.6</w:t>
            </w:r>
            <w:r w:rsidR="00562891">
              <w:rPr>
                <w:b/>
              </w:rPr>
              <w:tab/>
            </w:r>
            <w:r w:rsidRPr="00E12EFE">
              <w:rPr>
                <w:b/>
              </w:rPr>
              <w:t>Entité organisationnelle de mise en œuvre</w:t>
            </w:r>
          </w:p>
        </w:tc>
      </w:tr>
      <w:tr w:rsidR="00737574" w:rsidRPr="007458BD" w14:paraId="1D6A2CED" w14:textId="77777777" w:rsidTr="00C930E2">
        <w:trPr>
          <w:trHeight w:val="431"/>
        </w:trPr>
        <w:tc>
          <w:tcPr>
            <w:tcW w:w="9352" w:type="dxa"/>
            <w:gridSpan w:val="2"/>
          </w:tcPr>
          <w:p w14:paraId="22B53976" w14:textId="3CFCD29A" w:rsidR="00737574" w:rsidRPr="007458BD" w:rsidRDefault="00737574" w:rsidP="00C66634">
            <w:pPr>
              <w:pStyle w:val="TableParagraph"/>
              <w:widowControl/>
              <w:spacing w:before="120" w:after="120" w:line="250" w:lineRule="exact"/>
              <w:ind w:left="276"/>
            </w:pPr>
            <w:r>
              <w:t>Division du droit d</w:t>
            </w:r>
            <w:r w:rsidR="003F440A">
              <w:t>’</w:t>
            </w:r>
            <w:r>
              <w:t>auteur, Secteur du droit d</w:t>
            </w:r>
            <w:r w:rsidR="003F440A">
              <w:t>’</w:t>
            </w:r>
            <w:r>
              <w:t>auteur et des industries de la création</w:t>
            </w:r>
          </w:p>
        </w:tc>
      </w:tr>
      <w:tr w:rsidR="00737574" w:rsidRPr="000576E0" w14:paraId="733BF97A" w14:textId="77777777" w:rsidTr="00C930E2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0D4A3766" w14:textId="6E8DB6F3" w:rsidR="00737574" w:rsidRPr="000576E0" w:rsidRDefault="00737574" w:rsidP="00562891">
            <w:pPr>
              <w:pStyle w:val="TableParagraph"/>
              <w:widowControl/>
              <w:jc w:val="center"/>
              <w:rPr>
                <w:b/>
              </w:rPr>
            </w:pPr>
            <w:r w:rsidRPr="00E12EFE">
              <w:rPr>
                <w:b/>
              </w:rPr>
              <w:t>2.7</w:t>
            </w:r>
            <w:r w:rsidR="00562891">
              <w:rPr>
                <w:b/>
              </w:rPr>
              <w:tab/>
            </w:r>
            <w:r w:rsidRPr="00E12EFE">
              <w:rPr>
                <w:b/>
              </w:rPr>
              <w:t>Liens avec d</w:t>
            </w:r>
            <w:r w:rsidR="003F440A" w:rsidRPr="00E12EFE">
              <w:rPr>
                <w:b/>
              </w:rPr>
              <w:t>’</w:t>
            </w:r>
            <w:r w:rsidRPr="00E12EFE">
              <w:rPr>
                <w:b/>
              </w:rPr>
              <w:t>autres entités</w:t>
            </w:r>
          </w:p>
        </w:tc>
      </w:tr>
      <w:tr w:rsidR="00737574" w:rsidRPr="007458BD" w14:paraId="367AC97B" w14:textId="77777777" w:rsidTr="00C930E2">
        <w:trPr>
          <w:trHeight w:val="532"/>
        </w:trPr>
        <w:tc>
          <w:tcPr>
            <w:tcW w:w="9352" w:type="dxa"/>
            <w:gridSpan w:val="2"/>
          </w:tcPr>
          <w:p w14:paraId="5EDEAAB7" w14:textId="77777777" w:rsidR="00737574" w:rsidRPr="007458BD" w:rsidRDefault="00737574" w:rsidP="00C66634">
            <w:pPr>
              <w:pStyle w:val="TableParagraph"/>
              <w:widowControl/>
              <w:spacing w:before="120" w:line="250" w:lineRule="exact"/>
              <w:ind w:left="276"/>
            </w:pPr>
            <w:r>
              <w:t>Secteur du développement régional et national</w:t>
            </w:r>
          </w:p>
          <w:p w14:paraId="1F480FD1" w14:textId="47EE0026" w:rsidR="00737574" w:rsidRPr="007458BD" w:rsidRDefault="00737574" w:rsidP="00C66634">
            <w:pPr>
              <w:pStyle w:val="TableParagraph"/>
              <w:widowControl/>
              <w:spacing w:line="250" w:lineRule="exact"/>
              <w:ind w:left="276"/>
            </w:pPr>
            <w:r>
              <w:t>Secteur du droit d</w:t>
            </w:r>
            <w:r w:rsidR="003F440A">
              <w:t>’</w:t>
            </w:r>
            <w:r>
              <w:t>auteur et des industries de la création</w:t>
            </w:r>
          </w:p>
          <w:p w14:paraId="2A937688" w14:textId="601D393A" w:rsidR="00737574" w:rsidRPr="007458BD" w:rsidRDefault="00737574" w:rsidP="00C66634">
            <w:pPr>
              <w:pStyle w:val="TableParagraph"/>
              <w:widowControl/>
              <w:spacing w:line="250" w:lineRule="exact"/>
              <w:ind w:left="276"/>
            </w:pPr>
            <w:r>
              <w:t>Secteur de l</w:t>
            </w:r>
            <w:r w:rsidR="003F440A">
              <w:t>’</w:t>
            </w:r>
            <w:r>
              <w:t>infrastructure et des plateformes</w:t>
            </w:r>
          </w:p>
          <w:p w14:paraId="7636FC52" w14:textId="364076E9" w:rsidR="00737574" w:rsidRPr="007458BD" w:rsidRDefault="00737574" w:rsidP="00C66634">
            <w:pPr>
              <w:pStyle w:val="TableParagraph"/>
              <w:widowControl/>
              <w:spacing w:after="120" w:line="250" w:lineRule="exact"/>
              <w:ind w:left="276"/>
            </w:pPr>
            <w:r>
              <w:t>Secteur des écosystèmes de propriété intellectuelle et d</w:t>
            </w:r>
            <w:r w:rsidR="003F440A">
              <w:t>’</w:t>
            </w:r>
            <w:r>
              <w:t>innovation</w:t>
            </w:r>
          </w:p>
        </w:tc>
      </w:tr>
      <w:tr w:rsidR="00737574" w:rsidRPr="000576E0" w14:paraId="7AD6038F" w14:textId="77777777" w:rsidTr="00C930E2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14:paraId="1F90388C" w14:textId="435EA7F2" w:rsidR="00737574" w:rsidRPr="000576E0" w:rsidRDefault="00737574" w:rsidP="00562891">
            <w:pPr>
              <w:pStyle w:val="TableParagraph"/>
              <w:widowControl/>
              <w:jc w:val="center"/>
            </w:pPr>
            <w:r w:rsidRPr="00E12EFE">
              <w:rPr>
                <w:b/>
              </w:rPr>
              <w:t>2.8</w:t>
            </w:r>
            <w:r w:rsidR="00562891">
              <w:rPr>
                <w:b/>
              </w:rPr>
              <w:tab/>
            </w:r>
            <w:r w:rsidRPr="00E12EFE">
              <w:rPr>
                <w:b/>
              </w:rPr>
              <w:t>Liens avec d</w:t>
            </w:r>
            <w:r w:rsidR="003F440A" w:rsidRPr="00E12EFE">
              <w:rPr>
                <w:b/>
              </w:rPr>
              <w:t>’</w:t>
            </w:r>
            <w:r w:rsidRPr="00E12EFE">
              <w:rPr>
                <w:b/>
              </w:rPr>
              <w:t>autres projets du Plan d</w:t>
            </w:r>
            <w:r w:rsidR="003F440A" w:rsidRPr="00E12EFE">
              <w:rPr>
                <w:b/>
              </w:rPr>
              <w:t>’</w:t>
            </w:r>
            <w:r w:rsidRPr="00E12EFE">
              <w:rPr>
                <w:b/>
              </w:rPr>
              <w:t>action pour le développement</w:t>
            </w:r>
          </w:p>
        </w:tc>
      </w:tr>
      <w:tr w:rsidR="00737574" w:rsidRPr="007458BD" w14:paraId="1FF11D0E" w14:textId="77777777" w:rsidTr="00C930E2">
        <w:trPr>
          <w:trHeight w:val="568"/>
        </w:trPr>
        <w:tc>
          <w:tcPr>
            <w:tcW w:w="9352" w:type="dxa"/>
            <w:gridSpan w:val="2"/>
          </w:tcPr>
          <w:p w14:paraId="102DED6D" w14:textId="6A353C71" w:rsidR="003F440A" w:rsidRDefault="00E12EFE" w:rsidP="00C66634">
            <w:pPr>
              <w:pStyle w:val="ListParagraph"/>
              <w:numPr>
                <w:ilvl w:val="0"/>
                <w:numId w:val="11"/>
              </w:numPr>
              <w:spacing w:before="120"/>
              <w:ind w:left="843" w:hanging="559"/>
            </w:pPr>
            <w:proofErr w:type="gramStart"/>
            <w:r>
              <w:t>p</w:t>
            </w:r>
            <w:r w:rsidR="00737574">
              <w:t>rojet</w:t>
            </w:r>
            <w:proofErr w:type="gramEnd"/>
            <w:r w:rsidR="00737574">
              <w:t xml:space="preserve"> du Plan d</w:t>
            </w:r>
            <w:r w:rsidR="003F440A">
              <w:t>’</w:t>
            </w:r>
            <w:r w:rsidR="00737574">
              <w:t>action pour le développement concernant la propriété intellectuelle, les technologies de l</w:t>
            </w:r>
            <w:r w:rsidR="003F440A">
              <w:t>’</w:t>
            </w:r>
            <w:r w:rsidR="00737574">
              <w:t>information et de la communication</w:t>
            </w:r>
            <w:r>
              <w:t> </w:t>
            </w:r>
            <w:r w:rsidR="00737574">
              <w:t>(TIC), la fracture numérique et l</w:t>
            </w:r>
            <w:r w:rsidR="003F440A">
              <w:t>’</w:t>
            </w:r>
            <w:r w:rsidR="00737574">
              <w:t>acc</w:t>
            </w:r>
            <w:r>
              <w:t>ès aux savoirs (DA_19_24_27_01);</w:t>
            </w:r>
          </w:p>
          <w:p w14:paraId="31A9B3B5" w14:textId="267E97CF" w:rsidR="003F440A" w:rsidRDefault="00E12EFE" w:rsidP="00C66634">
            <w:pPr>
              <w:pStyle w:val="ListParagraph"/>
              <w:numPr>
                <w:ilvl w:val="0"/>
                <w:numId w:val="11"/>
              </w:numPr>
              <w:ind w:left="843" w:hanging="559"/>
            </w:pPr>
            <w:proofErr w:type="gramStart"/>
            <w:r>
              <w:t>p</w:t>
            </w:r>
            <w:r w:rsidR="00737574">
              <w:t>rojet</w:t>
            </w:r>
            <w:proofErr w:type="gramEnd"/>
            <w:r w:rsidR="00737574">
              <w:t xml:space="preserve"> du Plan d</w:t>
            </w:r>
            <w:r w:rsidR="003F440A">
              <w:t>’</w:t>
            </w:r>
            <w:r w:rsidR="00737574">
              <w:t>action pour le développement sur l</w:t>
            </w:r>
            <w:r w:rsidR="003F440A">
              <w:t>’</w:t>
            </w:r>
            <w:r w:rsidR="00737574">
              <w:t>utilisation de l</w:t>
            </w:r>
            <w:r w:rsidR="003F440A">
              <w:t>’</w:t>
            </w:r>
            <w:r w:rsidR="00737574">
              <w:t>information figurant dans le domaine public aux f</w:t>
            </w:r>
            <w:r>
              <w:t>ins du développement économique </w:t>
            </w:r>
            <w:r w:rsidR="00737574">
              <w:t>(DA_16_20_03)</w:t>
            </w:r>
            <w:r>
              <w:t>;</w:t>
            </w:r>
          </w:p>
          <w:p w14:paraId="39771640" w14:textId="6C7235FD" w:rsidR="003F440A" w:rsidRDefault="00737574" w:rsidP="00C66634">
            <w:pPr>
              <w:pStyle w:val="ListParagraph"/>
              <w:numPr>
                <w:ilvl w:val="0"/>
                <w:numId w:val="11"/>
              </w:numPr>
              <w:ind w:left="843" w:hanging="559"/>
            </w:pPr>
            <w:r>
              <w:t>Projet du Plan d</w:t>
            </w:r>
            <w:r w:rsidR="003F440A">
              <w:t>’</w:t>
            </w:r>
            <w:r>
              <w:t>action pour le développement de création d</w:t>
            </w:r>
            <w:r w:rsidR="003F440A">
              <w:t>’</w:t>
            </w:r>
            <w:r>
              <w:t>académies nationales de la propriété intellectuelle, phases I et II</w:t>
            </w:r>
            <w:r w:rsidR="00E12EFE">
              <w:t> </w:t>
            </w:r>
            <w:r>
              <w:t>(DA_10_01 et DA_10_02)</w:t>
            </w:r>
            <w:r w:rsidR="00E12EFE">
              <w:t>;</w:t>
            </w:r>
            <w:r>
              <w:t xml:space="preserve"> et</w:t>
            </w:r>
          </w:p>
          <w:p w14:paraId="60365894" w14:textId="32CD3650" w:rsidR="00737574" w:rsidRPr="007458BD" w:rsidRDefault="00737574" w:rsidP="00C66634">
            <w:pPr>
              <w:pStyle w:val="ListParagraph"/>
              <w:numPr>
                <w:ilvl w:val="0"/>
                <w:numId w:val="11"/>
              </w:numPr>
              <w:spacing w:after="120"/>
              <w:ind w:left="843" w:hanging="559"/>
              <w:contextualSpacing w:val="0"/>
            </w:pPr>
            <w:r>
              <w:t>Projet du Plan d</w:t>
            </w:r>
            <w:r w:rsidR="003F440A">
              <w:t>’</w:t>
            </w:r>
            <w:r>
              <w:t>action pour le développement relatif à l</w:t>
            </w:r>
            <w:r w:rsidR="003F440A">
              <w:t>’</w:t>
            </w:r>
            <w:r>
              <w:t>accès à des bases de données spécialisées et à l</w:t>
            </w:r>
            <w:r w:rsidR="003F440A">
              <w:t>’</w:t>
            </w:r>
            <w:r>
              <w:t>appui – phase II</w:t>
            </w:r>
            <w:r w:rsidR="00E12EFE">
              <w:t> </w:t>
            </w:r>
            <w:r w:rsidR="00473B95">
              <w:t>(DA_08_02</w:t>
            </w:r>
            <w:r>
              <w:t>).</w:t>
            </w:r>
          </w:p>
        </w:tc>
      </w:tr>
      <w:tr w:rsidR="00737574" w:rsidRPr="000576E0" w14:paraId="5C803B9A" w14:textId="77777777" w:rsidTr="00C930E2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14:paraId="7FF45C27" w14:textId="11EC3AE5" w:rsidR="00737574" w:rsidRPr="000576E0" w:rsidRDefault="00737574" w:rsidP="00562891">
            <w:pPr>
              <w:pStyle w:val="TableParagraph"/>
              <w:widowControl/>
              <w:jc w:val="center"/>
            </w:pPr>
            <w:r w:rsidRPr="00E12EFE">
              <w:rPr>
                <w:b/>
              </w:rPr>
              <w:t>2.9</w:t>
            </w:r>
            <w:r w:rsidR="00562891">
              <w:rPr>
                <w:b/>
              </w:rPr>
              <w:tab/>
            </w:r>
            <w:r w:rsidRPr="00E12EFE">
              <w:rPr>
                <w:b/>
              </w:rPr>
              <w:t>Contribution aux résultats escomptés dans le programme et budget de l</w:t>
            </w:r>
            <w:r w:rsidR="003F440A" w:rsidRPr="00E12EFE">
              <w:rPr>
                <w:b/>
              </w:rPr>
              <w:t>’</w:t>
            </w:r>
            <w:r w:rsidRPr="00E12EFE">
              <w:rPr>
                <w:b/>
              </w:rPr>
              <w:t>OMPI</w:t>
            </w:r>
          </w:p>
        </w:tc>
      </w:tr>
      <w:tr w:rsidR="00737574" w:rsidRPr="007458BD" w14:paraId="40681FA4" w14:textId="77777777" w:rsidTr="00C930E2">
        <w:trPr>
          <w:trHeight w:val="451"/>
        </w:trPr>
        <w:tc>
          <w:tcPr>
            <w:tcW w:w="9352" w:type="dxa"/>
            <w:gridSpan w:val="2"/>
          </w:tcPr>
          <w:p w14:paraId="3E7B7177" w14:textId="0FB968C8" w:rsidR="00737574" w:rsidRPr="00E12EFE" w:rsidRDefault="00737574" w:rsidP="00C66634">
            <w:pPr>
              <w:pStyle w:val="TableParagraph"/>
              <w:widowControl/>
              <w:spacing w:before="120" w:after="240" w:line="246" w:lineRule="exact"/>
              <w:ind w:left="276"/>
              <w:rPr>
                <w:u w:val="single"/>
              </w:rPr>
            </w:pPr>
            <w:r w:rsidRPr="00E12EFE">
              <w:rPr>
                <w:u w:val="single"/>
              </w:rPr>
              <w:t>Programme et budget</w:t>
            </w:r>
            <w:r w:rsidR="00C930E2" w:rsidRPr="00E12EFE">
              <w:rPr>
                <w:u w:val="single"/>
              </w:rPr>
              <w:t> </w:t>
            </w:r>
            <w:r w:rsidRPr="00E12EFE">
              <w:rPr>
                <w:u w:val="single"/>
              </w:rPr>
              <w:t>2022</w:t>
            </w:r>
            <w:r w:rsidR="00A56F48" w:rsidRPr="00E12EFE">
              <w:rPr>
                <w:u w:val="single"/>
              </w:rPr>
              <w:noBreakHyphen/>
            </w:r>
            <w:r w:rsidRPr="00E12EFE">
              <w:rPr>
                <w:u w:val="single"/>
              </w:rPr>
              <w:t>2023</w:t>
            </w:r>
          </w:p>
          <w:p w14:paraId="7D391A5B" w14:textId="77777777" w:rsidR="00C930E2" w:rsidRPr="00E12EFE" w:rsidRDefault="00737574" w:rsidP="00C66634">
            <w:pPr>
              <w:pStyle w:val="TableParagraph"/>
              <w:widowControl/>
              <w:spacing w:after="240"/>
              <w:ind w:left="276"/>
              <w:rPr>
                <w:bCs/>
              </w:rPr>
            </w:pPr>
            <w:r w:rsidRPr="00E12EFE">
              <w:t>Résultat escompté 2.2 – L</w:t>
            </w:r>
            <w:r w:rsidR="003F440A" w:rsidRPr="00E12EFE">
              <w:t>’</w:t>
            </w:r>
            <w:r w:rsidRPr="00E12EFE">
              <w:t>OMPI rassemble la communauté internationale afin d</w:t>
            </w:r>
            <w:r w:rsidR="003F440A" w:rsidRPr="00E12EFE">
              <w:t>’</w:t>
            </w:r>
            <w:r w:rsidRPr="00E12EFE">
              <w:t>anticiper les questions émergentes et les enjeux de politique générale qui se présentent au niveau mondial concernant la propriété intellectuelle, l</w:t>
            </w:r>
            <w:r w:rsidR="003F440A" w:rsidRPr="00E12EFE">
              <w:t>’</w:t>
            </w:r>
            <w:r w:rsidRPr="00E12EFE">
              <w:t>innovation et la créativité</w:t>
            </w:r>
            <w:r w:rsidR="00C930E2" w:rsidRPr="00E12EFE">
              <w:rPr>
                <w:bCs/>
              </w:rPr>
              <w:t>.</w:t>
            </w:r>
          </w:p>
          <w:p w14:paraId="0311F584" w14:textId="1FF8EB31" w:rsidR="00737574" w:rsidRPr="00E12EFE" w:rsidRDefault="00737574" w:rsidP="00C66634">
            <w:pPr>
              <w:pStyle w:val="TableParagraph"/>
              <w:widowControl/>
              <w:spacing w:after="240"/>
              <w:ind w:left="276"/>
              <w:rPr>
                <w:bCs/>
              </w:rPr>
            </w:pPr>
            <w:r w:rsidRPr="00E12EFE">
              <w:t>Résultat escompté 4.1 – Utilisation plus efficace de la propriété intellectuelle au service de la croissance et du développement de l</w:t>
            </w:r>
            <w:r w:rsidR="003F440A" w:rsidRPr="00E12EFE">
              <w:t>’</w:t>
            </w:r>
            <w:r w:rsidRPr="00E12EFE">
              <w:t>ensemble des États membres et de leurs régions et sous</w:t>
            </w:r>
            <w:r w:rsidR="00A56F48" w:rsidRPr="00E12EFE">
              <w:noBreakHyphen/>
            </w:r>
            <w:r w:rsidRPr="00E12EFE">
              <w:t>régions respectives, notamment grâce à l</w:t>
            </w:r>
            <w:r w:rsidR="003F440A" w:rsidRPr="00E12EFE">
              <w:t>’</w:t>
            </w:r>
            <w:r w:rsidRPr="00E12EFE">
              <w:t>intégration des recommandations du Plan d</w:t>
            </w:r>
            <w:r w:rsidR="003F440A" w:rsidRPr="00E12EFE">
              <w:t>’</w:t>
            </w:r>
            <w:r w:rsidRPr="00E12EFE">
              <w:t>action pour le développement</w:t>
            </w:r>
            <w:r w:rsidR="00E12EFE">
              <w:t>.</w:t>
            </w:r>
          </w:p>
          <w:p w14:paraId="63048B7D" w14:textId="38B9652F" w:rsidR="00737574" w:rsidRPr="00A86A57" w:rsidRDefault="00737574" w:rsidP="00C66634">
            <w:pPr>
              <w:pStyle w:val="TableParagraph"/>
              <w:widowControl/>
              <w:spacing w:after="120"/>
              <w:ind w:left="276"/>
              <w:rPr>
                <w:bCs/>
              </w:rPr>
            </w:pPr>
            <w:r w:rsidRPr="00E12EFE">
              <w:t>Résultat escompté 4.4 – Davantage d</w:t>
            </w:r>
            <w:r w:rsidR="003F440A" w:rsidRPr="00E12EFE">
              <w:t>’</w:t>
            </w:r>
            <w:r w:rsidRPr="00E12EFE">
              <w:t>innovateurs, de créateurs, de PME, d</w:t>
            </w:r>
            <w:r w:rsidR="003F440A" w:rsidRPr="00E12EFE">
              <w:t>’</w:t>
            </w:r>
            <w:r w:rsidRPr="00E12EFE">
              <w:t>universités, d</w:t>
            </w:r>
            <w:r w:rsidR="003F440A" w:rsidRPr="00E12EFE">
              <w:t>’</w:t>
            </w:r>
            <w:r w:rsidRPr="00E12EFE">
              <w:t>instituts de recherche et de communautés tirent profit de la propriété intellectuelle</w:t>
            </w:r>
            <w:r w:rsidR="00E12EFE">
              <w:t>.</w:t>
            </w:r>
          </w:p>
        </w:tc>
      </w:tr>
      <w:tr w:rsidR="00737574" w:rsidRPr="000576E0" w14:paraId="17810ACE" w14:textId="77777777" w:rsidTr="00C930E2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7592B044" w14:textId="6DFF631C" w:rsidR="00737574" w:rsidRPr="00E12EFE" w:rsidRDefault="00737574" w:rsidP="00562891">
            <w:pPr>
              <w:pStyle w:val="TableParagraph"/>
              <w:keepNext/>
              <w:keepLines/>
              <w:widowControl/>
              <w:jc w:val="center"/>
              <w:rPr>
                <w:b/>
              </w:rPr>
            </w:pPr>
            <w:r w:rsidRPr="00E12EFE">
              <w:rPr>
                <w:b/>
              </w:rPr>
              <w:t>2.10</w:t>
            </w:r>
            <w:r w:rsidR="00562891">
              <w:rPr>
                <w:b/>
              </w:rPr>
              <w:tab/>
            </w:r>
            <w:r w:rsidRPr="00E12EFE">
              <w:rPr>
                <w:b/>
              </w:rPr>
              <w:t>Risques et stratégies d</w:t>
            </w:r>
            <w:r w:rsidR="003F440A" w:rsidRPr="00E12EFE">
              <w:rPr>
                <w:b/>
              </w:rPr>
              <w:t>’</w:t>
            </w:r>
            <w:r w:rsidRPr="00E12EFE">
              <w:rPr>
                <w:b/>
              </w:rPr>
              <w:t>atténuation</w:t>
            </w:r>
          </w:p>
        </w:tc>
      </w:tr>
      <w:tr w:rsidR="00737574" w:rsidRPr="007458BD" w14:paraId="3DA213FE" w14:textId="77777777" w:rsidTr="00C930E2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4C883C1B" w14:textId="4AFC66F7" w:rsidR="00737574" w:rsidRPr="007458BD" w:rsidRDefault="00737574" w:rsidP="008457E5">
            <w:pPr>
              <w:pStyle w:val="TableParagraph"/>
              <w:keepNext/>
              <w:keepLines/>
              <w:widowControl/>
              <w:spacing w:before="120" w:after="240"/>
              <w:ind w:left="276"/>
              <w:rPr>
                <w:bCs/>
              </w:rPr>
            </w:pPr>
            <w:r>
              <w:rPr>
                <w:i/>
                <w:iCs/>
              </w:rPr>
              <w:t>Risque n° 1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DC254C">
              <w:t>c</w:t>
            </w:r>
            <w:r>
              <w:t>apacité insuffisante du personnel des universités à utiliser efficacement les informations contenues dans les supports de formation.</w:t>
            </w:r>
          </w:p>
          <w:p w14:paraId="3720E08B" w14:textId="3FA093E3" w:rsidR="003F440A" w:rsidRDefault="00737574" w:rsidP="008457E5">
            <w:pPr>
              <w:pStyle w:val="TableParagraph"/>
              <w:keepNext/>
              <w:keepLines/>
              <w:widowControl/>
              <w:spacing w:after="240"/>
              <w:ind w:left="276"/>
            </w:pPr>
            <w:r>
              <w:rPr>
                <w:i/>
                <w:iCs/>
              </w:rPr>
              <w:t>Mesure d</w:t>
            </w:r>
            <w:r w:rsidR="003F440A">
              <w:rPr>
                <w:i/>
                <w:iCs/>
              </w:rPr>
              <w:t>’</w:t>
            </w:r>
            <w:r>
              <w:rPr>
                <w:i/>
                <w:iCs/>
              </w:rPr>
              <w:t>atténuation n° 1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DC254C">
              <w:t>l</w:t>
            </w:r>
            <w:r>
              <w:t>es études de cas et les supports de formation seront adaptés aux capacités évaluées du personnel des universités pilotes sélectionné</w:t>
            </w:r>
            <w:r w:rsidR="00C930E2">
              <w:t>es.  Le</w:t>
            </w:r>
            <w:r>
              <w:t>ur</w:t>
            </w:r>
            <w:r w:rsidR="00EA5130">
              <w:t>s</w:t>
            </w:r>
            <w:r>
              <w:t xml:space="preserve"> rétroaction</w:t>
            </w:r>
            <w:r w:rsidR="00EA5130">
              <w:t>s</w:t>
            </w:r>
            <w:r>
              <w:t xml:space="preserve"> et leur expérience seront prises en considération dans le processus d</w:t>
            </w:r>
            <w:r w:rsidR="003F440A">
              <w:t>’</w:t>
            </w:r>
            <w:r>
              <w:t>examen par les pairs lors de la finalisation des supports de formation.</w:t>
            </w:r>
          </w:p>
          <w:p w14:paraId="5FAFB450" w14:textId="007518E7" w:rsidR="00737574" w:rsidRPr="007458BD" w:rsidRDefault="00737574" w:rsidP="008457E5">
            <w:pPr>
              <w:pStyle w:val="TableParagraph"/>
              <w:keepNext/>
              <w:keepLines/>
              <w:widowControl/>
              <w:spacing w:after="240"/>
              <w:ind w:left="276"/>
              <w:rPr>
                <w:bCs/>
              </w:rPr>
            </w:pPr>
            <w:r>
              <w:rPr>
                <w:i/>
                <w:iCs/>
              </w:rPr>
              <w:t>Risque n° 2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EA5130">
              <w:t>n</w:t>
            </w:r>
            <w:r>
              <w:t>iveau de maturité insuffisant des universités et autres établissements axés sur la recherche pour développer et offrir des services liés à l</w:t>
            </w:r>
            <w:r w:rsidR="003F440A">
              <w:t>’</w:t>
            </w:r>
            <w:r>
              <w:t>utilisation de projets d</w:t>
            </w:r>
            <w:r w:rsidR="003F440A">
              <w:t>’</w:t>
            </w:r>
            <w:r>
              <w:t>exploration de textes et de données.</w:t>
            </w:r>
          </w:p>
          <w:p w14:paraId="72A5563F" w14:textId="63F34AB4" w:rsidR="00737574" w:rsidRPr="007458BD" w:rsidRDefault="00737574" w:rsidP="008457E5">
            <w:pPr>
              <w:pStyle w:val="TableParagraph"/>
              <w:keepNext/>
              <w:keepLines/>
              <w:widowControl/>
              <w:spacing w:after="240"/>
              <w:ind w:left="276"/>
              <w:rPr>
                <w:bCs/>
              </w:rPr>
            </w:pPr>
            <w:r>
              <w:rPr>
                <w:i/>
                <w:iCs/>
              </w:rPr>
              <w:t>Mesure d</w:t>
            </w:r>
            <w:r w:rsidR="003F440A">
              <w:rPr>
                <w:i/>
                <w:iCs/>
              </w:rPr>
              <w:t>’</w:t>
            </w:r>
            <w:r>
              <w:rPr>
                <w:i/>
                <w:iCs/>
              </w:rPr>
              <w:t>atténuation n° 2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EA5130">
              <w:t>d</w:t>
            </w:r>
            <w:r>
              <w:t>es analyses minutieuses des universités et des autres établissements axés sur la recherche seront menées durant le processus de leur sélection afin de s</w:t>
            </w:r>
            <w:r w:rsidR="003F440A">
              <w:t>’</w:t>
            </w:r>
            <w:r>
              <w:t xml:space="preserve">assurer que </w:t>
            </w:r>
            <w:r w:rsidR="00EA5130">
              <w:t xml:space="preserve">les entités </w:t>
            </w:r>
            <w:r>
              <w:t>retenu</w:t>
            </w:r>
            <w:r w:rsidR="00EA5130">
              <w:t>e</w:t>
            </w:r>
            <w:r>
              <w:t>s pour le projet pilote ont un niveau suffisant de maturité.</w:t>
            </w:r>
          </w:p>
          <w:p w14:paraId="214ECDF7" w14:textId="11A8E6FF" w:rsidR="003F440A" w:rsidRDefault="00737574" w:rsidP="008457E5">
            <w:pPr>
              <w:pStyle w:val="TableParagraph"/>
              <w:keepNext/>
              <w:keepLines/>
              <w:widowControl/>
              <w:spacing w:after="240"/>
              <w:ind w:left="276"/>
            </w:pPr>
            <w:r>
              <w:rPr>
                <w:i/>
                <w:iCs/>
              </w:rPr>
              <w:t>Risque n° 3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EA5130">
              <w:t>i</w:t>
            </w:r>
            <w:r>
              <w:t>ncapacité d</w:t>
            </w:r>
            <w:r w:rsidR="003F440A">
              <w:t>’</w:t>
            </w:r>
            <w:r>
              <w:t>organiser des séminaires de formation en présentiel en raison de nouvelles restrictions liées à la pandémie de COVID</w:t>
            </w:r>
            <w:r w:rsidR="00A56F48">
              <w:noBreakHyphen/>
            </w:r>
            <w:r>
              <w:t>19.</w:t>
            </w:r>
          </w:p>
          <w:p w14:paraId="05CA516A" w14:textId="51613BD4" w:rsidR="00737574" w:rsidRPr="007458BD" w:rsidRDefault="00737574" w:rsidP="008457E5">
            <w:pPr>
              <w:pStyle w:val="TableParagraph"/>
              <w:keepNext/>
              <w:keepLines/>
              <w:widowControl/>
              <w:spacing w:after="240"/>
              <w:ind w:left="276"/>
              <w:rPr>
                <w:bCs/>
              </w:rPr>
            </w:pPr>
            <w:r>
              <w:rPr>
                <w:i/>
                <w:iCs/>
              </w:rPr>
              <w:t>Mesure d</w:t>
            </w:r>
            <w:r w:rsidR="003F440A">
              <w:rPr>
                <w:i/>
                <w:iCs/>
              </w:rPr>
              <w:t>’</w:t>
            </w:r>
            <w:r>
              <w:rPr>
                <w:i/>
                <w:iCs/>
              </w:rPr>
              <w:t>atténuation n° 3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EA5130">
              <w:t>d</w:t>
            </w:r>
            <w:r>
              <w:t>es séminaires de formation pourraient être organisés de manière virtuel</w:t>
            </w:r>
            <w:r w:rsidR="00C930E2">
              <w:t>le.  Le</w:t>
            </w:r>
            <w:r>
              <w:t xml:space="preserve">s dépenses prévues de personnel et pour les </w:t>
            </w:r>
            <w:r w:rsidR="00EA5130">
              <w:t xml:space="preserve">voyages </w:t>
            </w:r>
            <w:r>
              <w:t>de tiers (</w:t>
            </w:r>
            <w:r w:rsidR="00EA5130">
              <w:t xml:space="preserve">dépenses </w:t>
            </w:r>
            <w:r>
              <w:t xml:space="preserve">autres que </w:t>
            </w:r>
            <w:r w:rsidR="00EA5130">
              <w:t xml:space="preserve">les dépenses </w:t>
            </w:r>
            <w:r>
              <w:t>de personnel) pourraient être réaffectées en conséquence.</w:t>
            </w:r>
          </w:p>
        </w:tc>
      </w:tr>
    </w:tbl>
    <w:p w14:paraId="0DE5D1DD" w14:textId="77777777" w:rsidR="00737574" w:rsidRPr="007458BD" w:rsidRDefault="00737574" w:rsidP="00737574">
      <w:pPr>
        <w:spacing w:line="234" w:lineRule="exact"/>
        <w:sectPr w:rsidR="00737574" w:rsidRPr="007458BD" w:rsidSect="00737574">
          <w:headerReference w:type="even" r:id="rId15"/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44B0D5EA" w14:textId="05DD4695" w:rsidR="00737574" w:rsidRPr="000576E0" w:rsidRDefault="00737574" w:rsidP="008457E5">
      <w:pPr>
        <w:spacing w:after="240"/>
        <w:rPr>
          <w:b/>
          <w:bCs/>
        </w:rPr>
      </w:pPr>
      <w:r w:rsidRPr="00C66634">
        <w:rPr>
          <w:b/>
        </w:rPr>
        <w:t>3.</w:t>
      </w:r>
      <w:r w:rsidR="008457E5">
        <w:rPr>
          <w:b/>
        </w:rPr>
        <w:tab/>
      </w:r>
      <w:r w:rsidRPr="00C66634">
        <w:rPr>
          <w:b/>
        </w:rPr>
        <w:t>CALENDRIER DE MISE EN ŒUVRE PROVISOIRE</w:t>
      </w:r>
    </w:p>
    <w:tbl>
      <w:tblPr>
        <w:tblW w:w="1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TENTATIVE IMPLEMENTATION TIMELINE"/>
      </w:tblPr>
      <w:tblGrid>
        <w:gridCol w:w="6647"/>
        <w:gridCol w:w="579"/>
        <w:gridCol w:w="676"/>
        <w:gridCol w:w="579"/>
        <w:gridCol w:w="628"/>
        <w:gridCol w:w="627"/>
        <w:gridCol w:w="676"/>
        <w:gridCol w:w="579"/>
        <w:gridCol w:w="562"/>
        <w:gridCol w:w="694"/>
        <w:gridCol w:w="676"/>
        <w:gridCol w:w="579"/>
        <w:gridCol w:w="581"/>
      </w:tblGrid>
      <w:tr w:rsidR="00737574" w:rsidRPr="007458BD" w14:paraId="500F657E" w14:textId="77777777" w:rsidTr="00737574">
        <w:trPr>
          <w:trHeight w:val="281"/>
          <w:tblHeader/>
        </w:trPr>
        <w:tc>
          <w:tcPr>
            <w:tcW w:w="6647" w:type="dxa"/>
            <w:vMerge w:val="restart"/>
            <w:shd w:val="clear" w:color="auto" w:fill="auto"/>
          </w:tcPr>
          <w:p w14:paraId="1C7F1C11" w14:textId="0F16E704" w:rsidR="00737574" w:rsidRPr="007458BD" w:rsidRDefault="00737574" w:rsidP="0056557E">
            <w:pPr>
              <w:spacing w:before="120"/>
              <w:rPr>
                <w:b/>
                <w:bCs/>
              </w:rPr>
            </w:pPr>
            <w:r>
              <w:rPr>
                <w:b/>
              </w:rPr>
              <w:t>Résultats escomptés</w:t>
            </w:r>
          </w:p>
        </w:tc>
        <w:tc>
          <w:tcPr>
            <w:tcW w:w="7436" w:type="dxa"/>
            <w:gridSpan w:val="12"/>
          </w:tcPr>
          <w:p w14:paraId="536475FE" w14:textId="77777777" w:rsidR="00737574" w:rsidRPr="00C66634" w:rsidRDefault="00737574" w:rsidP="00737574">
            <w:pPr>
              <w:rPr>
                <w:b/>
                <w:bCs/>
              </w:rPr>
            </w:pPr>
            <w:r w:rsidRPr="00C66634">
              <w:rPr>
                <w:b/>
              </w:rPr>
              <w:t>Trimestres</w:t>
            </w:r>
          </w:p>
        </w:tc>
      </w:tr>
      <w:tr w:rsidR="00737574" w:rsidRPr="007458BD" w14:paraId="1F98A4A7" w14:textId="77777777" w:rsidTr="008457E5">
        <w:trPr>
          <w:trHeight w:val="281"/>
          <w:tblHeader/>
        </w:trPr>
        <w:tc>
          <w:tcPr>
            <w:tcW w:w="6647" w:type="dxa"/>
            <w:vMerge/>
            <w:shd w:val="clear" w:color="auto" w:fill="auto"/>
          </w:tcPr>
          <w:p w14:paraId="79B572E7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2462" w:type="dxa"/>
            <w:gridSpan w:val="4"/>
          </w:tcPr>
          <w:p w14:paraId="410609D8" w14:textId="77777777" w:rsidR="00737574" w:rsidRPr="00C66634" w:rsidRDefault="00737574" w:rsidP="00737574">
            <w:pPr>
              <w:rPr>
                <w:b/>
                <w:bCs/>
              </w:rPr>
            </w:pPr>
            <w:r w:rsidRPr="00C66634">
              <w:rPr>
                <w:b/>
              </w:rPr>
              <w:t>2024</w:t>
            </w:r>
          </w:p>
        </w:tc>
        <w:tc>
          <w:tcPr>
            <w:tcW w:w="2444" w:type="dxa"/>
            <w:gridSpan w:val="4"/>
          </w:tcPr>
          <w:p w14:paraId="1FB47C1C" w14:textId="77777777" w:rsidR="00737574" w:rsidRPr="00C66634" w:rsidRDefault="00737574" w:rsidP="00737574">
            <w:pPr>
              <w:rPr>
                <w:b/>
                <w:bCs/>
              </w:rPr>
            </w:pPr>
            <w:r w:rsidRPr="00C66634">
              <w:rPr>
                <w:b/>
              </w:rPr>
              <w:t>2025</w:t>
            </w:r>
          </w:p>
        </w:tc>
        <w:tc>
          <w:tcPr>
            <w:tcW w:w="2530" w:type="dxa"/>
            <w:gridSpan w:val="4"/>
          </w:tcPr>
          <w:p w14:paraId="6A0A1370" w14:textId="77777777" w:rsidR="00737574" w:rsidRPr="00C66634" w:rsidRDefault="00737574" w:rsidP="00737574">
            <w:pPr>
              <w:rPr>
                <w:b/>
                <w:bCs/>
              </w:rPr>
            </w:pPr>
            <w:r w:rsidRPr="00C66634">
              <w:rPr>
                <w:b/>
              </w:rPr>
              <w:t>2026</w:t>
            </w:r>
          </w:p>
        </w:tc>
      </w:tr>
      <w:tr w:rsidR="00737574" w:rsidRPr="007458BD" w14:paraId="7ECEBD38" w14:textId="77777777" w:rsidTr="008457E5">
        <w:trPr>
          <w:trHeight w:val="287"/>
          <w:tblHeader/>
        </w:trPr>
        <w:tc>
          <w:tcPr>
            <w:tcW w:w="6647" w:type="dxa"/>
            <w:vMerge/>
            <w:shd w:val="clear" w:color="auto" w:fill="auto"/>
          </w:tcPr>
          <w:p w14:paraId="3DF162E6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706BEF4A" w14:textId="77777777" w:rsidR="00737574" w:rsidRPr="007458BD" w:rsidRDefault="00737574" w:rsidP="00737574">
            <w:r>
              <w:t>1</w:t>
            </w:r>
            <w:r>
              <w:rPr>
                <w:vertAlign w:val="superscript"/>
              </w:rPr>
              <w:t>er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77C7CCA3" w14:textId="77777777" w:rsidR="00737574" w:rsidRPr="007458BD" w:rsidRDefault="00737574" w:rsidP="00737574">
            <w:r>
              <w:t>2</w:t>
            </w:r>
            <w:r>
              <w:rPr>
                <w:vertAlign w:val="superscript"/>
              </w:rPr>
              <w:t>e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470272A4" w14:textId="77777777" w:rsidR="00737574" w:rsidRPr="007458BD" w:rsidRDefault="00737574" w:rsidP="00737574">
            <w:r>
              <w:t>3</w:t>
            </w:r>
            <w:r>
              <w:rPr>
                <w:vertAlign w:val="superscript"/>
              </w:rPr>
              <w:t>e</w:t>
            </w:r>
          </w:p>
        </w:tc>
        <w:tc>
          <w:tcPr>
            <w:tcW w:w="628" w:type="dxa"/>
            <w:shd w:val="clear" w:color="auto" w:fill="DBE5F1" w:themeFill="accent1" w:themeFillTint="33"/>
          </w:tcPr>
          <w:p w14:paraId="43F4C6EF" w14:textId="77777777" w:rsidR="00737574" w:rsidRPr="007458BD" w:rsidRDefault="00737574" w:rsidP="00737574">
            <w:r>
              <w:t>4</w:t>
            </w:r>
            <w:r>
              <w:rPr>
                <w:vertAlign w:val="superscript"/>
              </w:rPr>
              <w:t>e</w:t>
            </w:r>
          </w:p>
        </w:tc>
        <w:tc>
          <w:tcPr>
            <w:tcW w:w="627" w:type="dxa"/>
            <w:shd w:val="clear" w:color="auto" w:fill="auto"/>
          </w:tcPr>
          <w:p w14:paraId="208091FF" w14:textId="77777777" w:rsidR="00737574" w:rsidRPr="007458BD" w:rsidRDefault="00737574" w:rsidP="00737574">
            <w:r>
              <w:t>1</w:t>
            </w:r>
            <w:r>
              <w:rPr>
                <w:vertAlign w:val="superscript"/>
              </w:rPr>
              <w:t>er</w:t>
            </w:r>
          </w:p>
        </w:tc>
        <w:tc>
          <w:tcPr>
            <w:tcW w:w="676" w:type="dxa"/>
            <w:shd w:val="clear" w:color="auto" w:fill="auto"/>
          </w:tcPr>
          <w:p w14:paraId="7F6DAEF0" w14:textId="77777777" w:rsidR="00737574" w:rsidRPr="007458BD" w:rsidRDefault="00737574" w:rsidP="00737574">
            <w:r>
              <w:t>2</w:t>
            </w:r>
            <w:r>
              <w:rPr>
                <w:vertAlign w:val="superscript"/>
              </w:rPr>
              <w:t>e</w:t>
            </w:r>
          </w:p>
        </w:tc>
        <w:tc>
          <w:tcPr>
            <w:tcW w:w="579" w:type="dxa"/>
            <w:shd w:val="clear" w:color="auto" w:fill="auto"/>
          </w:tcPr>
          <w:p w14:paraId="2DDD1C15" w14:textId="77777777" w:rsidR="00737574" w:rsidRPr="007458BD" w:rsidRDefault="00737574" w:rsidP="00737574">
            <w:r>
              <w:t>3</w:t>
            </w:r>
            <w:r>
              <w:rPr>
                <w:vertAlign w:val="superscript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168B24E1" w14:textId="77777777" w:rsidR="00737574" w:rsidRPr="007458BD" w:rsidRDefault="00737574" w:rsidP="00737574">
            <w:r>
              <w:t>4</w:t>
            </w:r>
            <w:r>
              <w:rPr>
                <w:vertAlign w:val="superscript"/>
              </w:rPr>
              <w:t>e</w:t>
            </w:r>
          </w:p>
        </w:tc>
        <w:tc>
          <w:tcPr>
            <w:tcW w:w="694" w:type="dxa"/>
            <w:shd w:val="clear" w:color="auto" w:fill="DBE5F1" w:themeFill="accent1" w:themeFillTint="33"/>
          </w:tcPr>
          <w:p w14:paraId="731277A5" w14:textId="77777777" w:rsidR="00737574" w:rsidRPr="007458BD" w:rsidRDefault="00737574" w:rsidP="00737574">
            <w:r>
              <w:t>1</w:t>
            </w:r>
            <w:r>
              <w:rPr>
                <w:vertAlign w:val="superscript"/>
              </w:rPr>
              <w:t>er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2684DFB7" w14:textId="77777777" w:rsidR="00737574" w:rsidRPr="007458BD" w:rsidRDefault="00737574" w:rsidP="00737574">
            <w:r>
              <w:t>2</w:t>
            </w:r>
            <w:r>
              <w:rPr>
                <w:vertAlign w:val="superscript"/>
              </w:rPr>
              <w:t>e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5287432D" w14:textId="77777777" w:rsidR="00737574" w:rsidRPr="007458BD" w:rsidRDefault="00737574" w:rsidP="00737574">
            <w:r>
              <w:t>3</w:t>
            </w:r>
            <w:r>
              <w:rPr>
                <w:vertAlign w:val="superscript"/>
              </w:rPr>
              <w:t>e</w:t>
            </w:r>
          </w:p>
        </w:tc>
        <w:tc>
          <w:tcPr>
            <w:tcW w:w="581" w:type="dxa"/>
            <w:shd w:val="clear" w:color="auto" w:fill="DBE5F1" w:themeFill="accent1" w:themeFillTint="33"/>
          </w:tcPr>
          <w:p w14:paraId="2A28EB11" w14:textId="77777777" w:rsidR="00737574" w:rsidRPr="007458BD" w:rsidRDefault="00737574" w:rsidP="00737574">
            <w:r>
              <w:t>4</w:t>
            </w:r>
            <w:r>
              <w:rPr>
                <w:vertAlign w:val="superscript"/>
              </w:rPr>
              <w:t>e</w:t>
            </w:r>
          </w:p>
        </w:tc>
      </w:tr>
      <w:tr w:rsidR="00737574" w:rsidRPr="007458BD" w14:paraId="5BF46A41" w14:textId="77777777" w:rsidTr="008457E5">
        <w:trPr>
          <w:trHeight w:val="287"/>
        </w:trPr>
        <w:tc>
          <w:tcPr>
            <w:tcW w:w="6647" w:type="dxa"/>
            <w:shd w:val="clear" w:color="auto" w:fill="auto"/>
          </w:tcPr>
          <w:p w14:paraId="5C3E0993" w14:textId="732CBAAB" w:rsidR="00737574" w:rsidRPr="007458BD" w:rsidRDefault="00737574" w:rsidP="0056557E">
            <w:r>
              <w:t>Activités préalables à la mise en œuvre</w:t>
            </w:r>
            <w:r w:rsidRPr="007458BD">
              <w:rPr>
                <w:vertAlign w:val="superscript"/>
                <w:lang w:val="en-GB"/>
              </w:rPr>
              <w:footnoteReference w:id="3"/>
            </w:r>
            <w:r w:rsidR="003F440A">
              <w:t> :</w:t>
            </w:r>
          </w:p>
          <w:p w14:paraId="53022C89" w14:textId="2476667D" w:rsidR="00737574" w:rsidRPr="007458BD" w:rsidRDefault="0056557E" w:rsidP="0056557E">
            <w:r>
              <w:t>R</w:t>
            </w:r>
            <w:r w:rsidR="00737574">
              <w:t>ecrutement d</w:t>
            </w:r>
            <w:r w:rsidR="003F440A">
              <w:t>’</w:t>
            </w:r>
            <w:r w:rsidR="00737574">
              <w:t>un boursier et création d</w:t>
            </w:r>
            <w:r w:rsidR="003F440A">
              <w:t>’</w:t>
            </w:r>
            <w:r w:rsidR="00737574">
              <w:t>une équipe chargée du projet.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5735F56" w14:textId="77777777" w:rsidR="00737574" w:rsidRPr="00E875E1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061D1860" w14:textId="77777777" w:rsidR="00737574" w:rsidRPr="00E875E1" w:rsidRDefault="00737574" w:rsidP="00737574"/>
        </w:tc>
        <w:tc>
          <w:tcPr>
            <w:tcW w:w="579" w:type="dxa"/>
            <w:shd w:val="clear" w:color="auto" w:fill="DBE5F1" w:themeFill="accent1" w:themeFillTint="33"/>
          </w:tcPr>
          <w:p w14:paraId="253CBBD8" w14:textId="77777777" w:rsidR="00737574" w:rsidRPr="00E875E1" w:rsidRDefault="00737574" w:rsidP="00737574"/>
        </w:tc>
        <w:tc>
          <w:tcPr>
            <w:tcW w:w="628" w:type="dxa"/>
            <w:shd w:val="clear" w:color="auto" w:fill="DBE5F1" w:themeFill="accent1" w:themeFillTint="33"/>
          </w:tcPr>
          <w:p w14:paraId="25FF2450" w14:textId="77777777" w:rsidR="00737574" w:rsidRPr="00E875E1" w:rsidRDefault="00737574" w:rsidP="00737574"/>
        </w:tc>
        <w:tc>
          <w:tcPr>
            <w:tcW w:w="627" w:type="dxa"/>
            <w:shd w:val="clear" w:color="auto" w:fill="auto"/>
          </w:tcPr>
          <w:p w14:paraId="4820D88B" w14:textId="77777777" w:rsidR="00737574" w:rsidRPr="00E875E1" w:rsidRDefault="00737574" w:rsidP="00737574"/>
        </w:tc>
        <w:tc>
          <w:tcPr>
            <w:tcW w:w="676" w:type="dxa"/>
            <w:shd w:val="clear" w:color="auto" w:fill="auto"/>
          </w:tcPr>
          <w:p w14:paraId="2F203147" w14:textId="77777777" w:rsidR="00737574" w:rsidRPr="00E875E1" w:rsidRDefault="00737574" w:rsidP="00737574"/>
        </w:tc>
        <w:tc>
          <w:tcPr>
            <w:tcW w:w="579" w:type="dxa"/>
            <w:shd w:val="clear" w:color="auto" w:fill="auto"/>
          </w:tcPr>
          <w:p w14:paraId="010F3009" w14:textId="77777777" w:rsidR="00737574" w:rsidRPr="00E875E1" w:rsidRDefault="00737574" w:rsidP="00737574"/>
        </w:tc>
        <w:tc>
          <w:tcPr>
            <w:tcW w:w="562" w:type="dxa"/>
            <w:shd w:val="clear" w:color="auto" w:fill="auto"/>
          </w:tcPr>
          <w:p w14:paraId="3EB2886F" w14:textId="77777777" w:rsidR="00737574" w:rsidRPr="00E875E1" w:rsidRDefault="00737574" w:rsidP="00737574"/>
        </w:tc>
        <w:tc>
          <w:tcPr>
            <w:tcW w:w="694" w:type="dxa"/>
            <w:shd w:val="clear" w:color="auto" w:fill="DBE5F1" w:themeFill="accent1" w:themeFillTint="33"/>
          </w:tcPr>
          <w:p w14:paraId="6228E8E2" w14:textId="77777777" w:rsidR="00737574" w:rsidRPr="00E875E1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567B143F" w14:textId="77777777" w:rsidR="00737574" w:rsidRPr="00E875E1" w:rsidRDefault="00737574" w:rsidP="00737574"/>
        </w:tc>
        <w:tc>
          <w:tcPr>
            <w:tcW w:w="579" w:type="dxa"/>
            <w:shd w:val="clear" w:color="auto" w:fill="DBE5F1" w:themeFill="accent1" w:themeFillTint="33"/>
          </w:tcPr>
          <w:p w14:paraId="4AC48F2D" w14:textId="77777777" w:rsidR="00737574" w:rsidRPr="00E875E1" w:rsidRDefault="00737574" w:rsidP="00737574"/>
        </w:tc>
        <w:tc>
          <w:tcPr>
            <w:tcW w:w="581" w:type="dxa"/>
            <w:shd w:val="clear" w:color="auto" w:fill="DBE5F1" w:themeFill="accent1" w:themeFillTint="33"/>
          </w:tcPr>
          <w:p w14:paraId="71B58677" w14:textId="77777777" w:rsidR="00737574" w:rsidRPr="00E875E1" w:rsidRDefault="00737574" w:rsidP="00737574"/>
        </w:tc>
      </w:tr>
      <w:tr w:rsidR="00737574" w:rsidRPr="007458BD" w14:paraId="5B486BDC" w14:textId="77777777" w:rsidTr="008457E5">
        <w:trPr>
          <w:trHeight w:val="287"/>
        </w:trPr>
        <w:tc>
          <w:tcPr>
            <w:tcW w:w="6647" w:type="dxa"/>
            <w:shd w:val="clear" w:color="auto" w:fill="auto"/>
          </w:tcPr>
          <w:p w14:paraId="4A9D3686" w14:textId="4AA61B24" w:rsidR="00737574" w:rsidRPr="007458BD" w:rsidRDefault="00737574" w:rsidP="0056557E">
            <w:r>
              <w:t>Cartographie des informations et des outils disponibles en Afrique relatifs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à des fins de recherche, de la mise en œuvre des traités de propriété intellectuelle aux niveaux national et régional, du cadre juridique, des régimes de licences applicables à l</w:t>
            </w:r>
            <w:r w:rsidR="003F440A">
              <w:t>’</w:t>
            </w:r>
            <w:r>
              <w:t>exploration de textes et de données</w:t>
            </w:r>
            <w:r w:rsidR="0056557E">
              <w:t xml:space="preserve"> dans tous les pays africains.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0C4196A3" w14:textId="77777777" w:rsidR="00737574" w:rsidRPr="007458BD" w:rsidRDefault="00737574" w:rsidP="00737574">
            <w:r>
              <w:t>X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4B3CAA87" w14:textId="77777777" w:rsidR="00737574" w:rsidRPr="007458BD" w:rsidRDefault="00737574" w:rsidP="00737574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7166E989" w14:textId="77777777" w:rsidR="00737574" w:rsidRPr="007458BD" w:rsidRDefault="00737574" w:rsidP="00737574">
            <w:r>
              <w:t>X</w:t>
            </w:r>
          </w:p>
        </w:tc>
        <w:tc>
          <w:tcPr>
            <w:tcW w:w="628" w:type="dxa"/>
            <w:shd w:val="clear" w:color="auto" w:fill="DBE5F1" w:themeFill="accent1" w:themeFillTint="33"/>
          </w:tcPr>
          <w:p w14:paraId="141A2D93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auto"/>
          </w:tcPr>
          <w:p w14:paraId="4B531D2B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auto"/>
          </w:tcPr>
          <w:p w14:paraId="4E92E060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auto"/>
          </w:tcPr>
          <w:p w14:paraId="73B68FF9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3DBE4023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46AF6225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515500B4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4508DC5F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81" w:type="dxa"/>
            <w:shd w:val="clear" w:color="auto" w:fill="DBE5F1" w:themeFill="accent1" w:themeFillTint="33"/>
          </w:tcPr>
          <w:p w14:paraId="7FFB0053" w14:textId="77777777" w:rsidR="00737574" w:rsidRPr="007458BD" w:rsidRDefault="00737574" w:rsidP="00737574">
            <w:pPr>
              <w:rPr>
                <w:lang w:val="en-GB"/>
              </w:rPr>
            </w:pPr>
          </w:p>
        </w:tc>
      </w:tr>
      <w:tr w:rsidR="00737574" w:rsidRPr="007458BD" w14:paraId="79473EA4" w14:textId="77777777" w:rsidTr="008457E5">
        <w:trPr>
          <w:trHeight w:val="446"/>
        </w:trPr>
        <w:tc>
          <w:tcPr>
            <w:tcW w:w="6647" w:type="dxa"/>
            <w:shd w:val="clear" w:color="auto" w:fill="auto"/>
          </w:tcPr>
          <w:p w14:paraId="045EAC92" w14:textId="0E0147BB" w:rsidR="00737574" w:rsidRPr="007458BD" w:rsidRDefault="00737574" w:rsidP="0056557E">
            <w:r>
              <w:t>Élaboration d</w:t>
            </w:r>
            <w:r w:rsidR="003F440A">
              <w:t>’</w:t>
            </w:r>
            <w:r>
              <w:t>études de cas sur le cadre de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avec trois universités africaines intéressées à piloter le projet pour accroître leur sensibilisation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et renforcer leurs capacités en la matière.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3F0F01C1" w14:textId="77777777" w:rsidR="00737574" w:rsidRPr="00E875E1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3DC3231A" w14:textId="77777777" w:rsidR="00737574" w:rsidRPr="00E875E1" w:rsidRDefault="00737574" w:rsidP="00737574"/>
        </w:tc>
        <w:tc>
          <w:tcPr>
            <w:tcW w:w="579" w:type="dxa"/>
            <w:shd w:val="clear" w:color="auto" w:fill="DBE5F1" w:themeFill="accent1" w:themeFillTint="33"/>
          </w:tcPr>
          <w:p w14:paraId="02267C0F" w14:textId="77777777" w:rsidR="00737574" w:rsidRPr="00E875E1" w:rsidRDefault="00737574" w:rsidP="00737574"/>
        </w:tc>
        <w:tc>
          <w:tcPr>
            <w:tcW w:w="628" w:type="dxa"/>
            <w:shd w:val="clear" w:color="auto" w:fill="DBE5F1" w:themeFill="accent1" w:themeFillTint="33"/>
          </w:tcPr>
          <w:p w14:paraId="1971F63C" w14:textId="77777777" w:rsidR="00737574" w:rsidRPr="007458BD" w:rsidRDefault="00737574" w:rsidP="00737574">
            <w:r>
              <w:t>X</w:t>
            </w:r>
          </w:p>
        </w:tc>
        <w:tc>
          <w:tcPr>
            <w:tcW w:w="627" w:type="dxa"/>
            <w:shd w:val="clear" w:color="auto" w:fill="auto"/>
          </w:tcPr>
          <w:p w14:paraId="44002AC6" w14:textId="77777777" w:rsidR="00737574" w:rsidRPr="007458BD" w:rsidRDefault="00737574" w:rsidP="00737574">
            <w:r>
              <w:t>X</w:t>
            </w:r>
          </w:p>
        </w:tc>
        <w:tc>
          <w:tcPr>
            <w:tcW w:w="676" w:type="dxa"/>
            <w:shd w:val="clear" w:color="auto" w:fill="auto"/>
          </w:tcPr>
          <w:p w14:paraId="5575C9A4" w14:textId="77777777" w:rsidR="00737574" w:rsidRPr="007458BD" w:rsidRDefault="00737574" w:rsidP="00737574">
            <w:r>
              <w:t>X</w:t>
            </w:r>
          </w:p>
        </w:tc>
        <w:tc>
          <w:tcPr>
            <w:tcW w:w="579" w:type="dxa"/>
            <w:shd w:val="clear" w:color="auto" w:fill="auto"/>
          </w:tcPr>
          <w:p w14:paraId="22C57F02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0DA62ED2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3B5EDF84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41B1B1C1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58FD1B0B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81" w:type="dxa"/>
            <w:shd w:val="clear" w:color="auto" w:fill="DBE5F1" w:themeFill="accent1" w:themeFillTint="33"/>
          </w:tcPr>
          <w:p w14:paraId="01035E59" w14:textId="77777777" w:rsidR="00737574" w:rsidRPr="007458BD" w:rsidRDefault="00737574" w:rsidP="00737574">
            <w:pPr>
              <w:rPr>
                <w:lang w:val="en-GB"/>
              </w:rPr>
            </w:pPr>
          </w:p>
        </w:tc>
      </w:tr>
      <w:tr w:rsidR="00737574" w:rsidRPr="007458BD" w14:paraId="25821871" w14:textId="77777777" w:rsidTr="008457E5">
        <w:trPr>
          <w:trHeight w:val="287"/>
        </w:trPr>
        <w:tc>
          <w:tcPr>
            <w:tcW w:w="6647" w:type="dxa"/>
            <w:shd w:val="clear" w:color="auto" w:fill="auto"/>
          </w:tcPr>
          <w:p w14:paraId="3D3B1044" w14:textId="7AEC71EE" w:rsidR="00737574" w:rsidRPr="007458BD" w:rsidRDefault="00737574" w:rsidP="0056557E">
            <w:r>
              <w:t>Élaboration de supports de formation sur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 xml:space="preserve">exploration de textes et de données à des fins de recherche scientifique par les universités et autres établissements axés sur la recherche en Afrique;  examen par des pairs et organisation de séminaires régionaux </w:t>
            </w:r>
            <w:r w:rsidR="00444778">
              <w:t xml:space="preserve">sur </w:t>
            </w:r>
            <w:r>
              <w:t>l</w:t>
            </w:r>
            <w:r w:rsidR="003F440A">
              <w:t>’</w:t>
            </w:r>
            <w:r w:rsidR="0056557E">
              <w:t>utilisation de ces supports.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DEBDB4B" w14:textId="77777777" w:rsidR="00737574" w:rsidRPr="00E875E1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7C4896DF" w14:textId="77777777" w:rsidR="00737574" w:rsidRPr="00E875E1" w:rsidRDefault="00737574" w:rsidP="00737574"/>
        </w:tc>
        <w:tc>
          <w:tcPr>
            <w:tcW w:w="579" w:type="dxa"/>
            <w:shd w:val="clear" w:color="auto" w:fill="DBE5F1" w:themeFill="accent1" w:themeFillTint="33"/>
          </w:tcPr>
          <w:p w14:paraId="07D0E5EC" w14:textId="77777777" w:rsidR="00737574" w:rsidRPr="00E875E1" w:rsidRDefault="00737574" w:rsidP="00737574"/>
        </w:tc>
        <w:tc>
          <w:tcPr>
            <w:tcW w:w="628" w:type="dxa"/>
            <w:shd w:val="clear" w:color="auto" w:fill="DBE5F1" w:themeFill="accent1" w:themeFillTint="33"/>
          </w:tcPr>
          <w:p w14:paraId="74113A6A" w14:textId="77777777" w:rsidR="00737574" w:rsidRPr="00E875E1" w:rsidRDefault="00737574" w:rsidP="00737574"/>
        </w:tc>
        <w:tc>
          <w:tcPr>
            <w:tcW w:w="627" w:type="dxa"/>
            <w:shd w:val="clear" w:color="auto" w:fill="auto"/>
          </w:tcPr>
          <w:p w14:paraId="53FAF0BD" w14:textId="77777777" w:rsidR="00737574" w:rsidRPr="00E875E1" w:rsidRDefault="00737574" w:rsidP="00737574"/>
        </w:tc>
        <w:tc>
          <w:tcPr>
            <w:tcW w:w="676" w:type="dxa"/>
            <w:shd w:val="clear" w:color="auto" w:fill="auto"/>
          </w:tcPr>
          <w:p w14:paraId="5CF262CB" w14:textId="77777777" w:rsidR="00737574" w:rsidRPr="00E875E1" w:rsidRDefault="00737574" w:rsidP="00737574"/>
        </w:tc>
        <w:tc>
          <w:tcPr>
            <w:tcW w:w="579" w:type="dxa"/>
            <w:shd w:val="clear" w:color="auto" w:fill="auto"/>
          </w:tcPr>
          <w:p w14:paraId="59C4E14F" w14:textId="77777777" w:rsidR="00737574" w:rsidRPr="007458BD" w:rsidRDefault="00737574" w:rsidP="00737574">
            <w:r>
              <w:t>X</w:t>
            </w:r>
          </w:p>
        </w:tc>
        <w:tc>
          <w:tcPr>
            <w:tcW w:w="562" w:type="dxa"/>
            <w:shd w:val="clear" w:color="auto" w:fill="auto"/>
          </w:tcPr>
          <w:p w14:paraId="71046C30" w14:textId="77777777" w:rsidR="00737574" w:rsidRPr="007458BD" w:rsidRDefault="00737574" w:rsidP="00737574">
            <w:r>
              <w:t>X</w:t>
            </w:r>
          </w:p>
        </w:tc>
        <w:tc>
          <w:tcPr>
            <w:tcW w:w="694" w:type="dxa"/>
            <w:shd w:val="clear" w:color="auto" w:fill="DBE5F1" w:themeFill="accent1" w:themeFillTint="33"/>
          </w:tcPr>
          <w:p w14:paraId="51B75B22" w14:textId="77777777" w:rsidR="00737574" w:rsidRPr="007458BD" w:rsidRDefault="00737574" w:rsidP="00737574">
            <w:r>
              <w:t>X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022FFE33" w14:textId="77777777" w:rsidR="00737574" w:rsidRPr="007458BD" w:rsidRDefault="00737574" w:rsidP="00737574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06378BA6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81" w:type="dxa"/>
            <w:shd w:val="clear" w:color="auto" w:fill="DBE5F1" w:themeFill="accent1" w:themeFillTint="33"/>
          </w:tcPr>
          <w:p w14:paraId="1BF51DBA" w14:textId="77777777" w:rsidR="00737574" w:rsidRPr="007458BD" w:rsidRDefault="00737574" w:rsidP="00737574">
            <w:pPr>
              <w:rPr>
                <w:lang w:val="en-GB"/>
              </w:rPr>
            </w:pPr>
          </w:p>
        </w:tc>
      </w:tr>
      <w:tr w:rsidR="00737574" w:rsidRPr="007458BD" w14:paraId="5E7A028B" w14:textId="77777777" w:rsidTr="008457E5">
        <w:trPr>
          <w:trHeight w:val="638"/>
        </w:trPr>
        <w:tc>
          <w:tcPr>
            <w:tcW w:w="6647" w:type="dxa"/>
            <w:shd w:val="clear" w:color="auto" w:fill="auto"/>
          </w:tcPr>
          <w:p w14:paraId="0AF07445" w14:textId="12373267" w:rsidR="00737574" w:rsidRPr="007458BD" w:rsidRDefault="00737574" w:rsidP="0056557E">
            <w:r>
              <w:t>Création d</w:t>
            </w:r>
            <w:r w:rsidR="003F440A">
              <w:t>’</w:t>
            </w:r>
            <w:r>
              <w:t xml:space="preserve">une </w:t>
            </w:r>
            <w:r w:rsidR="003F440A">
              <w:t>page W</w:t>
            </w:r>
            <w:r>
              <w:t>eb dédiée qui permettra d</w:t>
            </w:r>
            <w:r w:rsidR="003F440A">
              <w:t>’</w:t>
            </w:r>
            <w:r>
              <w:t xml:space="preserve">accéder aisément à </w:t>
            </w:r>
            <w:r w:rsidR="00F554E6">
              <w:t xml:space="preserve">toutes les réalisations accomplies </w:t>
            </w:r>
            <w:r>
              <w:t>du projet pilote.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45A9224B" w14:textId="77777777" w:rsidR="00737574" w:rsidRPr="007458BD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04956151" w14:textId="77777777" w:rsidR="00737574" w:rsidRPr="00E875E1" w:rsidRDefault="00737574" w:rsidP="00737574"/>
        </w:tc>
        <w:tc>
          <w:tcPr>
            <w:tcW w:w="579" w:type="dxa"/>
            <w:shd w:val="clear" w:color="auto" w:fill="DBE5F1" w:themeFill="accent1" w:themeFillTint="33"/>
          </w:tcPr>
          <w:p w14:paraId="71C315EC" w14:textId="77777777" w:rsidR="00737574" w:rsidRPr="00E875E1" w:rsidRDefault="00737574" w:rsidP="00737574"/>
        </w:tc>
        <w:tc>
          <w:tcPr>
            <w:tcW w:w="628" w:type="dxa"/>
            <w:shd w:val="clear" w:color="auto" w:fill="DBE5F1" w:themeFill="accent1" w:themeFillTint="33"/>
          </w:tcPr>
          <w:p w14:paraId="642CF319" w14:textId="77777777" w:rsidR="00737574" w:rsidRPr="00E875E1" w:rsidRDefault="00737574" w:rsidP="00737574"/>
        </w:tc>
        <w:tc>
          <w:tcPr>
            <w:tcW w:w="627" w:type="dxa"/>
            <w:shd w:val="clear" w:color="auto" w:fill="auto"/>
          </w:tcPr>
          <w:p w14:paraId="2B76E35F" w14:textId="77777777" w:rsidR="00737574" w:rsidRPr="00E875E1" w:rsidRDefault="00737574" w:rsidP="00737574"/>
        </w:tc>
        <w:tc>
          <w:tcPr>
            <w:tcW w:w="676" w:type="dxa"/>
            <w:shd w:val="clear" w:color="auto" w:fill="auto"/>
          </w:tcPr>
          <w:p w14:paraId="0AFD6C76" w14:textId="77777777" w:rsidR="00737574" w:rsidRPr="00E875E1" w:rsidRDefault="00737574" w:rsidP="00737574"/>
        </w:tc>
        <w:tc>
          <w:tcPr>
            <w:tcW w:w="579" w:type="dxa"/>
            <w:shd w:val="clear" w:color="auto" w:fill="auto"/>
          </w:tcPr>
          <w:p w14:paraId="3736A024" w14:textId="77777777" w:rsidR="00737574" w:rsidRPr="00E875E1" w:rsidRDefault="00737574" w:rsidP="00737574"/>
        </w:tc>
        <w:tc>
          <w:tcPr>
            <w:tcW w:w="562" w:type="dxa"/>
            <w:shd w:val="clear" w:color="auto" w:fill="auto"/>
          </w:tcPr>
          <w:p w14:paraId="45AA6489" w14:textId="77777777" w:rsidR="00737574" w:rsidRPr="00E875E1" w:rsidRDefault="00737574" w:rsidP="00737574"/>
        </w:tc>
        <w:tc>
          <w:tcPr>
            <w:tcW w:w="694" w:type="dxa"/>
            <w:shd w:val="clear" w:color="auto" w:fill="DBE5F1" w:themeFill="accent1" w:themeFillTint="33"/>
          </w:tcPr>
          <w:p w14:paraId="34DFC558" w14:textId="77777777" w:rsidR="00737574" w:rsidRPr="00E875E1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07A29830" w14:textId="77777777" w:rsidR="00737574" w:rsidRPr="007458BD" w:rsidRDefault="00737574" w:rsidP="00737574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03B52D67" w14:textId="77777777" w:rsidR="00737574" w:rsidRPr="007458BD" w:rsidRDefault="00737574" w:rsidP="00737574">
            <w:r>
              <w:t>X</w:t>
            </w:r>
          </w:p>
        </w:tc>
        <w:tc>
          <w:tcPr>
            <w:tcW w:w="581" w:type="dxa"/>
            <w:shd w:val="clear" w:color="auto" w:fill="DBE5F1" w:themeFill="accent1" w:themeFillTint="33"/>
          </w:tcPr>
          <w:p w14:paraId="589B723A" w14:textId="77777777" w:rsidR="00737574" w:rsidRPr="007458BD" w:rsidRDefault="00737574" w:rsidP="00737574">
            <w:pPr>
              <w:rPr>
                <w:lang w:val="en-GB"/>
              </w:rPr>
            </w:pPr>
          </w:p>
        </w:tc>
      </w:tr>
      <w:tr w:rsidR="00737574" w:rsidRPr="007458BD" w14:paraId="1E90CE41" w14:textId="77777777" w:rsidTr="008457E5">
        <w:trPr>
          <w:trHeight w:val="183"/>
        </w:trPr>
        <w:tc>
          <w:tcPr>
            <w:tcW w:w="6647" w:type="dxa"/>
            <w:shd w:val="clear" w:color="auto" w:fill="auto"/>
          </w:tcPr>
          <w:p w14:paraId="3A4C24EB" w14:textId="74F4EDC7" w:rsidR="00737574" w:rsidRPr="007458BD" w:rsidRDefault="00737574" w:rsidP="0056557E">
            <w:r>
              <w:t>Évaluation du projet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631110F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73681D13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7C305DAE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28" w:type="dxa"/>
            <w:shd w:val="clear" w:color="auto" w:fill="DBE5F1" w:themeFill="accent1" w:themeFillTint="33"/>
          </w:tcPr>
          <w:p w14:paraId="6686DF1C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auto"/>
          </w:tcPr>
          <w:p w14:paraId="5F2A1B99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auto"/>
          </w:tcPr>
          <w:p w14:paraId="6D71A208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auto"/>
          </w:tcPr>
          <w:p w14:paraId="3B620ADC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3B4780CD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4124FB02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42BE60F4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1C9A59B1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81" w:type="dxa"/>
            <w:shd w:val="clear" w:color="auto" w:fill="DBE5F1" w:themeFill="accent1" w:themeFillTint="33"/>
          </w:tcPr>
          <w:p w14:paraId="686FA81A" w14:textId="77777777" w:rsidR="00737574" w:rsidRPr="007458BD" w:rsidRDefault="00737574" w:rsidP="00737574">
            <w:r>
              <w:t>X</w:t>
            </w:r>
          </w:p>
        </w:tc>
      </w:tr>
    </w:tbl>
    <w:p w14:paraId="64AD6205" w14:textId="77777777" w:rsidR="00737574" w:rsidRPr="007458BD" w:rsidRDefault="00737574" w:rsidP="00737574"/>
    <w:p w14:paraId="6A964AE2" w14:textId="77777777" w:rsidR="00737574" w:rsidRPr="007458BD" w:rsidRDefault="00737574" w:rsidP="00737574">
      <w:pPr>
        <w:sectPr w:rsidR="00737574" w:rsidRPr="007458BD" w:rsidSect="0073757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40" w:h="11907" w:orient="landscape"/>
          <w:pgMar w:top="1418" w:right="567" w:bottom="1134" w:left="1418" w:header="510" w:footer="1021" w:gutter="0"/>
          <w:cols w:space="720"/>
          <w:titlePg/>
          <w:docGrid w:linePitch="299"/>
        </w:sectPr>
      </w:pPr>
    </w:p>
    <w:p w14:paraId="45825DE3" w14:textId="51FD3C86" w:rsidR="00737574" w:rsidRPr="0056557E" w:rsidRDefault="00737574" w:rsidP="0056557E">
      <w:pPr>
        <w:spacing w:after="240"/>
        <w:rPr>
          <w:b/>
          <w:bCs/>
        </w:rPr>
      </w:pPr>
      <w:r>
        <w:rPr>
          <w:b/>
        </w:rPr>
        <w:t>4.</w:t>
      </w:r>
      <w:r w:rsidR="008457E5">
        <w:rPr>
          <w:b/>
        </w:rPr>
        <w:tab/>
      </w:r>
      <w:r>
        <w:rPr>
          <w:b/>
        </w:rPr>
        <w:t>BUDGET DU PROJET PAR RÉALISATION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3360"/>
        <w:gridCol w:w="1171"/>
        <w:gridCol w:w="1701"/>
        <w:gridCol w:w="1276"/>
        <w:gridCol w:w="2172"/>
        <w:gridCol w:w="1230"/>
        <w:gridCol w:w="1559"/>
        <w:gridCol w:w="1531"/>
      </w:tblGrid>
      <w:tr w:rsidR="00737574" w:rsidRPr="002E569A" w14:paraId="7FFD4667" w14:textId="77777777" w:rsidTr="00CE6396">
        <w:trPr>
          <w:trHeight w:val="301"/>
          <w:tblHeader/>
        </w:trPr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hideMark/>
          </w:tcPr>
          <w:p w14:paraId="35589CBD" w14:textId="77777777" w:rsidR="00737574" w:rsidRPr="002E569A" w:rsidRDefault="00737574" w:rsidP="00F819C2">
            <w:pPr>
              <w:rPr>
                <w:rFonts w:ascii="Arial Narrow" w:eastAsia="Times New Roman" w:hAnsi="Arial Narrow"/>
                <w:i/>
                <w:i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i/>
                <w:color w:val="002839"/>
                <w:spacing w:val="-2"/>
                <w:sz w:val="20"/>
                <w:szCs w:val="19"/>
              </w:rPr>
              <w:t>(en francs suisses)</w:t>
            </w:r>
          </w:p>
        </w:tc>
        <w:tc>
          <w:tcPr>
            <w:tcW w:w="2872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hideMark/>
          </w:tcPr>
          <w:p w14:paraId="2381DF3F" w14:textId="77777777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2024</w:t>
            </w:r>
          </w:p>
        </w:tc>
        <w:tc>
          <w:tcPr>
            <w:tcW w:w="3448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hideMark/>
          </w:tcPr>
          <w:p w14:paraId="485E2C88" w14:textId="77777777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2025</w:t>
            </w:r>
          </w:p>
        </w:tc>
        <w:tc>
          <w:tcPr>
            <w:tcW w:w="2789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hideMark/>
          </w:tcPr>
          <w:p w14:paraId="5FDF4388" w14:textId="77777777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2026</w:t>
            </w:r>
          </w:p>
        </w:tc>
        <w:tc>
          <w:tcPr>
            <w:tcW w:w="1531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132EA85A" w14:textId="77777777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Total</w:t>
            </w:r>
          </w:p>
        </w:tc>
      </w:tr>
      <w:tr w:rsidR="00737574" w:rsidRPr="002E569A" w14:paraId="00C38753" w14:textId="77777777" w:rsidTr="00CE6396">
        <w:trPr>
          <w:trHeight w:val="664"/>
          <w:tblHeader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14:paraId="3282E916" w14:textId="4B308840" w:rsidR="00737574" w:rsidRPr="002E569A" w:rsidRDefault="00737574" w:rsidP="00F819C2">
            <w:pPr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Réalisations du projet</w:t>
            </w:r>
          </w:p>
        </w:tc>
        <w:tc>
          <w:tcPr>
            <w:tcW w:w="1171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334BAA5" w14:textId="7E289AAE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de personnel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78E93AFB" w14:textId="0E4A9D7B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autres que les dépenses de personnel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688B6BB" w14:textId="0A0E744F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de personnel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5D6EE09" w14:textId="1ABBDF06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autres que les dépenses de personnel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0176C1C4" w14:textId="393A96F2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de personnel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43F41E4C" w14:textId="5BECA62E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autres que les dépenses de personnel</w:t>
            </w:r>
          </w:p>
        </w:tc>
        <w:tc>
          <w:tcPr>
            <w:tcW w:w="1531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073B15E4" w14:textId="77777777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  <w:lang w:eastAsia="en-US"/>
              </w:rPr>
            </w:pPr>
          </w:p>
        </w:tc>
      </w:tr>
      <w:tr w:rsidR="00737574" w:rsidRPr="002E569A" w14:paraId="7E491C42" w14:textId="77777777" w:rsidTr="00CE6396">
        <w:trPr>
          <w:trHeight w:val="535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2B372B" w14:textId="174D4258" w:rsidR="00737574" w:rsidRPr="002E569A" w:rsidRDefault="00737574" w:rsidP="00C930E2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Coordination du projet et soutien de la mise en œuvre</w:t>
            </w:r>
            <w:r w:rsidR="00690A9F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F0596B" w14:textId="184DA6BD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3394A" w14:textId="1A5D2B3F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77 100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D97014" w14:textId="51E41A14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AD587A" w14:textId="391B562C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77 100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28166A" w14:textId="61B52F1A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F0AF09" w14:textId="0B9FA720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77 100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77AD89" w14:textId="670D5AA1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231 300</w:t>
            </w:r>
          </w:p>
        </w:tc>
      </w:tr>
      <w:tr w:rsidR="00737574" w:rsidRPr="002E569A" w14:paraId="06FC2D20" w14:textId="77777777" w:rsidTr="00CE6396">
        <w:trPr>
          <w:trHeight w:val="1525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CE18B8" w14:textId="1F884768" w:rsidR="00737574" w:rsidRPr="002E569A" w:rsidRDefault="00737574" w:rsidP="00C930E2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Cartographie des informations et des outils disponibles en Afrique relatifs à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utilisation de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exploration de textes et de données à des fins de recherche, de la mise en œuvre des traités de propriété intellectuelle aux niveaux national et régional, du cadre juridique, des régimes de licences applicables à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exploration de textes et de données dans tous les pays africains.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9737B7" w14:textId="7B1CADED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413E65" w14:textId="580470BC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 xml:space="preserve">25 000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039D81" w14:textId="16B2AE8D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E3E85" w14:textId="0C95D097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715A4C" w14:textId="5F66DBC5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A1D154" w14:textId="7FAD01B8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E85470" w14:textId="795D6E9B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25 000</w:t>
            </w:r>
          </w:p>
        </w:tc>
        <w:bookmarkStart w:id="4" w:name="_GoBack"/>
        <w:bookmarkEnd w:id="4"/>
      </w:tr>
      <w:tr w:rsidR="00737574" w:rsidRPr="002E569A" w14:paraId="3DB89681" w14:textId="77777777" w:rsidTr="00CE6396">
        <w:trPr>
          <w:trHeight w:val="796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5BCF56" w14:textId="77475D9A" w:rsidR="00737574" w:rsidRPr="002E569A" w:rsidRDefault="00737574" w:rsidP="00C930E2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Élaboration d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études de cas sur le cadre de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utilisation de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exploration de textes et de données avec trois universités africaines;  accroissement de leur sensibilisation à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utilisation de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exploration de textes et de données et renforcement de leurs capacités en la matière.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2DDE40" w14:textId="3381CCF1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B40615" w14:textId="77777777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 xml:space="preserve">40 000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5A1C62" w14:textId="37236B60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FC3C0" w14:textId="765E6667" w:rsidR="00737574" w:rsidRPr="002E569A" w:rsidRDefault="0059029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40 000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058906" w14:textId="424D897A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6670B6" w14:textId="15A821C5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FEE589" w14:textId="51183A71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80 000</w:t>
            </w:r>
          </w:p>
        </w:tc>
      </w:tr>
      <w:tr w:rsidR="00737574" w:rsidRPr="002E569A" w14:paraId="0645A7A9" w14:textId="77777777" w:rsidTr="00CE6396">
        <w:trPr>
          <w:trHeight w:val="1534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72B59E" w14:textId="6020BFFB" w:rsidR="00737574" w:rsidRPr="002E569A" w:rsidRDefault="00737574" w:rsidP="00C930E2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Élaboration de supports de formation sur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utilisation de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exploration de textes et de données à des fins de recherche scientifique par les universités et autres établissements axés sur la recherche en Afrique;  examen par des pairs et organisation de séminaires régionaux sur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="0056557E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utilisation de ces supports.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AE57AC" w14:textId="0275C4EB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664345" w14:textId="3190DE22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2F631D" w14:textId="1866414A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A4073" w14:textId="56609507" w:rsidR="00737574" w:rsidRPr="002E569A" w:rsidRDefault="00590294" w:rsidP="0059029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166 500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8771B7" w14:textId="22626AAE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224FB8" w14:textId="78648B61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5948AC" w14:textId="079D3CD7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166 500</w:t>
            </w:r>
          </w:p>
        </w:tc>
      </w:tr>
      <w:tr w:rsidR="00737574" w:rsidRPr="002E569A" w14:paraId="6F9B2DEC" w14:textId="77777777" w:rsidTr="00CE6396">
        <w:trPr>
          <w:trHeight w:val="454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3DA236" w14:textId="088BE9AE" w:rsidR="00737574" w:rsidRPr="002E569A" w:rsidRDefault="00737574" w:rsidP="008900E0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Création d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 xml:space="preserve">une 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page W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eb dédiée</w:t>
            </w:r>
            <w:r w:rsidR="00690A9F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84C4B7" w14:textId="02019D6C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7B64D0" w14:textId="23BEA98C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D77295" w14:textId="6193110D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536AA3" w14:textId="637914A4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6 000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2EC503" w14:textId="009C1D51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48B6BF" w14:textId="0181F7C5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768C4" w14:textId="4BA192C2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6 000</w:t>
            </w:r>
          </w:p>
        </w:tc>
      </w:tr>
      <w:tr w:rsidR="00737574" w:rsidRPr="002E569A" w14:paraId="5E4D380A" w14:textId="77777777" w:rsidTr="00CE6396">
        <w:trPr>
          <w:trHeight w:val="436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3DA75A" w14:textId="5EE1CB9E" w:rsidR="00737574" w:rsidRPr="002E569A" w:rsidRDefault="00737574" w:rsidP="00C930E2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Évaluation du projet</w:t>
            </w:r>
            <w:r w:rsidR="00690A9F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4A01D5" w14:textId="26DE3308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3535ED" w14:textId="1EFE3C88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628E27" w14:textId="2CB1FD27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F44BD3" w14:textId="77094D36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0DDFCE" w14:textId="5707C0D5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4FA8F2" w14:textId="7489C76F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15 000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110DDA" w14:textId="53CA3372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15 000</w:t>
            </w:r>
          </w:p>
        </w:tc>
      </w:tr>
      <w:tr w:rsidR="00737574" w:rsidRPr="002E569A" w14:paraId="141E111E" w14:textId="77777777" w:rsidTr="00CE6396">
        <w:trPr>
          <w:trHeight w:val="102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536BBB49" w14:textId="77777777" w:rsidR="00737574" w:rsidRPr="002E569A" w:rsidRDefault="00737574" w:rsidP="00C930E2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>Total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6FCCFAF" w14:textId="6FB40CC3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BB8698F" w14:textId="422922A5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>142 100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CB64587" w14:textId="4E602EDB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79616D2" w14:textId="4E1FAC33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>289 600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3F65AC5" w14:textId="1F8C77DC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D05014B" w14:textId="68D0E2EF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>92 100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40F9041" w14:textId="724D9B7C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>523 800</w:t>
            </w:r>
          </w:p>
        </w:tc>
      </w:tr>
    </w:tbl>
    <w:p w14:paraId="608356FB" w14:textId="77777777" w:rsidR="00737574" w:rsidRPr="007458BD" w:rsidRDefault="00737574" w:rsidP="00737574">
      <w:pPr>
        <w:jc w:val="right"/>
        <w:sectPr w:rsidR="00737574" w:rsidRPr="007458BD" w:rsidSect="00737574"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40" w:h="11907" w:orient="landscape" w:code="9"/>
          <w:pgMar w:top="1418" w:right="567" w:bottom="1134" w:left="1418" w:header="510" w:footer="1021" w:gutter="0"/>
          <w:cols w:space="720"/>
          <w:titlePg/>
          <w:docGrid w:linePitch="299"/>
        </w:sectPr>
      </w:pPr>
    </w:p>
    <w:p w14:paraId="29ACC608" w14:textId="4B999A4D" w:rsidR="00737574" w:rsidRPr="00276928" w:rsidRDefault="008457E5" w:rsidP="008457E5">
      <w:pPr>
        <w:tabs>
          <w:tab w:val="left" w:pos="567"/>
        </w:tabs>
        <w:spacing w:after="240"/>
        <w:rPr>
          <w:bCs/>
        </w:rPr>
      </w:pPr>
      <w:r>
        <w:rPr>
          <w:b/>
        </w:rPr>
        <w:t>5.</w:t>
      </w:r>
      <w:r>
        <w:rPr>
          <w:b/>
        </w:rPr>
        <w:tab/>
      </w:r>
      <w:r w:rsidR="00737574">
        <w:rPr>
          <w:b/>
        </w:rPr>
        <w:t>BUDGET DU PROJET PAR CATÉGORIE DE COÛT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992"/>
        <w:gridCol w:w="1134"/>
        <w:gridCol w:w="1188"/>
        <w:gridCol w:w="1222"/>
        <w:gridCol w:w="1276"/>
        <w:gridCol w:w="992"/>
        <w:gridCol w:w="1168"/>
        <w:gridCol w:w="817"/>
      </w:tblGrid>
      <w:tr w:rsidR="00267097" w:rsidRPr="00267097" w14:paraId="084FB8A3" w14:textId="77777777" w:rsidTr="00267097">
        <w:trPr>
          <w:trHeight w:val="54"/>
          <w:tblHeader/>
        </w:trPr>
        <w:tc>
          <w:tcPr>
            <w:tcW w:w="410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05FE01C5" w14:textId="77777777" w:rsidR="00737574" w:rsidRPr="00267097" w:rsidRDefault="00737574" w:rsidP="00737574">
            <w:pPr>
              <w:rPr>
                <w:rFonts w:ascii="Arial Narrow" w:eastAsia="Times New Roman" w:hAnsi="Arial Narrow"/>
                <w:i/>
                <w:i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i/>
                <w:color w:val="002839"/>
                <w:spacing w:val="-2"/>
                <w:sz w:val="20"/>
                <w:szCs w:val="17"/>
              </w:rPr>
              <w:t>(en francs suisses)</w:t>
            </w:r>
          </w:p>
        </w:tc>
        <w:tc>
          <w:tcPr>
            <w:tcW w:w="326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C9692BE" w14:textId="7B0435D2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Voyages, formation et subventions</w:t>
            </w:r>
          </w:p>
        </w:tc>
        <w:tc>
          <w:tcPr>
            <w:tcW w:w="5846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7887B5C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Services contractuels</w:t>
            </w:r>
          </w:p>
        </w:tc>
        <w:tc>
          <w:tcPr>
            <w:tcW w:w="817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09F1477A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Total</w:t>
            </w:r>
          </w:p>
        </w:tc>
      </w:tr>
      <w:tr w:rsidR="00267097" w:rsidRPr="00267097" w14:paraId="5D00ECC7" w14:textId="77777777" w:rsidTr="00267097">
        <w:trPr>
          <w:trHeight w:val="79"/>
          <w:tblHeader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756B0A39" w14:textId="77777777" w:rsidR="00737574" w:rsidRPr="00267097" w:rsidRDefault="00737574" w:rsidP="00737574">
            <w:pPr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Activités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267411B6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Missions du personnel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DD84743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Voyages de tiers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D32AE80" w14:textId="7E6117F3" w:rsidR="00737574" w:rsidRPr="00267097" w:rsidRDefault="00737574" w:rsidP="0056289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Formations et demandes de paiement des frais de voyage y</w:t>
            </w:r>
            <w:r w:rsidR="00562891"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 </w:t>
            </w: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relatifs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1C5D6A8D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Conférences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46CD550D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Publications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E44A58B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Services contractuels individuels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A8FACD3" w14:textId="1282C4F9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Bourses de l</w:t>
            </w:r>
            <w:r w:rsidR="003F440A"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OMPI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34E5E0A3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Autres services contractuels</w:t>
            </w:r>
          </w:p>
        </w:tc>
        <w:tc>
          <w:tcPr>
            <w:tcW w:w="817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E799B7" w14:textId="77777777" w:rsidR="00737574" w:rsidRPr="00267097" w:rsidRDefault="00737574" w:rsidP="00737574">
            <w:pPr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  <w:lang w:eastAsia="en-US"/>
              </w:rPr>
            </w:pPr>
          </w:p>
        </w:tc>
      </w:tr>
      <w:tr w:rsidR="00267097" w:rsidRPr="00267097" w14:paraId="23DC9F00" w14:textId="77777777" w:rsidTr="00267097">
        <w:trPr>
          <w:trHeight w:val="52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886C55" w14:textId="133A7785" w:rsidR="00737574" w:rsidRPr="00267097" w:rsidRDefault="00737574" w:rsidP="00737574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Coordination du projet et soutien de la mise en œuvre</w:t>
            </w:r>
            <w:r w:rsidR="00C80432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B0AAC9" w14:textId="04C68265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949372" w14:textId="6037A566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E95F9F" w14:textId="5D1D480D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061D1E" w14:textId="16B8E9EA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97F73E" w14:textId="46C534B3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4DC37" w14:textId="4F95EF1D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B109E3" w14:textId="4729C45E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231 300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D5367C" w14:textId="7EA13225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817F9" w14:textId="44ACB13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231 300</w:t>
            </w:r>
          </w:p>
        </w:tc>
      </w:tr>
      <w:tr w:rsidR="00267097" w:rsidRPr="00267097" w14:paraId="384B4CE7" w14:textId="77777777" w:rsidTr="00267097">
        <w:trPr>
          <w:trHeight w:val="181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CC79EC" w14:textId="75C37E85" w:rsidR="00737574" w:rsidRPr="00267097" w:rsidRDefault="00737574" w:rsidP="00737574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Cartographie des informations et des outils disponibles en Afrique relatifs à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utilisation de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exploration de textes et de données à des fins de recherche, de la mise en œuvre des traités de propriété intellectuelle aux niveaux national et régional, du cadre juridique, des régimes de licences applicables à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 xml:space="preserve">exploration de textes et de données </w:t>
            </w:r>
            <w:r w:rsidR="008457E5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dans tous les pays africains.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6E320A" w14:textId="6D4654F6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82ABA3" w14:textId="478C0CE3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F4562" w14:textId="75353BE5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15B124" w14:textId="570932C1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39ABB1" w14:textId="4EE229DA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5 000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7C5136" w14:textId="7C4CCBA6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444908" w14:textId="1C1445ED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B2738D" w14:textId="22D9D37F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07B22D" w14:textId="235C5E81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25 000</w:t>
            </w:r>
          </w:p>
        </w:tc>
      </w:tr>
      <w:tr w:rsidR="00267097" w:rsidRPr="00267097" w14:paraId="20131594" w14:textId="77777777" w:rsidTr="00267097">
        <w:trPr>
          <w:trHeight w:val="133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D20AC4" w14:textId="1E347B3E" w:rsidR="00737574" w:rsidRPr="00267097" w:rsidRDefault="00737574" w:rsidP="00737574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Élaboration d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études de cas sur le cadre de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utilisation de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exploration de textes et de données avec trois universités africaines;  accroissement de leur sensibilisation à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utilisation de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exploration de textes et de données et renforcement de leurs capacités en la matière.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F3DAAC" w14:textId="4A4E63C3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18A751" w14:textId="7F725024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7960E" w14:textId="4BB58A45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489CD" w14:textId="3BA0B06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12 000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75AE9" w14:textId="469A6C2E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4 000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776386" w14:textId="725DA89B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44 000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320570" w14:textId="53F06B64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0779E5" w14:textId="7777777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DC28B9" w14:textId="54782938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80 000</w:t>
            </w:r>
          </w:p>
        </w:tc>
      </w:tr>
      <w:tr w:rsidR="00267097" w:rsidRPr="00267097" w14:paraId="534543B4" w14:textId="77777777" w:rsidTr="00267097">
        <w:trPr>
          <w:cantSplit/>
          <w:trHeight w:val="137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2F967A" w14:textId="430EA002" w:rsidR="00737574" w:rsidRPr="00267097" w:rsidRDefault="00737574" w:rsidP="00276928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Élaboration de supports de formation sur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utilisation de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exploration de textes et de données à des fins de recherche scientifique par les universités et autres établissement</w:t>
            </w:r>
            <w:r w:rsidR="00C930E2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 xml:space="preserve">s 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axés sur la recherche en Afrique;  examen par des pairs</w:t>
            </w:r>
            <w:r w:rsidR="00C80432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 xml:space="preserve"> 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et organisation de séminaires régionaux sur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="00276928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utilisation de ces supports.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AC7348" w14:textId="24AF47C2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22 500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CF4408" w14:textId="5DA8A894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80 000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71CD8F" w14:textId="512FEA5F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E7BAF1" w14:textId="5BF0DC0C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12 000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FBA124" w14:textId="2DCCA3E9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61CA00" w14:textId="539AB719" w:rsidR="00737574" w:rsidRPr="00267097" w:rsidRDefault="00473B95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50</w:t>
            </w:r>
            <w:r w:rsidR="00737574" w:rsidRPr="00267097">
              <w:rPr>
                <w:rFonts w:ascii="Arial Narrow" w:hAnsi="Arial Narrow"/>
                <w:color w:val="002839"/>
                <w:sz w:val="20"/>
                <w:szCs w:val="17"/>
              </w:rPr>
              <w:t>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F5FBB" w14:textId="3946F936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585AFC" w14:textId="76988E59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2 000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A7250E" w14:textId="0E5254AE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166 500</w:t>
            </w:r>
          </w:p>
        </w:tc>
      </w:tr>
      <w:tr w:rsidR="00267097" w:rsidRPr="00267097" w14:paraId="33945F12" w14:textId="77777777" w:rsidTr="00267097">
        <w:trPr>
          <w:trHeight w:val="382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434462" w14:textId="0A83C729" w:rsidR="00737574" w:rsidRPr="00267097" w:rsidRDefault="00737574" w:rsidP="00737574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Création d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 xml:space="preserve">une 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page W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eb dédiée.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31DF8" w14:textId="326A8F8C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C1A00B" w14:textId="6ECDA832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257D85" w14:textId="275D25EF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4D21A5" w14:textId="7994DC2E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1097F9" w14:textId="65B3D0FF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A30DE9" w14:textId="5EF94939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4 000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599768" w14:textId="5F3132CE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2630C" w14:textId="7D5AA840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2 000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6E9D46" w14:textId="5882155A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6 000</w:t>
            </w:r>
          </w:p>
        </w:tc>
      </w:tr>
      <w:tr w:rsidR="00267097" w:rsidRPr="00267097" w14:paraId="45B2A57F" w14:textId="77777777" w:rsidTr="00267097">
        <w:trPr>
          <w:trHeight w:val="112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100ACE" w14:textId="158366CA" w:rsidR="00C80432" w:rsidRPr="00267097" w:rsidRDefault="00737574" w:rsidP="00737574">
            <w:pPr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Évaluation du projet</w:t>
            </w:r>
            <w:r w:rsidR="00C80432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7B75CD" w14:textId="57699B6C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6301B5" w14:textId="7777777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453421" w14:textId="01432E7A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ED9262" w14:textId="7777777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157C84" w14:textId="76A5F951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568F4C" w14:textId="6FA581AD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15 000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C4420E" w14:textId="230AA377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26FF0E" w14:textId="7ADAD4FF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13B27A" w14:textId="0F3BECF7" w:rsidR="00737574" w:rsidRPr="00267097" w:rsidRDefault="00737574" w:rsidP="00562891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15 000</w:t>
            </w:r>
          </w:p>
        </w:tc>
      </w:tr>
      <w:tr w:rsidR="00267097" w:rsidRPr="00267097" w14:paraId="62491E91" w14:textId="77777777" w:rsidTr="00267097">
        <w:trPr>
          <w:trHeight w:val="8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7183D54C" w14:textId="58C2C261" w:rsidR="00737574" w:rsidRPr="00267097" w:rsidRDefault="00737574" w:rsidP="00737574">
            <w:pPr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99AAE7B" w14:textId="0EE22C1E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22 500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E2497D9" w14:textId="41A9357B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100 000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CE240A5" w14:textId="04EF2A60" w:rsidR="00737574" w:rsidRPr="00267097" w:rsidRDefault="00C930E2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–</w:t>
            </w:r>
            <w:r w:rsidR="00737574"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 xml:space="preserve">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ED6A121" w14:textId="5A9FEC66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24 000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AF048C0" w14:textId="55001F94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9 000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F23DED2" w14:textId="6D39F192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133 000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E27D583" w14:textId="5D021C0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231 300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936D769" w14:textId="785EC4E2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4 000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7F2A24C" w14:textId="5CA44B3A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523 800</w:t>
            </w:r>
          </w:p>
        </w:tc>
      </w:tr>
    </w:tbl>
    <w:p w14:paraId="2A267C2A" w14:textId="47622772" w:rsidR="000F5E56" w:rsidRPr="00276928" w:rsidRDefault="00737574" w:rsidP="008457E5">
      <w:pPr>
        <w:pStyle w:val="Endofdocument-Annex"/>
        <w:spacing w:before="720"/>
        <w:ind w:left="9502"/>
      </w:pPr>
      <w:r w:rsidRPr="00276928">
        <w:t>[Fin de l</w:t>
      </w:r>
      <w:r w:rsidR="003F440A" w:rsidRPr="00276928">
        <w:t>’</w:t>
      </w:r>
      <w:r w:rsidRPr="00276928">
        <w:t>annexe et du document]</w:t>
      </w:r>
    </w:p>
    <w:sectPr w:rsidR="000F5E56" w:rsidRPr="00276928" w:rsidSect="002C32D8">
      <w:headerReference w:type="default" r:id="rId29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DE4E9" w14:textId="77777777" w:rsidR="002B4EA7" w:rsidRDefault="002B4EA7">
      <w:r>
        <w:separator/>
      </w:r>
    </w:p>
  </w:endnote>
  <w:endnote w:type="continuationSeparator" w:id="0">
    <w:p w14:paraId="04BCD7A0" w14:textId="77777777" w:rsidR="002B4EA7" w:rsidRPr="009D30E6" w:rsidRDefault="002B4E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BA8D257" w14:textId="77777777" w:rsidR="002B4EA7" w:rsidRPr="009D30E6" w:rsidRDefault="002B4E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61B8594" w14:textId="77777777" w:rsidR="002B4EA7" w:rsidRPr="009D30E6" w:rsidRDefault="002B4E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D055" w14:textId="77777777" w:rsidR="00473B95" w:rsidRDefault="00473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F518E" w14:textId="77777777" w:rsidR="00473B95" w:rsidRDefault="00473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733CD" w14:textId="77777777" w:rsidR="00473B95" w:rsidRDefault="00473B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C739" w14:textId="77777777" w:rsidR="00C930E2" w:rsidRPr="00F17DA5" w:rsidRDefault="00C930E2" w:rsidP="00C930E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014D0" w14:textId="77777777" w:rsidR="00C930E2" w:rsidRDefault="00C930E2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DAD49" w14:textId="77777777" w:rsidR="00C930E2" w:rsidRDefault="00C930E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33483" w14:textId="77777777" w:rsidR="00C930E2" w:rsidRPr="000337E3" w:rsidRDefault="00C930E2" w:rsidP="00C930E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CD7D1" w14:textId="77777777" w:rsidR="00C930E2" w:rsidRDefault="00C930E2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D55A2" w14:textId="77777777" w:rsidR="00C930E2" w:rsidRPr="00F17DA5" w:rsidRDefault="00C930E2" w:rsidP="00C93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855C0" w14:textId="77777777" w:rsidR="002B4EA7" w:rsidRDefault="002B4EA7">
      <w:r>
        <w:separator/>
      </w:r>
    </w:p>
  </w:footnote>
  <w:footnote w:type="continuationSeparator" w:id="0">
    <w:p w14:paraId="3AD3C4C7" w14:textId="77777777" w:rsidR="002B4EA7" w:rsidRDefault="002B4EA7" w:rsidP="007461F1">
      <w:r>
        <w:separator/>
      </w:r>
    </w:p>
    <w:p w14:paraId="6930EBF8" w14:textId="77777777" w:rsidR="002B4EA7" w:rsidRPr="009D30E6" w:rsidRDefault="002B4E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580FC4A" w14:textId="77777777" w:rsidR="002B4EA7" w:rsidRPr="009D30E6" w:rsidRDefault="002B4E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512AB003" w14:textId="493AC84C" w:rsidR="00C930E2" w:rsidRPr="00737574" w:rsidRDefault="00C930E2" w:rsidP="00737574">
      <w:pPr>
        <w:pStyle w:val="FootnoteText"/>
        <w:tabs>
          <w:tab w:val="left" w:pos="567"/>
        </w:tabs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B545E1">
        <w:tab/>
      </w:r>
      <w:r>
        <w:t>Plan stratégique de l’OMPI à moyen terme pour 2022</w:t>
      </w:r>
      <w:r w:rsidR="00B545E1">
        <w:noBreakHyphen/>
      </w:r>
      <w:r>
        <w:t>2026, document</w:t>
      </w:r>
      <w:r w:rsidR="00B545E1">
        <w:t> </w:t>
      </w:r>
      <w:r>
        <w:t xml:space="preserve">WO/PBC/32/3, </w:t>
      </w:r>
      <w:hyperlink r:id="rId1" w:history="1">
        <w:r>
          <w:rPr>
            <w:rStyle w:val="Hyperlink"/>
          </w:rPr>
          <w:t>https://www.wipo.int/meetings/fr/doc_details.jsp?doc_id=541373</w:t>
        </w:r>
      </w:hyperlink>
      <w:r w:rsidR="00B545E1">
        <w:t>.</w:t>
      </w:r>
    </w:p>
  </w:footnote>
  <w:footnote w:id="3">
    <w:p w14:paraId="6DAF319D" w14:textId="1D954510" w:rsidR="00C930E2" w:rsidRPr="00737574" w:rsidRDefault="00C930E2" w:rsidP="00737574">
      <w:pPr>
        <w:pStyle w:val="FootnoteText"/>
        <w:tabs>
          <w:tab w:val="left" w:pos="567"/>
        </w:tabs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>
        <w:tab/>
        <w:t>La mise en œuvre commencera une fois qu’une équipe de projet aura été mise en place.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E3F4F" w14:textId="77777777" w:rsidR="00C930E2" w:rsidRDefault="00C930E2" w:rsidP="00C930E2">
    <w:pPr>
      <w:pStyle w:val="Header"/>
      <w:jc w:val="right"/>
    </w:pPr>
    <w:r>
      <w:t>CDIP/30/9</w:t>
    </w:r>
  </w:p>
  <w:p w14:paraId="070FA3CD" w14:textId="77777777" w:rsidR="00C930E2" w:rsidRDefault="00C930E2" w:rsidP="00C930E2">
    <w:pPr>
      <w:pStyle w:val="Header"/>
      <w:tabs>
        <w:tab w:val="clear" w:pos="4536"/>
        <w:tab w:val="clear" w:pos="9072"/>
        <w:tab w:val="center" w:pos="0"/>
        <w:tab w:val="right" w:pos="9355"/>
      </w:tabs>
    </w:pPr>
    <w:r>
      <w:tab/>
      <w:t>ANNEXE</w:t>
    </w:r>
  </w:p>
  <w:p w14:paraId="7E0BAABD" w14:textId="77777777" w:rsidR="00C930E2" w:rsidRDefault="00C930E2">
    <w:pPr>
      <w:pStyle w:val="Header"/>
    </w:pPr>
  </w:p>
  <w:p w14:paraId="20A20880" w14:textId="77777777" w:rsidR="00C930E2" w:rsidRDefault="00C930E2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A76C3" w14:textId="07BF27D7" w:rsidR="00C930E2" w:rsidRDefault="00C930E2" w:rsidP="00C930E2">
    <w:pPr>
      <w:pStyle w:val="Header"/>
      <w:jc w:val="right"/>
    </w:pPr>
    <w:r>
      <w:t>CDIP/30/</w:t>
    </w:r>
    <w:r w:rsidR="0056557E">
      <w:t>9</w:t>
    </w:r>
  </w:p>
  <w:p w14:paraId="6E5B182A" w14:textId="7B8A3095" w:rsidR="00C930E2" w:rsidRDefault="00C930E2" w:rsidP="0056557E">
    <w:pPr>
      <w:spacing w:after="480"/>
      <w:jc w:val="right"/>
    </w:pPr>
    <w:r>
      <w:t>Annexe, page</w:t>
    </w:r>
    <w:r w:rsidR="0056557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E569A">
      <w:rPr>
        <w:noProof/>
      </w:rPr>
      <w:t>11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E1B77" w14:textId="77777777" w:rsidR="00C930E2" w:rsidRDefault="00C930E2" w:rsidP="00C930E2">
    <w:pPr>
      <w:pStyle w:val="Header"/>
      <w:jc w:val="right"/>
    </w:pPr>
    <w:r>
      <w:t>CDIP/30/9</w:t>
    </w:r>
  </w:p>
  <w:p w14:paraId="74B05083" w14:textId="0A7ADACF" w:rsidR="00C930E2" w:rsidRDefault="00C930E2" w:rsidP="00737574">
    <w:pPr>
      <w:spacing w:after="480"/>
      <w:jc w:val="right"/>
    </w:pPr>
    <w:r>
      <w:t>Annexe, page</w:t>
    </w:r>
    <w:r w:rsidR="0056557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E6396">
      <w:rPr>
        <w:noProof/>
      </w:rPr>
      <w:t>11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1CCD4" w14:textId="77777777" w:rsidR="00C930E2" w:rsidRPr="00B45C15" w:rsidRDefault="00C930E2" w:rsidP="00477D6B">
    <w:pPr>
      <w:jc w:val="right"/>
      <w:rPr>
        <w:caps/>
      </w:rPr>
    </w:pPr>
    <w:bookmarkStart w:id="5" w:name="Code2"/>
    <w:bookmarkEnd w:id="5"/>
    <w:r>
      <w:rPr>
        <w:caps/>
      </w:rPr>
      <w:t>CDIP/30/9</w:t>
    </w:r>
  </w:p>
  <w:p w14:paraId="574B9D08" w14:textId="558475B1" w:rsidR="00C930E2" w:rsidRDefault="008900E0" w:rsidP="008900E0">
    <w:pPr>
      <w:spacing w:after="480"/>
      <w:jc w:val="right"/>
    </w:pPr>
    <w:r>
      <w:t>p</w:t>
    </w:r>
    <w:r w:rsidR="00C930E2">
      <w:t>age</w:t>
    </w:r>
    <w:r>
      <w:t> </w:t>
    </w:r>
    <w:r w:rsidR="00C930E2">
      <w:fldChar w:fldCharType="begin"/>
    </w:r>
    <w:r w:rsidR="00C930E2">
      <w:instrText xml:space="preserve"> PAGE  \* MERGEFORMAT </w:instrText>
    </w:r>
    <w:r w:rsidR="00C930E2">
      <w:fldChar w:fldCharType="separate"/>
    </w:r>
    <w:r w:rsidR="00267097">
      <w:rPr>
        <w:noProof/>
      </w:rPr>
      <w:t>12</w:t>
    </w:r>
    <w:r w:rsidR="00C930E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4972C" w14:textId="77777777" w:rsidR="00C930E2" w:rsidRDefault="00C930E2" w:rsidP="00C930E2">
    <w:pPr>
      <w:pStyle w:val="Header"/>
      <w:jc w:val="right"/>
    </w:pPr>
    <w:r>
      <w:t>CDIP/30/9</w:t>
    </w:r>
  </w:p>
  <w:p w14:paraId="64286E3E" w14:textId="133161C1" w:rsidR="00C930E2" w:rsidRDefault="00C930E2" w:rsidP="00C930E2">
    <w:pPr>
      <w:pStyle w:val="Header"/>
      <w:tabs>
        <w:tab w:val="clear" w:pos="9072"/>
        <w:tab w:val="right" w:pos="9355"/>
      </w:tabs>
    </w:pPr>
    <w:r>
      <w:tab/>
    </w:r>
    <w:r>
      <w:tab/>
      <w:t>Annexe, page 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E1A29A5" w14:textId="77777777" w:rsidR="00C930E2" w:rsidRDefault="00C930E2" w:rsidP="00C930E2">
    <w:pPr>
      <w:pStyle w:val="Header"/>
      <w:tabs>
        <w:tab w:val="clear" w:pos="9072"/>
        <w:tab w:val="right" w:pos="9355"/>
      </w:tabs>
    </w:pPr>
  </w:p>
  <w:p w14:paraId="4CBC9913" w14:textId="77777777" w:rsidR="00C930E2" w:rsidRDefault="00C930E2" w:rsidP="00C930E2">
    <w:pPr>
      <w:pStyle w:val="Header"/>
      <w:tabs>
        <w:tab w:val="clear" w:pos="9072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8C88" w14:textId="77777777" w:rsidR="00473B95" w:rsidRDefault="00473B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1085" w14:textId="77777777" w:rsidR="00C930E2" w:rsidRDefault="00C930E2" w:rsidP="00C930E2">
    <w:pPr>
      <w:pStyle w:val="Header"/>
      <w:jc w:val="right"/>
    </w:pPr>
    <w:r>
      <w:t>CDIP/30/9</w:t>
    </w:r>
  </w:p>
  <w:p w14:paraId="6B17B2D4" w14:textId="77777777" w:rsidR="00C930E2" w:rsidRDefault="00C930E2" w:rsidP="00C930E2">
    <w:pPr>
      <w:pStyle w:val="Header"/>
      <w:jc w:val="right"/>
    </w:pPr>
    <w:r>
      <w:tab/>
    </w:r>
    <w:r>
      <w:tab/>
      <w:t xml:space="preserve">Annexe, page </w:t>
    </w: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07345A2B" w14:textId="77777777" w:rsidR="00C930E2" w:rsidRDefault="00C930E2">
    <w:pPr>
      <w:pStyle w:val="Header"/>
    </w:pPr>
  </w:p>
  <w:p w14:paraId="7E73CD81" w14:textId="77777777" w:rsidR="00C930E2" w:rsidRDefault="00C930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F2A5" w14:textId="77777777" w:rsidR="00C930E2" w:rsidRDefault="00C930E2" w:rsidP="00C930E2">
    <w:pPr>
      <w:pStyle w:val="Header"/>
      <w:jc w:val="right"/>
    </w:pPr>
    <w:r>
      <w:t>CDIP/30/9</w:t>
    </w:r>
  </w:p>
  <w:p w14:paraId="1DF49CE1" w14:textId="07ED507B" w:rsidR="00C930E2" w:rsidRDefault="00C930E2" w:rsidP="00737574">
    <w:pPr>
      <w:pStyle w:val="Header"/>
      <w:tabs>
        <w:tab w:val="clear" w:pos="9072"/>
        <w:tab w:val="right" w:pos="9355"/>
      </w:tabs>
      <w:spacing w:after="480"/>
      <w:jc w:val="right"/>
    </w:pPr>
    <w:r>
      <w:t>Annexe, page</w:t>
    </w:r>
    <w:r w:rsidR="00E352CD">
      <w:t> </w:t>
    </w:r>
    <w:r>
      <w:fldChar w:fldCharType="begin"/>
    </w:r>
    <w:r>
      <w:instrText xml:space="preserve"> PAGE </w:instrText>
    </w:r>
    <w:r>
      <w:fldChar w:fldCharType="separate"/>
    </w:r>
    <w:r w:rsidR="00CE6396">
      <w:rPr>
        <w:noProof/>
      </w:rPr>
      <w:t>8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B5F45" w14:textId="77777777" w:rsidR="00C930E2" w:rsidRDefault="00C930E2" w:rsidP="00C930E2">
    <w:pPr>
      <w:pStyle w:val="Header"/>
      <w:jc w:val="right"/>
    </w:pPr>
    <w:r>
      <w:t>CDIP/30/9</w:t>
    </w:r>
  </w:p>
  <w:p w14:paraId="2F52C870" w14:textId="77777777" w:rsidR="00C930E2" w:rsidRDefault="00C930E2" w:rsidP="00737574">
    <w:pPr>
      <w:pStyle w:val="Header"/>
      <w:spacing w:after="480"/>
      <w:jc w:val="right"/>
    </w:pPr>
    <w:r>
      <w:t>ANNEXE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B6C12" w14:textId="77777777" w:rsidR="00C930E2" w:rsidRDefault="00C930E2" w:rsidP="00C930E2">
    <w:pPr>
      <w:pStyle w:val="Header"/>
      <w:jc w:val="right"/>
    </w:pPr>
    <w:r>
      <w:t>CDIP/30/9</w:t>
    </w:r>
  </w:p>
  <w:p w14:paraId="0F3DD6B1" w14:textId="77777777" w:rsidR="00C930E2" w:rsidRDefault="00C930E2" w:rsidP="00C930E2">
    <w:pPr>
      <w:jc w:val="right"/>
    </w:pPr>
    <w:r>
      <w:t xml:space="preserve">Annexe, page </w:t>
    </w: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</w:p>
  <w:p w14:paraId="52620A35" w14:textId="77777777" w:rsidR="00C930E2" w:rsidRDefault="00C930E2" w:rsidP="00C930E2">
    <w:pPr>
      <w:pStyle w:val="Header"/>
    </w:pPr>
  </w:p>
  <w:p w14:paraId="162E7F27" w14:textId="77777777" w:rsidR="00C930E2" w:rsidRDefault="00C930E2" w:rsidP="00C930E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9C5E" w14:textId="77777777" w:rsidR="00C930E2" w:rsidRDefault="00C930E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5F5CB" w14:textId="77777777" w:rsidR="00C930E2" w:rsidRDefault="00C930E2" w:rsidP="00C930E2">
    <w:pPr>
      <w:pStyle w:val="Header"/>
      <w:jc w:val="right"/>
    </w:pPr>
    <w:r>
      <w:t>CDIP/30/9</w:t>
    </w:r>
  </w:p>
  <w:p w14:paraId="2F8357F8" w14:textId="71AA44E3" w:rsidR="00C930E2" w:rsidRDefault="00C930E2" w:rsidP="00737574">
    <w:pPr>
      <w:spacing w:after="480"/>
      <w:jc w:val="right"/>
    </w:pPr>
    <w:r>
      <w:t>Annexe, page</w:t>
    </w:r>
    <w:r w:rsidR="0056557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E6396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7F34CEC"/>
    <w:multiLevelType w:val="multilevel"/>
    <w:tmpl w:val="84E6E684"/>
    <w:lvl w:ilvl="0">
      <w:start w:val="1"/>
      <w:numFmt w:val="decimal"/>
      <w:lvlText w:val="%1."/>
      <w:lvlJc w:val="left"/>
      <w:pPr>
        <w:ind w:left="567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7" w:firstLine="1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7" w:firstLine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7" w:firstLine="45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7" w:firstLine="4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7" w:firstLine="2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7" w:firstLine="35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7" w:hanging="6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7" w:firstLine="166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28991E4C"/>
    <w:multiLevelType w:val="hybridMultilevel"/>
    <w:tmpl w:val="C2C69E12"/>
    <w:lvl w:ilvl="0" w:tplc="BB982B7E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4065115F"/>
    <w:multiLevelType w:val="hybridMultilevel"/>
    <w:tmpl w:val="E8BC2C32"/>
    <w:lvl w:ilvl="0" w:tplc="FE0E15D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0B1FCA"/>
    <w:multiLevelType w:val="hybridMultilevel"/>
    <w:tmpl w:val="E506B84A"/>
    <w:lvl w:ilvl="0" w:tplc="E1C6FE78">
      <w:start w:val="2"/>
      <w:numFmt w:val="bullet"/>
      <w:lvlText w:val="-"/>
      <w:lvlJc w:val="left"/>
      <w:pPr>
        <w:ind w:left="475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A8002D"/>
    <w:multiLevelType w:val="hybridMultilevel"/>
    <w:tmpl w:val="B92438A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781782"/>
    <w:multiLevelType w:val="hybridMultilevel"/>
    <w:tmpl w:val="24C2AC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A4427"/>
    <w:multiLevelType w:val="hybridMultilevel"/>
    <w:tmpl w:val="208C19B4"/>
    <w:lvl w:ilvl="0" w:tplc="41189914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3" w15:restartNumberingAfterBreak="0">
    <w:nsid w:val="77652B4E"/>
    <w:multiLevelType w:val="hybridMultilevel"/>
    <w:tmpl w:val="8940D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74"/>
    <w:rsid w:val="00011B7D"/>
    <w:rsid w:val="00020C7E"/>
    <w:rsid w:val="00026F4C"/>
    <w:rsid w:val="00075432"/>
    <w:rsid w:val="0009458A"/>
    <w:rsid w:val="000F5E56"/>
    <w:rsid w:val="001060FF"/>
    <w:rsid w:val="001362EE"/>
    <w:rsid w:val="0016273B"/>
    <w:rsid w:val="001832A6"/>
    <w:rsid w:val="00195C6E"/>
    <w:rsid w:val="001B266A"/>
    <w:rsid w:val="001B488E"/>
    <w:rsid w:val="001C6508"/>
    <w:rsid w:val="001C7518"/>
    <w:rsid w:val="001D3D56"/>
    <w:rsid w:val="00240654"/>
    <w:rsid w:val="002634C4"/>
    <w:rsid w:val="00267097"/>
    <w:rsid w:val="00276928"/>
    <w:rsid w:val="002956DE"/>
    <w:rsid w:val="002B06C1"/>
    <w:rsid w:val="002B4EA7"/>
    <w:rsid w:val="002C32D8"/>
    <w:rsid w:val="002E4D1A"/>
    <w:rsid w:val="002E569A"/>
    <w:rsid w:val="002F16BC"/>
    <w:rsid w:val="002F4E68"/>
    <w:rsid w:val="00322C0B"/>
    <w:rsid w:val="00336AD3"/>
    <w:rsid w:val="00381798"/>
    <w:rsid w:val="003845C1"/>
    <w:rsid w:val="003A67A3"/>
    <w:rsid w:val="003F440A"/>
    <w:rsid w:val="004008A2"/>
    <w:rsid w:val="004025DF"/>
    <w:rsid w:val="0040540C"/>
    <w:rsid w:val="00423E3E"/>
    <w:rsid w:val="00427AF4"/>
    <w:rsid w:val="00444778"/>
    <w:rsid w:val="00460E8E"/>
    <w:rsid w:val="004647DA"/>
    <w:rsid w:val="00473B95"/>
    <w:rsid w:val="00477D6B"/>
    <w:rsid w:val="004936BA"/>
    <w:rsid w:val="004D6471"/>
    <w:rsid w:val="004F4BBE"/>
    <w:rsid w:val="0051455D"/>
    <w:rsid w:val="00525B63"/>
    <w:rsid w:val="00525E59"/>
    <w:rsid w:val="00541348"/>
    <w:rsid w:val="005421DD"/>
    <w:rsid w:val="00554FA5"/>
    <w:rsid w:val="00562891"/>
    <w:rsid w:val="0056557E"/>
    <w:rsid w:val="00567A4C"/>
    <w:rsid w:val="00574036"/>
    <w:rsid w:val="00590294"/>
    <w:rsid w:val="005938B8"/>
    <w:rsid w:val="00595F07"/>
    <w:rsid w:val="005A290D"/>
    <w:rsid w:val="005E6516"/>
    <w:rsid w:val="00605827"/>
    <w:rsid w:val="00616671"/>
    <w:rsid w:val="0063670B"/>
    <w:rsid w:val="00690A9F"/>
    <w:rsid w:val="006B0988"/>
    <w:rsid w:val="006B0DB5"/>
    <w:rsid w:val="00737574"/>
    <w:rsid w:val="007461F1"/>
    <w:rsid w:val="007D6961"/>
    <w:rsid w:val="007F07CB"/>
    <w:rsid w:val="00810CEF"/>
    <w:rsid w:val="0081208D"/>
    <w:rsid w:val="008457E5"/>
    <w:rsid w:val="00874B11"/>
    <w:rsid w:val="00882AD6"/>
    <w:rsid w:val="00884327"/>
    <w:rsid w:val="008900E0"/>
    <w:rsid w:val="00897816"/>
    <w:rsid w:val="008B2CC1"/>
    <w:rsid w:val="008E7930"/>
    <w:rsid w:val="0090731E"/>
    <w:rsid w:val="00966A22"/>
    <w:rsid w:val="00974CD6"/>
    <w:rsid w:val="009B05A6"/>
    <w:rsid w:val="009D30E6"/>
    <w:rsid w:val="009E3F6F"/>
    <w:rsid w:val="009E696A"/>
    <w:rsid w:val="009F499F"/>
    <w:rsid w:val="00A11D74"/>
    <w:rsid w:val="00A56F48"/>
    <w:rsid w:val="00A576F8"/>
    <w:rsid w:val="00AA4A9F"/>
    <w:rsid w:val="00AC0AE4"/>
    <w:rsid w:val="00AD61DB"/>
    <w:rsid w:val="00B1090C"/>
    <w:rsid w:val="00B35AF5"/>
    <w:rsid w:val="00B4503C"/>
    <w:rsid w:val="00B45C15"/>
    <w:rsid w:val="00B545E1"/>
    <w:rsid w:val="00BE0BE0"/>
    <w:rsid w:val="00C55669"/>
    <w:rsid w:val="00C60766"/>
    <w:rsid w:val="00C664C8"/>
    <w:rsid w:val="00C66634"/>
    <w:rsid w:val="00C80432"/>
    <w:rsid w:val="00C930E2"/>
    <w:rsid w:val="00CB3D4A"/>
    <w:rsid w:val="00CE6396"/>
    <w:rsid w:val="00CF0460"/>
    <w:rsid w:val="00CF71E8"/>
    <w:rsid w:val="00D1054C"/>
    <w:rsid w:val="00D43E0F"/>
    <w:rsid w:val="00D45252"/>
    <w:rsid w:val="00D71B4D"/>
    <w:rsid w:val="00D75C1E"/>
    <w:rsid w:val="00D93D55"/>
    <w:rsid w:val="00DB1C48"/>
    <w:rsid w:val="00DC254C"/>
    <w:rsid w:val="00DD4917"/>
    <w:rsid w:val="00DD6A16"/>
    <w:rsid w:val="00E0091A"/>
    <w:rsid w:val="00E12EFE"/>
    <w:rsid w:val="00E203AA"/>
    <w:rsid w:val="00E352CD"/>
    <w:rsid w:val="00E5217A"/>
    <w:rsid w:val="00E527A5"/>
    <w:rsid w:val="00E76456"/>
    <w:rsid w:val="00E875E1"/>
    <w:rsid w:val="00EA00A8"/>
    <w:rsid w:val="00EA5130"/>
    <w:rsid w:val="00ED4274"/>
    <w:rsid w:val="00EE71CB"/>
    <w:rsid w:val="00EF56C3"/>
    <w:rsid w:val="00F01272"/>
    <w:rsid w:val="00F16975"/>
    <w:rsid w:val="00F554E6"/>
    <w:rsid w:val="00F63AFF"/>
    <w:rsid w:val="00F66152"/>
    <w:rsid w:val="00F76053"/>
    <w:rsid w:val="00F80688"/>
    <w:rsid w:val="00F819C2"/>
    <w:rsid w:val="00FB0646"/>
    <w:rsid w:val="00FB127B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5CED93"/>
  <w15:docId w15:val="{9B97077A-01C7-49BF-B817-75252F9C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737574"/>
    <w:pPr>
      <w:spacing w:before="0" w:after="60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737574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3757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rsid w:val="00737574"/>
    <w:rPr>
      <w:rFonts w:ascii="Arial" w:eastAsia="SimSun" w:hAnsi="Arial" w:cs="Arial"/>
      <w:sz w:val="22"/>
      <w:lang w:eastAsia="zh-CN"/>
    </w:rPr>
  </w:style>
  <w:style w:type="paragraph" w:customStyle="1" w:styleId="TableParagraph">
    <w:name w:val="Table Paragraph"/>
    <w:basedOn w:val="Normal"/>
    <w:uiPriority w:val="1"/>
    <w:qFormat/>
    <w:rsid w:val="00737574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375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574"/>
    <w:pPr>
      <w:ind w:left="720"/>
      <w:contextualSpacing/>
    </w:pPr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737574"/>
    <w:rPr>
      <w:vertAlign w:val="superscript"/>
    </w:rPr>
  </w:style>
  <w:style w:type="paragraph" w:customStyle="1" w:styleId="Default">
    <w:name w:val="Default"/>
    <w:rsid w:val="0073757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customStyle="1" w:styleId="ONUMFSChar">
    <w:name w:val="ONUM FS Char"/>
    <w:basedOn w:val="DefaultParagraphFont"/>
    <w:link w:val="ONUMFS"/>
    <w:rsid w:val="0073757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fr/doc_details.jsp?doc_id=54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CCB9-D5A3-4941-96DF-6D2B0A5D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4254</Words>
  <Characters>23590</Characters>
  <Application>Microsoft Office Word</Application>
  <DocSecurity>0</DocSecurity>
  <Lines>720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CDIP/30/</vt:lpstr>
    </vt:vector>
  </TitlesOfParts>
  <Company>WIPO</Company>
  <LinksUpToDate>false</LinksUpToDate>
  <CharactersWithSpaces>27751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OLIVIÉ Karen</dc:creator>
  <cp:keywords>FOR OFFICIAL USE ONLY</cp:keywords>
  <cp:lastModifiedBy>AUBERT Annaelle</cp:lastModifiedBy>
  <cp:revision>6</cp:revision>
  <cp:lastPrinted>2011-05-19T12:37:00Z</cp:lastPrinted>
  <dcterms:created xsi:type="dcterms:W3CDTF">2023-03-06T16:12:00Z</dcterms:created>
  <dcterms:modified xsi:type="dcterms:W3CDTF">2023-03-07T07:14:00Z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