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B480" w14:textId="77777777" w:rsidR="008B2CC1" w:rsidRPr="003A014B" w:rsidRDefault="0040540C" w:rsidP="00897816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3A014B">
        <w:rPr>
          <w:noProof/>
          <w:lang w:val="fr-FR" w:eastAsia="fr-CH"/>
        </w:rPr>
        <w:drawing>
          <wp:inline distT="0" distB="0" distL="0" distR="0" wp14:anchorId="170EEDA7" wp14:editId="32BFE9FF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A6227" w14:textId="3C5275B9" w:rsidR="00B1090C" w:rsidRPr="003A014B" w:rsidRDefault="00897816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3A014B">
        <w:rPr>
          <w:rFonts w:ascii="Arial Black" w:hAnsi="Arial Black"/>
          <w:caps/>
          <w:sz w:val="15"/>
          <w:lang w:val="fr-FR"/>
        </w:rPr>
        <w:t>CDIP/3</w:t>
      </w:r>
      <w:r w:rsidR="000760CD" w:rsidRPr="003A014B">
        <w:rPr>
          <w:rFonts w:ascii="Arial Black" w:hAnsi="Arial Black"/>
          <w:caps/>
          <w:sz w:val="15"/>
          <w:lang w:val="fr-FR"/>
        </w:rPr>
        <w:t>1</w:t>
      </w:r>
      <w:r w:rsidRPr="003A014B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="005961EE" w:rsidRPr="003A014B">
        <w:rPr>
          <w:rFonts w:ascii="Arial Black" w:hAnsi="Arial Black"/>
          <w:caps/>
          <w:sz w:val="15"/>
          <w:lang w:val="fr-FR"/>
        </w:rPr>
        <w:t>INF/4</w:t>
      </w:r>
    </w:p>
    <w:p w14:paraId="0A8428DF" w14:textId="0E4D6D08" w:rsidR="008B2CC1" w:rsidRPr="00EC41E3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EC41E3">
        <w:rPr>
          <w:rFonts w:ascii="Arial Black" w:hAnsi="Arial Black"/>
          <w:caps/>
          <w:sz w:val="15"/>
          <w:szCs w:val="15"/>
          <w:lang w:val="fr-FR"/>
        </w:rPr>
        <w:t>ORIGINAL</w:t>
      </w:r>
      <w:r w:rsidR="000626B1" w:rsidRPr="00EC41E3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EC41E3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5961EE" w:rsidRPr="00EC41E3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0B20970E" w14:textId="36F15FE1" w:rsidR="008B2CC1" w:rsidRPr="00EC41E3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EC41E3">
        <w:rPr>
          <w:rFonts w:ascii="Arial Black" w:hAnsi="Arial Black"/>
          <w:caps/>
          <w:sz w:val="15"/>
          <w:szCs w:val="15"/>
          <w:lang w:val="fr-FR"/>
        </w:rPr>
        <w:t>DATE</w:t>
      </w:r>
      <w:r w:rsidR="000626B1" w:rsidRPr="00EC41E3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EC41E3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5961EE" w:rsidRPr="00EC41E3">
        <w:rPr>
          <w:rFonts w:ascii="Arial Black" w:hAnsi="Arial Black"/>
          <w:caps/>
          <w:sz w:val="15"/>
          <w:szCs w:val="15"/>
          <w:lang w:val="fr-FR"/>
        </w:rPr>
        <w:t>6 septembre 2023</w:t>
      </w:r>
    </w:p>
    <w:bookmarkEnd w:id="2"/>
    <w:p w14:paraId="7C4FB5B8" w14:textId="77777777" w:rsidR="003845C1" w:rsidRPr="003A014B" w:rsidRDefault="001060FF" w:rsidP="005961EE">
      <w:pPr>
        <w:pStyle w:val="Title"/>
        <w:rPr>
          <w:lang w:val="fr-FR"/>
        </w:rPr>
      </w:pPr>
      <w:r w:rsidRPr="003A014B">
        <w:rPr>
          <w:lang w:val="fr-FR"/>
        </w:rPr>
        <w:t>Comité d</w:t>
      </w:r>
      <w:r w:rsidR="00897816" w:rsidRPr="003A014B">
        <w:rPr>
          <w:lang w:val="fr-FR"/>
        </w:rPr>
        <w:t>u développement et de la propriété intellectuelle</w:t>
      </w:r>
      <w:r w:rsidR="003637BB" w:rsidRPr="003A014B">
        <w:rPr>
          <w:lang w:val="fr-FR"/>
        </w:rPr>
        <w:t> </w:t>
      </w:r>
      <w:r w:rsidR="00897816" w:rsidRPr="003A014B">
        <w:rPr>
          <w:lang w:val="fr-FR"/>
        </w:rPr>
        <w:t>(CDIP)</w:t>
      </w:r>
    </w:p>
    <w:p w14:paraId="18FB588B" w14:textId="4D2124B1" w:rsidR="00FE19E9" w:rsidRPr="003A014B" w:rsidRDefault="000760CD" w:rsidP="00FE19E9">
      <w:pPr>
        <w:outlineLvl w:val="1"/>
        <w:rPr>
          <w:b/>
          <w:sz w:val="24"/>
          <w:szCs w:val="24"/>
          <w:lang w:val="fr-FR"/>
        </w:rPr>
      </w:pPr>
      <w:r w:rsidRPr="003A014B">
        <w:rPr>
          <w:b/>
          <w:sz w:val="24"/>
          <w:szCs w:val="24"/>
          <w:lang w:val="fr-FR"/>
        </w:rPr>
        <w:t>Trente</w:t>
      </w:r>
      <w:r w:rsidR="000626B1" w:rsidRPr="003A014B">
        <w:rPr>
          <w:b/>
          <w:sz w:val="24"/>
          <w:szCs w:val="24"/>
          <w:lang w:val="fr-FR"/>
        </w:rPr>
        <w:t> et unième session</w:t>
      </w:r>
    </w:p>
    <w:p w14:paraId="7D809A58" w14:textId="7313B9E8" w:rsidR="008B2CC1" w:rsidRPr="003A014B" w:rsidRDefault="000760CD" w:rsidP="001060FF">
      <w:pPr>
        <w:spacing w:after="720"/>
        <w:outlineLvl w:val="1"/>
        <w:rPr>
          <w:b/>
          <w:sz w:val="24"/>
          <w:szCs w:val="24"/>
          <w:lang w:val="fr-FR"/>
        </w:rPr>
      </w:pPr>
      <w:r w:rsidRPr="003A014B">
        <w:rPr>
          <w:b/>
          <w:sz w:val="24"/>
          <w:szCs w:val="24"/>
          <w:lang w:val="fr-FR"/>
        </w:rPr>
        <w:t>Genève, 27</w:t>
      </w:r>
      <w:r w:rsidR="003637BB" w:rsidRPr="003A014B">
        <w:rPr>
          <w:b/>
          <w:sz w:val="24"/>
          <w:szCs w:val="24"/>
          <w:lang w:val="fr-FR"/>
        </w:rPr>
        <w:t> </w:t>
      </w:r>
      <w:r w:rsidRPr="003A014B">
        <w:rPr>
          <w:b/>
          <w:sz w:val="24"/>
          <w:szCs w:val="24"/>
          <w:lang w:val="fr-FR"/>
        </w:rPr>
        <w:t>novembre –</w:t>
      </w:r>
      <w:r w:rsidR="000626B1" w:rsidRPr="003A014B">
        <w:rPr>
          <w:b/>
          <w:sz w:val="24"/>
          <w:szCs w:val="24"/>
          <w:lang w:val="fr-FR"/>
        </w:rPr>
        <w:t xml:space="preserve"> 1</w:t>
      </w:r>
      <w:r w:rsidR="000626B1" w:rsidRPr="003A014B">
        <w:rPr>
          <w:b/>
          <w:sz w:val="24"/>
          <w:szCs w:val="24"/>
          <w:vertAlign w:val="superscript"/>
          <w:lang w:val="fr-FR"/>
        </w:rPr>
        <w:t>er</w:t>
      </w:r>
      <w:r w:rsidR="000626B1" w:rsidRPr="003A014B">
        <w:rPr>
          <w:b/>
          <w:sz w:val="24"/>
          <w:szCs w:val="24"/>
          <w:lang w:val="fr-FR"/>
        </w:rPr>
        <w:t> </w:t>
      </w:r>
      <w:r w:rsidRPr="003A014B">
        <w:rPr>
          <w:b/>
          <w:sz w:val="24"/>
          <w:szCs w:val="24"/>
          <w:lang w:val="fr-FR"/>
        </w:rPr>
        <w:t>décembre</w:t>
      </w:r>
      <w:r w:rsidR="003637BB" w:rsidRPr="003A014B">
        <w:rPr>
          <w:b/>
          <w:sz w:val="24"/>
          <w:szCs w:val="24"/>
          <w:lang w:val="fr-FR"/>
        </w:rPr>
        <w:t> </w:t>
      </w:r>
      <w:r w:rsidR="00897816" w:rsidRPr="003A014B">
        <w:rPr>
          <w:b/>
          <w:sz w:val="24"/>
          <w:szCs w:val="24"/>
          <w:lang w:val="fr-FR"/>
        </w:rPr>
        <w:t>2023</w:t>
      </w:r>
    </w:p>
    <w:p w14:paraId="49AE179B" w14:textId="34283475" w:rsidR="008B2CC1" w:rsidRPr="003A014B" w:rsidRDefault="005961EE" w:rsidP="005961EE">
      <w:pPr>
        <w:spacing w:after="360"/>
        <w:rPr>
          <w:caps/>
          <w:sz w:val="24"/>
          <w:lang w:val="fr-FR"/>
        </w:rPr>
      </w:pPr>
      <w:bookmarkStart w:id="3" w:name="TitleOfDoc"/>
      <w:r w:rsidRPr="003A014B">
        <w:rPr>
          <w:caps/>
          <w:sz w:val="24"/>
          <w:lang w:val="fr-FR"/>
        </w:rPr>
        <w:t>Résumé relatif à l</w:t>
      </w:r>
      <w:r w:rsidR="000626B1" w:rsidRPr="003A014B">
        <w:rPr>
          <w:caps/>
          <w:sz w:val="24"/>
          <w:lang w:val="fr-FR"/>
        </w:rPr>
        <w:t>’</w:t>
      </w:r>
      <w:r w:rsidRPr="003A014B">
        <w:rPr>
          <w:caps/>
          <w:sz w:val="24"/>
          <w:lang w:val="fr-FR"/>
        </w:rPr>
        <w:t>outil de l</w:t>
      </w:r>
      <w:r w:rsidR="000626B1" w:rsidRPr="003A014B">
        <w:rPr>
          <w:caps/>
          <w:sz w:val="24"/>
          <w:lang w:val="fr-FR"/>
        </w:rPr>
        <w:t>’</w:t>
      </w:r>
      <w:r w:rsidRPr="003A014B">
        <w:rPr>
          <w:caps/>
          <w:sz w:val="24"/>
          <w:lang w:val="fr-FR"/>
        </w:rPr>
        <w:t xml:space="preserve">OMPI intitulé </w:t>
      </w:r>
      <w:r w:rsidR="000626B1" w:rsidRPr="003A014B">
        <w:rPr>
          <w:caps/>
          <w:sz w:val="24"/>
          <w:lang w:val="fr-FR"/>
        </w:rPr>
        <w:t>“</w:t>
      </w:r>
      <w:r w:rsidRPr="003A014B">
        <w:rPr>
          <w:caps/>
          <w:sz w:val="24"/>
          <w:lang w:val="fr-FR"/>
        </w:rPr>
        <w:t>bâtir une économie de l</w:t>
      </w:r>
      <w:r w:rsidR="000626B1" w:rsidRPr="003A014B">
        <w:rPr>
          <w:caps/>
          <w:sz w:val="24"/>
          <w:lang w:val="fr-FR"/>
        </w:rPr>
        <w:t>’</w:t>
      </w:r>
      <w:r w:rsidRPr="003A014B">
        <w:rPr>
          <w:caps/>
          <w:sz w:val="24"/>
          <w:lang w:val="fr-FR"/>
        </w:rPr>
        <w:t>édition numérique</w:t>
      </w:r>
      <w:r w:rsidR="000626B1" w:rsidRPr="003A014B">
        <w:rPr>
          <w:caps/>
          <w:sz w:val="24"/>
          <w:lang w:val="fr-FR"/>
        </w:rPr>
        <w:t> :</w:t>
      </w:r>
      <w:r w:rsidRPr="003A014B">
        <w:rPr>
          <w:caps/>
          <w:sz w:val="24"/>
          <w:lang w:val="fr-FR"/>
        </w:rPr>
        <w:t xml:space="preserve"> perspectives et cadre pour son développement</w:t>
      </w:r>
      <w:r w:rsidR="000626B1" w:rsidRPr="003A014B">
        <w:rPr>
          <w:caps/>
          <w:sz w:val="24"/>
          <w:lang w:val="fr-FR"/>
        </w:rPr>
        <w:t>”</w:t>
      </w:r>
    </w:p>
    <w:p w14:paraId="36CC760B" w14:textId="4FEDEFE0" w:rsidR="008B2CC1" w:rsidRPr="003A014B" w:rsidRDefault="005961EE" w:rsidP="00020C7E">
      <w:pPr>
        <w:spacing w:after="960"/>
        <w:rPr>
          <w:i/>
          <w:lang w:val="fr-FR"/>
        </w:rPr>
      </w:pPr>
      <w:bookmarkStart w:id="4" w:name="Prepared"/>
      <w:bookmarkEnd w:id="3"/>
      <w:bookmarkEnd w:id="4"/>
      <w:proofErr w:type="gramStart"/>
      <w:r w:rsidRPr="003A014B">
        <w:rPr>
          <w:i/>
          <w:lang w:val="fr-FR"/>
        </w:rPr>
        <w:t>établi</w:t>
      </w:r>
      <w:proofErr w:type="gramEnd"/>
      <w:r w:rsidRPr="003A014B">
        <w:rPr>
          <w:i/>
          <w:lang w:val="fr-FR"/>
        </w:rPr>
        <w:t xml:space="preserve"> par Richard</w:t>
      </w:r>
      <w:r w:rsidR="00EC41E3">
        <w:rPr>
          <w:i/>
          <w:lang w:val="fr-FR"/>
        </w:rPr>
        <w:t> </w:t>
      </w:r>
      <w:proofErr w:type="spellStart"/>
      <w:r w:rsidRPr="003A014B">
        <w:rPr>
          <w:i/>
          <w:lang w:val="fr-FR"/>
        </w:rPr>
        <w:t>Charkin</w:t>
      </w:r>
      <w:proofErr w:type="spellEnd"/>
      <w:r w:rsidRPr="003A014B">
        <w:rPr>
          <w:i/>
          <w:lang w:val="fr-FR"/>
        </w:rPr>
        <w:t xml:space="preserve"> et Emma</w:t>
      </w:r>
      <w:r w:rsidR="00EC41E3">
        <w:rPr>
          <w:i/>
          <w:lang w:val="fr-FR"/>
        </w:rPr>
        <w:t> </w:t>
      </w:r>
      <w:r w:rsidRPr="003A014B">
        <w:rPr>
          <w:i/>
          <w:lang w:val="fr-FR"/>
        </w:rPr>
        <w:t>House</w:t>
      </w:r>
    </w:p>
    <w:p w14:paraId="71C0F521" w14:textId="283976EB" w:rsidR="005961EE" w:rsidRPr="003A014B" w:rsidRDefault="005961EE" w:rsidP="00EC41E3">
      <w:pPr>
        <w:pStyle w:val="ONUMFS"/>
        <w:rPr>
          <w:rFonts w:eastAsia="MS Mincho"/>
          <w:bCs/>
          <w:iCs/>
          <w:szCs w:val="22"/>
          <w:lang w:val="fr-FR"/>
        </w:rPr>
      </w:pPr>
      <w:r w:rsidRPr="003A014B">
        <w:rPr>
          <w:lang w:val="fr-FR"/>
        </w:rPr>
        <w:t>L</w:t>
      </w:r>
      <w:r w:rsidR="000626B1" w:rsidRPr="003A014B">
        <w:rPr>
          <w:lang w:val="fr-FR"/>
        </w:rPr>
        <w:t>’</w:t>
      </w:r>
      <w:r w:rsidRPr="003A014B">
        <w:rPr>
          <w:lang w:val="fr-FR"/>
        </w:rPr>
        <w:t>annexe du présent document contient le résumé relatif à l</w:t>
      </w:r>
      <w:r w:rsidR="000626B1" w:rsidRPr="003A014B">
        <w:rPr>
          <w:lang w:val="fr-FR"/>
        </w:rPr>
        <w:t>’</w:t>
      </w:r>
      <w:r w:rsidRPr="003A014B">
        <w:rPr>
          <w:lang w:val="fr-FR"/>
        </w:rPr>
        <w:t>outil de l</w:t>
      </w:r>
      <w:r w:rsidR="000626B1" w:rsidRPr="003A014B">
        <w:rPr>
          <w:lang w:val="fr-FR"/>
        </w:rPr>
        <w:t>’</w:t>
      </w:r>
      <w:r w:rsidRPr="003A014B">
        <w:rPr>
          <w:lang w:val="fr-FR"/>
        </w:rPr>
        <w:t xml:space="preserve">OMPI intitulé </w:t>
      </w:r>
      <w:r w:rsidR="000626B1" w:rsidRPr="003A014B">
        <w:rPr>
          <w:lang w:val="fr-FR"/>
        </w:rPr>
        <w:t>“B</w:t>
      </w:r>
      <w:r w:rsidRPr="003A014B">
        <w:rPr>
          <w:lang w:val="fr-FR"/>
        </w:rPr>
        <w:t>âtir une économie de l</w:t>
      </w:r>
      <w:r w:rsidR="000626B1" w:rsidRPr="003A014B">
        <w:rPr>
          <w:lang w:val="fr-FR"/>
        </w:rPr>
        <w:t>’</w:t>
      </w:r>
      <w:r w:rsidRPr="003A014B">
        <w:rPr>
          <w:lang w:val="fr-FR"/>
        </w:rPr>
        <w:t>édition numérique</w:t>
      </w:r>
      <w:r w:rsidR="000626B1" w:rsidRPr="003A014B">
        <w:rPr>
          <w:lang w:val="fr-FR"/>
        </w:rPr>
        <w:t> :</w:t>
      </w:r>
      <w:r w:rsidRPr="003A014B">
        <w:rPr>
          <w:lang w:val="fr-FR"/>
        </w:rPr>
        <w:t xml:space="preserve"> perspectives et cadre pour son développemen</w:t>
      </w:r>
      <w:r w:rsidR="000626B1" w:rsidRPr="003A014B">
        <w:rPr>
          <w:lang w:val="fr-FR"/>
        </w:rPr>
        <w:t>t”</w:t>
      </w:r>
      <w:r w:rsidRPr="003A014B">
        <w:rPr>
          <w:lang w:val="fr-FR"/>
        </w:rPr>
        <w:t>.</w:t>
      </w:r>
    </w:p>
    <w:p w14:paraId="2A0BFA61" w14:textId="277296FC" w:rsidR="005961EE" w:rsidRPr="003A014B" w:rsidRDefault="005961EE" w:rsidP="00EC41E3">
      <w:pPr>
        <w:pStyle w:val="ONUMFS"/>
        <w:rPr>
          <w:rFonts w:eastAsia="MS Mincho"/>
          <w:bCs/>
          <w:iCs/>
          <w:szCs w:val="22"/>
          <w:lang w:val="fr-FR"/>
        </w:rPr>
      </w:pPr>
      <w:r w:rsidRPr="003A014B">
        <w:rPr>
          <w:lang w:val="fr-FR"/>
        </w:rPr>
        <w:t>Cet outil a été mis au point dans le cadre du projet du Plan d</w:t>
      </w:r>
      <w:r w:rsidR="000626B1" w:rsidRPr="003A014B">
        <w:rPr>
          <w:lang w:val="fr-FR"/>
        </w:rPr>
        <w:t>’</w:t>
      </w:r>
      <w:r w:rsidRPr="003A014B">
        <w:rPr>
          <w:lang w:val="fr-FR"/>
        </w:rPr>
        <w:t>action pour le développement sur la promotion de l</w:t>
      </w:r>
      <w:r w:rsidR="000626B1" w:rsidRPr="003A014B">
        <w:rPr>
          <w:lang w:val="fr-FR"/>
        </w:rPr>
        <w:t>’</w:t>
      </w:r>
      <w:r w:rsidRPr="003A014B">
        <w:rPr>
          <w:lang w:val="fr-FR"/>
        </w:rPr>
        <w:t>utilisation de la propriété intellectuelle en faveur des industries de la création à l</w:t>
      </w:r>
      <w:r w:rsidR="000626B1" w:rsidRPr="003A014B">
        <w:rPr>
          <w:lang w:val="fr-FR"/>
        </w:rPr>
        <w:t>’</w:t>
      </w:r>
      <w:r w:rsidRPr="003A014B">
        <w:rPr>
          <w:lang w:val="fr-FR"/>
        </w:rPr>
        <w:t xml:space="preserve">ère numérique au Chili, en Indonésie, aux Émirats arabes unis et en Uruguay (document CDIP/26/5). </w:t>
      </w:r>
      <w:r w:rsidR="000505B2" w:rsidRPr="003A014B">
        <w:rPr>
          <w:lang w:val="fr-FR"/>
        </w:rPr>
        <w:t xml:space="preserve"> </w:t>
      </w:r>
      <w:r w:rsidRPr="003A014B">
        <w:rPr>
          <w:lang w:val="fr-FR"/>
        </w:rPr>
        <w:t>Il a été établi par M.</w:t>
      </w:r>
      <w:r w:rsidR="000505B2" w:rsidRPr="003A014B">
        <w:rPr>
          <w:lang w:val="fr-FR"/>
        </w:rPr>
        <w:t> </w:t>
      </w:r>
      <w:r w:rsidRPr="003A014B">
        <w:rPr>
          <w:lang w:val="fr-FR"/>
        </w:rPr>
        <w:t>Richard</w:t>
      </w:r>
      <w:r w:rsidR="00EC41E3">
        <w:rPr>
          <w:lang w:val="fr-FR"/>
        </w:rPr>
        <w:t> </w:t>
      </w:r>
      <w:proofErr w:type="spellStart"/>
      <w:r w:rsidRPr="003A014B">
        <w:rPr>
          <w:lang w:val="fr-FR"/>
        </w:rPr>
        <w:t>Charkin</w:t>
      </w:r>
      <w:proofErr w:type="spellEnd"/>
      <w:r w:rsidRPr="003A014B">
        <w:rPr>
          <w:lang w:val="fr-FR"/>
        </w:rPr>
        <w:t>, membre du conseil d</w:t>
      </w:r>
      <w:r w:rsidR="000626B1" w:rsidRPr="003A014B">
        <w:rPr>
          <w:lang w:val="fr-FR"/>
        </w:rPr>
        <w:t>’</w:t>
      </w:r>
      <w:r w:rsidRPr="003A014B">
        <w:rPr>
          <w:lang w:val="fr-FR"/>
        </w:rPr>
        <w:t xml:space="preserve">administration de la coentreprise formée par Bloomsbury et China </w:t>
      </w:r>
      <w:proofErr w:type="spellStart"/>
      <w:r w:rsidRPr="003A014B">
        <w:rPr>
          <w:lang w:val="fr-FR"/>
        </w:rPr>
        <w:t>Youth</w:t>
      </w:r>
      <w:proofErr w:type="spellEnd"/>
      <w:r w:rsidRPr="003A014B">
        <w:rPr>
          <w:lang w:val="fr-FR"/>
        </w:rPr>
        <w:t xml:space="preserve"> </w:t>
      </w:r>
      <w:proofErr w:type="spellStart"/>
      <w:r w:rsidRPr="003A014B">
        <w:rPr>
          <w:lang w:val="fr-FR"/>
        </w:rPr>
        <w:t>Press</w:t>
      </w:r>
      <w:proofErr w:type="spellEnd"/>
      <w:r w:rsidRPr="003A014B">
        <w:rPr>
          <w:lang w:val="fr-FR"/>
        </w:rPr>
        <w:t xml:space="preserve"> et située à Beijing (Chine), et par Mme</w:t>
      </w:r>
      <w:r w:rsidR="000505B2" w:rsidRPr="003A014B">
        <w:rPr>
          <w:lang w:val="fr-FR"/>
        </w:rPr>
        <w:t> </w:t>
      </w:r>
      <w:r w:rsidRPr="003A014B">
        <w:rPr>
          <w:lang w:val="fr-FR"/>
        </w:rPr>
        <w:t>Emma</w:t>
      </w:r>
      <w:r w:rsidR="00EC41E3">
        <w:rPr>
          <w:lang w:val="fr-FR"/>
        </w:rPr>
        <w:t> </w:t>
      </w:r>
      <w:r w:rsidRPr="003A014B">
        <w:rPr>
          <w:lang w:val="fr-FR"/>
        </w:rPr>
        <w:t>House, membre du conseil consultatif de l</w:t>
      </w:r>
      <w:r w:rsidR="000626B1" w:rsidRPr="003A014B">
        <w:rPr>
          <w:lang w:val="fr-FR"/>
        </w:rPr>
        <w:t>’</w:t>
      </w:r>
      <w:r w:rsidRPr="003A014B">
        <w:rPr>
          <w:lang w:val="fr-FR"/>
        </w:rPr>
        <w:t xml:space="preserve">Oxford International Centre for </w:t>
      </w:r>
      <w:proofErr w:type="spellStart"/>
      <w:r w:rsidRPr="003A014B">
        <w:rPr>
          <w:lang w:val="fr-FR"/>
        </w:rPr>
        <w:t>Publishing</w:t>
      </w:r>
      <w:proofErr w:type="spellEnd"/>
      <w:r w:rsidRPr="003A014B">
        <w:rPr>
          <w:lang w:val="fr-FR"/>
        </w:rPr>
        <w:t xml:space="preserve"> et conseillère auprès du programme de formation LDN </w:t>
      </w:r>
      <w:proofErr w:type="spellStart"/>
      <w:r w:rsidRPr="003A014B">
        <w:rPr>
          <w:lang w:val="fr-FR"/>
        </w:rPr>
        <w:t>Apprenticeships</w:t>
      </w:r>
      <w:proofErr w:type="spellEnd"/>
      <w:r w:rsidRPr="003A014B">
        <w:rPr>
          <w:lang w:val="fr-FR"/>
        </w:rPr>
        <w:t xml:space="preserve"> </w:t>
      </w:r>
      <w:proofErr w:type="spellStart"/>
      <w:r w:rsidRPr="003A014B">
        <w:rPr>
          <w:lang w:val="fr-FR"/>
        </w:rPr>
        <w:t>Publishing</w:t>
      </w:r>
      <w:proofErr w:type="spellEnd"/>
      <w:r w:rsidRPr="003A014B">
        <w:rPr>
          <w:lang w:val="fr-FR"/>
        </w:rPr>
        <w:t xml:space="preserve"> Assistant standard.</w:t>
      </w:r>
    </w:p>
    <w:p w14:paraId="28911B87" w14:textId="338D89A4" w:rsidR="005961EE" w:rsidRPr="00EC41E3" w:rsidRDefault="005961EE" w:rsidP="00EC41E3">
      <w:pPr>
        <w:pStyle w:val="ONUMFS"/>
        <w:ind w:left="5533"/>
        <w:rPr>
          <w:i/>
        </w:rPr>
      </w:pPr>
      <w:r w:rsidRPr="00EC41E3">
        <w:rPr>
          <w:i/>
        </w:rPr>
        <w:t xml:space="preserve">Le </w:t>
      </w:r>
      <w:r w:rsidR="000505B2" w:rsidRPr="00EC41E3">
        <w:rPr>
          <w:i/>
        </w:rPr>
        <w:t>comité</w:t>
      </w:r>
      <w:r w:rsidRPr="00EC41E3">
        <w:rPr>
          <w:i/>
        </w:rPr>
        <w:t xml:space="preserve"> est invité à prendre note des informations qui figurent dans l</w:t>
      </w:r>
      <w:r w:rsidR="000626B1" w:rsidRPr="00EC41E3">
        <w:rPr>
          <w:i/>
        </w:rPr>
        <w:t>’</w:t>
      </w:r>
      <w:r w:rsidRPr="00EC41E3">
        <w:rPr>
          <w:i/>
        </w:rPr>
        <w:t>annexe du présent document.</w:t>
      </w:r>
    </w:p>
    <w:p w14:paraId="61D9DE09" w14:textId="1BE604E1" w:rsidR="005961EE" w:rsidRPr="00EC41E3" w:rsidRDefault="005961EE" w:rsidP="00EC41E3">
      <w:pPr>
        <w:pStyle w:val="Endofdocument-Annex"/>
      </w:pPr>
      <w:r w:rsidRPr="00EC41E3">
        <w:t>[L</w:t>
      </w:r>
      <w:r w:rsidR="000626B1" w:rsidRPr="00EC41E3">
        <w:t>’</w:t>
      </w:r>
      <w:r w:rsidRPr="00EC41E3">
        <w:t>annexe suit]</w:t>
      </w:r>
    </w:p>
    <w:p w14:paraId="7E27F0DB" w14:textId="77777777" w:rsidR="005961EE" w:rsidRPr="003A014B" w:rsidRDefault="005961EE" w:rsidP="005961EE">
      <w:pPr>
        <w:widowControl w:val="0"/>
        <w:pBdr>
          <w:top w:val="nil"/>
          <w:left w:val="nil"/>
          <w:bottom w:val="nil"/>
          <w:right w:val="nil"/>
          <w:between w:val="nil"/>
        </w:pBdr>
        <w:ind w:left="5533"/>
        <w:rPr>
          <w:rFonts w:eastAsia="Arial"/>
          <w:color w:val="000000"/>
          <w:szCs w:val="22"/>
          <w:lang w:val="fr-FR"/>
        </w:rPr>
        <w:sectPr w:rsidR="005961EE" w:rsidRPr="003A014B" w:rsidSect="006C16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326"/>
        </w:sectPr>
      </w:pPr>
    </w:p>
    <w:p w14:paraId="5D500FD9" w14:textId="6606C8DF" w:rsidR="005961EE" w:rsidRPr="003A014B" w:rsidRDefault="005961EE" w:rsidP="005961EE">
      <w:pPr>
        <w:pStyle w:val="NoSpacing"/>
        <w:jc w:val="center"/>
        <w:rPr>
          <w:rFonts w:ascii="Arial" w:hAnsi="Arial" w:cs="Arial"/>
          <w:b/>
          <w:bCs/>
        </w:rPr>
      </w:pPr>
      <w:r w:rsidRPr="003A014B">
        <w:rPr>
          <w:rFonts w:ascii="Arial" w:hAnsi="Arial"/>
          <w:b/>
        </w:rPr>
        <w:lastRenderedPageBreak/>
        <w:t>Bâtir une économie de l</w:t>
      </w:r>
      <w:r w:rsidR="000626B1" w:rsidRPr="003A014B">
        <w:rPr>
          <w:rFonts w:ascii="Arial" w:hAnsi="Arial"/>
          <w:b/>
        </w:rPr>
        <w:t>’</w:t>
      </w:r>
      <w:r w:rsidRPr="003A014B">
        <w:rPr>
          <w:rFonts w:ascii="Arial" w:hAnsi="Arial"/>
          <w:b/>
        </w:rPr>
        <w:t>édition numérique</w:t>
      </w:r>
      <w:r w:rsidR="000626B1" w:rsidRPr="003A014B">
        <w:rPr>
          <w:rFonts w:ascii="Arial" w:hAnsi="Arial"/>
          <w:b/>
        </w:rPr>
        <w:t> :</w:t>
      </w:r>
    </w:p>
    <w:p w14:paraId="637CCF46" w14:textId="77777777" w:rsidR="005961EE" w:rsidRPr="003A014B" w:rsidRDefault="005961EE" w:rsidP="005961EE">
      <w:pPr>
        <w:pStyle w:val="NoSpacing"/>
        <w:spacing w:after="360"/>
        <w:jc w:val="center"/>
        <w:rPr>
          <w:rFonts w:ascii="Arial" w:hAnsi="Arial" w:cs="Arial"/>
          <w:b/>
          <w:bCs/>
        </w:rPr>
      </w:pPr>
      <w:proofErr w:type="gramStart"/>
      <w:r w:rsidRPr="003A014B">
        <w:rPr>
          <w:rFonts w:ascii="Arial" w:hAnsi="Arial"/>
          <w:b/>
        </w:rPr>
        <w:t>perspectives</w:t>
      </w:r>
      <w:proofErr w:type="gramEnd"/>
      <w:r w:rsidRPr="003A014B">
        <w:rPr>
          <w:rFonts w:ascii="Arial" w:hAnsi="Arial"/>
          <w:b/>
        </w:rPr>
        <w:t xml:space="preserve"> et cadre pour son développement</w:t>
      </w:r>
    </w:p>
    <w:p w14:paraId="4628894B" w14:textId="77777777" w:rsidR="005961EE" w:rsidRPr="003A014B" w:rsidRDefault="005961EE" w:rsidP="005961EE">
      <w:pPr>
        <w:pStyle w:val="NoSpacing"/>
        <w:spacing w:after="360"/>
        <w:jc w:val="center"/>
        <w:rPr>
          <w:rFonts w:ascii="Arial" w:hAnsi="Arial" w:cs="Arial"/>
          <w:b/>
          <w:bCs/>
        </w:rPr>
      </w:pPr>
      <w:r w:rsidRPr="003A014B">
        <w:rPr>
          <w:rFonts w:ascii="Arial" w:hAnsi="Arial"/>
          <w:b/>
        </w:rPr>
        <w:t>Résumé</w:t>
      </w:r>
    </w:p>
    <w:p w14:paraId="1964DE0D" w14:textId="6264989E" w:rsidR="000626B1" w:rsidRPr="003A014B" w:rsidRDefault="005961EE" w:rsidP="005961EE">
      <w:pPr>
        <w:pStyle w:val="NoSpacing"/>
        <w:spacing w:after="240"/>
        <w:rPr>
          <w:rFonts w:ascii="Arial" w:hAnsi="Arial"/>
        </w:rPr>
      </w:pPr>
      <w:r w:rsidRPr="003A014B">
        <w:rPr>
          <w:rFonts w:ascii="Arial" w:hAnsi="Arial"/>
        </w:rPr>
        <w:t>Les avancées technologiques ont transformé le secteur de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édition</w:t>
      </w:r>
      <w:r w:rsidR="000626B1" w:rsidRPr="003A014B">
        <w:rPr>
          <w:rFonts w:ascii="Arial" w:hAnsi="Arial"/>
        </w:rPr>
        <w:t> :</w:t>
      </w:r>
      <w:r w:rsidRPr="003A014B">
        <w:rPr>
          <w:rFonts w:ascii="Arial" w:hAnsi="Arial"/>
        </w:rPr>
        <w:t xml:space="preserve"> avec le passage de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impression traditionnelle à la création, la production et la distribution numériques, la manière dont les lecteurs accèdent au contenu et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assimilent a chan</w:t>
      </w:r>
      <w:r w:rsidR="003A014B" w:rsidRPr="003A014B">
        <w:rPr>
          <w:rFonts w:ascii="Arial" w:hAnsi="Arial"/>
        </w:rPr>
        <w:t>gé.  Ce</w:t>
      </w:r>
      <w:r w:rsidRPr="003A014B">
        <w:rPr>
          <w:rFonts w:ascii="Arial" w:hAnsi="Arial"/>
        </w:rPr>
        <w:t>tte transition numérique a poussé les éditeurs à adapter leurs modèles commerciaux et à adopter des solutions numériques dans le cadre de leurs activités.</w:t>
      </w:r>
    </w:p>
    <w:p w14:paraId="257C59B4" w14:textId="36112291" w:rsidR="000626B1" w:rsidRPr="003A014B" w:rsidRDefault="005961EE" w:rsidP="005961EE">
      <w:pPr>
        <w:pStyle w:val="NoSpacing"/>
        <w:spacing w:after="240"/>
        <w:rPr>
          <w:rFonts w:ascii="Arial" w:hAnsi="Arial"/>
        </w:rPr>
      </w:pPr>
      <w:r w:rsidRPr="003A014B">
        <w:rPr>
          <w:rFonts w:ascii="Arial" w:hAnsi="Arial"/>
        </w:rPr>
        <w:t>Cet outil destiné à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édition numérique à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échelle mondiale vise à aider les petits éditeurs à comprendre les possibilités offertes par les technologies numériques ainsi que les difficultés qu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elles soulèvent sur les différents marchés de la consommation (grand public adulte, jeunesse, universités et écoles). 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outil fournit un aperçu de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évolution en cours ainsi que des études de cas et des conseils pratiques sur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adaptation des processus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édition.</w:t>
      </w:r>
    </w:p>
    <w:p w14:paraId="68FCC44F" w14:textId="129E35C9" w:rsidR="005961EE" w:rsidRPr="003A014B" w:rsidRDefault="005961EE" w:rsidP="005961EE">
      <w:pPr>
        <w:pStyle w:val="NoSpacing"/>
        <w:spacing w:after="240"/>
        <w:rPr>
          <w:rFonts w:ascii="Arial" w:hAnsi="Arial"/>
        </w:rPr>
      </w:pPr>
      <w:r w:rsidRPr="003A014B">
        <w:rPr>
          <w:rFonts w:ascii="Arial" w:hAnsi="Arial"/>
        </w:rPr>
        <w:t>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édition numérique présente un certain nombre de difficultés sur les plans financier, juridique et commercial, et soulève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importantes questions en matière de propriété intellectuel</w:t>
      </w:r>
      <w:r w:rsidR="003A014B" w:rsidRPr="003A014B">
        <w:rPr>
          <w:rFonts w:ascii="Arial" w:hAnsi="Arial"/>
        </w:rPr>
        <w:t>le.  Le</w:t>
      </w:r>
      <w:r w:rsidRPr="003A014B">
        <w:rPr>
          <w:rFonts w:ascii="Arial" w:hAnsi="Arial"/>
        </w:rPr>
        <w:t xml:space="preserve"> succès du secteur a longtemps reposé sur la concession de licences de droit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auteur, et avec les nouvelles formes de licences disponibles, les éditeurs peuvent tirer le meilleur parti des contenus, dans plusieurs langues, pour atteindre un public mondi</w:t>
      </w:r>
      <w:r w:rsidR="003A014B" w:rsidRPr="003A014B">
        <w:rPr>
          <w:rFonts w:ascii="Arial" w:hAnsi="Arial"/>
        </w:rPr>
        <w:t>al.  Po</w:t>
      </w:r>
      <w:r w:rsidRPr="003A014B">
        <w:rPr>
          <w:rFonts w:ascii="Arial" w:hAnsi="Arial"/>
        </w:rPr>
        <w:t>ur ce faire, les éditeurs doivent toutefois investir dans la mise en place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une infrastructure numérique, établir des relations avec les nouveaux acteurs de la chaîne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approvisionnement et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autres acteurs du marché, et travailler de concert avec les décideurs politiques et les législateurs pour veiller à ce que les lois sur la propriété intellectuelle restent adaptées.</w:t>
      </w:r>
    </w:p>
    <w:p w14:paraId="4404043C" w14:textId="3A04137E" w:rsidR="005961EE" w:rsidRPr="003A014B" w:rsidRDefault="005961EE" w:rsidP="005961EE">
      <w:pPr>
        <w:pStyle w:val="NoSpacing"/>
        <w:spacing w:after="240"/>
        <w:rPr>
          <w:rFonts w:ascii="Arial" w:hAnsi="Arial"/>
        </w:rPr>
      </w:pPr>
      <w:r w:rsidRPr="003A014B">
        <w:rPr>
          <w:rFonts w:ascii="Arial" w:hAnsi="Arial"/>
        </w:rPr>
        <w:t>Les éditeurs présents sur le marché de la consommation acquièrent généralement les contenus directement auprès de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auteur,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un autre éditeur ou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un agent littérai</w:t>
      </w:r>
      <w:r w:rsidR="003A014B" w:rsidRPr="003A014B">
        <w:rPr>
          <w:rFonts w:ascii="Arial" w:hAnsi="Arial"/>
        </w:rPr>
        <w:t>re.  Il</w:t>
      </w:r>
      <w:r w:rsidRPr="003A014B">
        <w:rPr>
          <w:rFonts w:ascii="Arial" w:hAnsi="Arial"/>
        </w:rPr>
        <w:t xml:space="preserve"> est donc essentiel de prévoir des accords appropriés en matière de droits pour les auteurs et des dispositions contractuelles pour les donneurs de licence et, si possible,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acquérir des droits numériqu</w:t>
      </w:r>
      <w:r w:rsidR="003A014B" w:rsidRPr="003A014B">
        <w:rPr>
          <w:rFonts w:ascii="Arial" w:hAnsi="Arial"/>
        </w:rPr>
        <w:t>es.  La</w:t>
      </w:r>
      <w:r w:rsidRPr="003A014B">
        <w:rPr>
          <w:rFonts w:ascii="Arial" w:hAnsi="Arial"/>
        </w:rPr>
        <w:t xml:space="preserve"> gestion de ces droits numériques peut toutefois s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avérer comple</w:t>
      </w:r>
      <w:r w:rsidR="003A014B" w:rsidRPr="003A014B">
        <w:rPr>
          <w:rFonts w:ascii="Arial" w:hAnsi="Arial"/>
        </w:rPr>
        <w:t>xe.  Le</w:t>
      </w:r>
      <w:r w:rsidRPr="003A014B">
        <w:rPr>
          <w:rFonts w:ascii="Arial" w:hAnsi="Arial"/>
        </w:rPr>
        <w:t>s éditeurs régissent la distribution numérique des livres en fonction des droits concédés (format et territoi</w:t>
      </w:r>
      <w:r w:rsidR="003A014B" w:rsidRPr="003A014B">
        <w:rPr>
          <w:rFonts w:ascii="Arial" w:hAnsi="Arial"/>
        </w:rPr>
        <w:t>re).  La</w:t>
      </w:r>
      <w:r w:rsidRPr="003A014B">
        <w:rPr>
          <w:rFonts w:ascii="Arial" w:hAnsi="Arial"/>
        </w:rPr>
        <w:t xml:space="preserve"> fixation des prix et le piratage font également partie des difficultés rencontrées.</w:t>
      </w:r>
    </w:p>
    <w:p w14:paraId="00B864D7" w14:textId="65496F1D" w:rsidR="000626B1" w:rsidRPr="003A014B" w:rsidRDefault="005961EE" w:rsidP="005961EE">
      <w:pPr>
        <w:pStyle w:val="NoSpacing"/>
        <w:spacing w:after="240"/>
        <w:rPr>
          <w:rFonts w:ascii="Arial" w:hAnsi="Arial"/>
        </w:rPr>
      </w:pPr>
      <w:r w:rsidRPr="003A014B">
        <w:rPr>
          <w:rFonts w:ascii="Arial" w:hAnsi="Arial"/>
        </w:rPr>
        <w:t>Les livres électroniques et les livres audio faisant désormais partie de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écosystème de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édition, les éditeurs publient désormais des livres dans les trois</w:t>
      </w:r>
      <w:r w:rsidR="000505B2" w:rsidRPr="003A014B">
        <w:rPr>
          <w:rFonts w:ascii="Arial" w:hAnsi="Arial"/>
        </w:rPr>
        <w:t> </w:t>
      </w:r>
      <w:r w:rsidRPr="003A014B">
        <w:rPr>
          <w:rFonts w:ascii="Arial" w:hAnsi="Arial"/>
        </w:rPr>
        <w:t>formats simultanément afin de proposer aux lecteurs le support de leur cho</w:t>
      </w:r>
      <w:r w:rsidR="003A014B" w:rsidRPr="003A014B">
        <w:rPr>
          <w:rFonts w:ascii="Arial" w:hAnsi="Arial"/>
        </w:rPr>
        <w:t>ix.  Le</w:t>
      </w:r>
      <w:r w:rsidRPr="003A014B">
        <w:rPr>
          <w:rFonts w:ascii="Arial" w:hAnsi="Arial"/>
        </w:rPr>
        <w:t xml:space="preserve"> modèle commercial des ventes numériques par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intermédiaire des plateformes transactionnelles est couramment utilisé pour la vente de livres électroniques et de livres audio aux consommateu</w:t>
      </w:r>
      <w:r w:rsidR="003A014B" w:rsidRPr="003A014B">
        <w:rPr>
          <w:rFonts w:ascii="Arial" w:hAnsi="Arial"/>
        </w:rPr>
        <w:t>rs.  Le</w:t>
      </w:r>
      <w:r w:rsidRPr="003A014B">
        <w:rPr>
          <w:rFonts w:ascii="Arial" w:hAnsi="Arial"/>
        </w:rPr>
        <w:t xml:space="preserve">s éditeurs utilisent également des modèles commerciaux comme </w:t>
      </w:r>
      <w:r w:rsidR="000626B1" w:rsidRPr="003A014B">
        <w:rPr>
          <w:rFonts w:ascii="Arial" w:hAnsi="Arial"/>
        </w:rPr>
        <w:t>“u</w:t>
      </w:r>
      <w:r w:rsidRPr="003A014B">
        <w:rPr>
          <w:rFonts w:ascii="Arial" w:hAnsi="Arial"/>
        </w:rPr>
        <w:t>n exemplaire/un utilisateu</w:t>
      </w:r>
      <w:r w:rsidR="000626B1" w:rsidRPr="003A014B">
        <w:rPr>
          <w:rFonts w:ascii="Arial" w:hAnsi="Arial"/>
        </w:rPr>
        <w:t>r”</w:t>
      </w:r>
      <w:r w:rsidRPr="003A014B">
        <w:rPr>
          <w:rFonts w:ascii="Arial" w:hAnsi="Arial"/>
        </w:rPr>
        <w:t xml:space="preserve"> (</w:t>
      </w:r>
      <w:r w:rsidRPr="003A014B">
        <w:rPr>
          <w:rFonts w:ascii="Arial" w:hAnsi="Arial"/>
          <w:i/>
          <w:iCs/>
        </w:rPr>
        <w:t>one copy/one user</w:t>
      </w:r>
      <w:r w:rsidRPr="003A014B">
        <w:rPr>
          <w:rFonts w:ascii="Arial" w:hAnsi="Arial"/>
        </w:rPr>
        <w:t>) et le paiement à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utilisation (</w:t>
      </w:r>
      <w:proofErr w:type="spellStart"/>
      <w:r w:rsidRPr="003A014B">
        <w:rPr>
          <w:rFonts w:ascii="Arial" w:hAnsi="Arial"/>
          <w:i/>
          <w:iCs/>
        </w:rPr>
        <w:t>pay</w:t>
      </w:r>
      <w:proofErr w:type="spellEnd"/>
      <w:r w:rsidR="00DE7B0F">
        <w:rPr>
          <w:rFonts w:ascii="Arial" w:hAnsi="Arial"/>
          <w:i/>
          <w:iCs/>
        </w:rPr>
        <w:noBreakHyphen/>
      </w:r>
      <w:r w:rsidRPr="003A014B">
        <w:rPr>
          <w:rFonts w:ascii="Arial" w:hAnsi="Arial"/>
          <w:i/>
          <w:iCs/>
        </w:rPr>
        <w:t>per</w:t>
      </w:r>
      <w:r w:rsidR="00DE7B0F">
        <w:rPr>
          <w:rFonts w:ascii="Arial" w:hAnsi="Arial"/>
          <w:i/>
          <w:iCs/>
        </w:rPr>
        <w:noBreakHyphen/>
      </w:r>
      <w:r w:rsidRPr="003A014B">
        <w:rPr>
          <w:rFonts w:ascii="Arial" w:hAnsi="Arial"/>
          <w:i/>
          <w:iCs/>
        </w:rPr>
        <w:t>use</w:t>
      </w:r>
      <w:r w:rsidRPr="003A014B">
        <w:rPr>
          <w:rFonts w:ascii="Arial" w:hAnsi="Arial"/>
        </w:rPr>
        <w:t>) pour les prêts dans des bibliothèques publiqu</w:t>
      </w:r>
      <w:r w:rsidR="003A014B" w:rsidRPr="003A014B">
        <w:rPr>
          <w:rFonts w:ascii="Arial" w:hAnsi="Arial"/>
        </w:rPr>
        <w:t>es.  Po</w:t>
      </w:r>
      <w:r w:rsidRPr="003A014B">
        <w:rPr>
          <w:rFonts w:ascii="Arial" w:hAnsi="Arial"/>
        </w:rPr>
        <w:t>ur les lecteurs handicapés,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 xml:space="preserve">accès aux livres électroniques et </w:t>
      </w:r>
      <w:proofErr w:type="gramStart"/>
      <w:r w:rsidRPr="003A014B">
        <w:rPr>
          <w:rFonts w:ascii="Arial" w:hAnsi="Arial"/>
        </w:rPr>
        <w:t>aux livres audio</w:t>
      </w:r>
      <w:proofErr w:type="gramEnd"/>
      <w:r w:rsidRPr="003A014B">
        <w:rPr>
          <w:rFonts w:ascii="Arial" w:hAnsi="Arial"/>
        </w:rPr>
        <w:t xml:space="preserve"> a radicalement changé la don</w:t>
      </w:r>
      <w:r w:rsidR="003A014B" w:rsidRPr="003A014B">
        <w:rPr>
          <w:rFonts w:ascii="Arial" w:hAnsi="Arial"/>
        </w:rPr>
        <w:t>ne.  Pa</w:t>
      </w:r>
      <w:r w:rsidRPr="003A014B">
        <w:rPr>
          <w:rFonts w:ascii="Arial" w:hAnsi="Arial"/>
        </w:rPr>
        <w:t>rmi les autres tendances numériques de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édition grand public, on peut notamment citer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impression à la demande, les podcasts et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autoédition.</w:t>
      </w:r>
    </w:p>
    <w:p w14:paraId="07EBD6FB" w14:textId="7C14D6F4" w:rsidR="005961EE" w:rsidRPr="003A014B" w:rsidRDefault="005961EE" w:rsidP="005961EE">
      <w:pPr>
        <w:pStyle w:val="NoSpacing"/>
        <w:spacing w:after="240"/>
        <w:rPr>
          <w:rFonts w:ascii="Arial" w:hAnsi="Arial"/>
        </w:rPr>
      </w:pPr>
      <w:r w:rsidRPr="003A014B">
        <w:rPr>
          <w:rFonts w:ascii="Arial" w:hAnsi="Arial"/>
        </w:rPr>
        <w:t>Contrairement à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édition grand public adulte,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édition jeunesse a mis du temps à s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adapter aux avancées numériques, malgré les avantages manifestes que présente la lecture numérique pour les enfants, comme une meilleure accessibilité au contenu et une meilleure mémorisation des histoires avec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intégration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animations, de sons, de quiz et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autres activit</w:t>
      </w:r>
      <w:r w:rsidR="003A014B" w:rsidRPr="003A014B">
        <w:rPr>
          <w:rFonts w:ascii="Arial" w:hAnsi="Arial"/>
        </w:rPr>
        <w:t>és.  Il</w:t>
      </w:r>
      <w:r w:rsidRPr="003A014B">
        <w:rPr>
          <w:rFonts w:ascii="Arial" w:hAnsi="Arial"/>
        </w:rPr>
        <w:t xml:space="preserve"> faut également souligner la réapparition de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audio physique pour enfan</w:t>
      </w:r>
      <w:r w:rsidR="003A014B" w:rsidRPr="003A014B">
        <w:rPr>
          <w:rFonts w:ascii="Arial" w:hAnsi="Arial"/>
        </w:rPr>
        <w:t>ts.  Le</w:t>
      </w:r>
      <w:r w:rsidRPr="003A014B">
        <w:rPr>
          <w:rFonts w:ascii="Arial" w:hAnsi="Arial"/>
        </w:rPr>
        <w:t>s contrats de licence pour les livres jeunesse peuvent porter sur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ensemble du livre, sur des fragments ou sur des extraits, en fonction de leur utilisation finale et des besoins du donneur de licence.</w:t>
      </w:r>
    </w:p>
    <w:p w14:paraId="7DA30810" w14:textId="5D442665" w:rsidR="005961EE" w:rsidRPr="003A014B" w:rsidRDefault="005961EE" w:rsidP="005961EE">
      <w:pPr>
        <w:pStyle w:val="NoSpacing"/>
        <w:spacing w:after="240"/>
        <w:rPr>
          <w:rFonts w:ascii="Arial" w:hAnsi="Arial"/>
        </w:rPr>
      </w:pPr>
      <w:r w:rsidRPr="003A014B">
        <w:rPr>
          <w:rFonts w:ascii="Arial" w:hAnsi="Arial"/>
        </w:rPr>
        <w:lastRenderedPageBreak/>
        <w:t>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édition universitaire couvre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édition destinée à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enseignement supérieur, à la recherche et aux monographi</w:t>
      </w:r>
      <w:r w:rsidR="003A014B" w:rsidRPr="003A014B">
        <w:rPr>
          <w:rFonts w:ascii="Arial" w:hAnsi="Arial"/>
        </w:rPr>
        <w:t>es.  Le</w:t>
      </w:r>
      <w:r w:rsidRPr="003A014B">
        <w:rPr>
          <w:rFonts w:ascii="Arial" w:hAnsi="Arial"/>
        </w:rPr>
        <w:t>s technologies numériques ont modifié le panorama de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enseignement et de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apprentissa</w:t>
      </w:r>
      <w:r w:rsidR="003A014B" w:rsidRPr="003A014B">
        <w:rPr>
          <w:rFonts w:ascii="Arial" w:hAnsi="Arial"/>
        </w:rPr>
        <w:t>ge.  Le</w:t>
      </w:r>
      <w:r w:rsidRPr="003A014B">
        <w:rPr>
          <w:rFonts w:ascii="Arial" w:hAnsi="Arial"/>
        </w:rPr>
        <w:t>s outils fondés sur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intelligence artificielle et la réalité augmentée permettent un apprentissage et une évaluation personnalisés, et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édition numérique peut contribuer à réduire les coûts des manuels et des supports pédagogiques, à promouvoir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alphabétisation et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éducation, et à faciliter la préservation des traditions et des cultures locales dans les pays en développeme</w:t>
      </w:r>
      <w:r w:rsidR="003A014B" w:rsidRPr="003A014B">
        <w:rPr>
          <w:rFonts w:ascii="Arial" w:hAnsi="Arial"/>
        </w:rPr>
        <w:t>nt.  Po</w:t>
      </w:r>
      <w:r w:rsidRPr="003A014B">
        <w:rPr>
          <w:rFonts w:ascii="Arial" w:hAnsi="Arial"/>
        </w:rPr>
        <w:t>ur ces derniers, le manque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infrastructures reste toutefois un problème de taille.</w:t>
      </w:r>
    </w:p>
    <w:p w14:paraId="73B1CBA5" w14:textId="3DE671D6" w:rsidR="000626B1" w:rsidRPr="003A014B" w:rsidRDefault="005961EE" w:rsidP="005961EE">
      <w:pPr>
        <w:pStyle w:val="NoSpacing"/>
        <w:spacing w:after="240"/>
        <w:rPr>
          <w:rFonts w:ascii="Arial" w:hAnsi="Arial"/>
        </w:rPr>
      </w:pPr>
      <w:r w:rsidRPr="003A014B">
        <w:rPr>
          <w:rFonts w:ascii="Arial" w:hAnsi="Arial"/>
        </w:rPr>
        <w:t>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édition spécialisée dans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enseignement supérieur a connu une transformation majeure sous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impulsion des agrégateurs de manuels,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un marché du livre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occasion très efficace et de la mise à disposition de matériel gratuit sur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Intern</w:t>
      </w:r>
      <w:r w:rsidR="003A014B" w:rsidRPr="003A014B">
        <w:rPr>
          <w:rFonts w:ascii="Arial" w:hAnsi="Arial"/>
        </w:rPr>
        <w:t>et.  Le</w:t>
      </w:r>
      <w:r w:rsidRPr="003A014B">
        <w:rPr>
          <w:rFonts w:ascii="Arial" w:hAnsi="Arial"/>
        </w:rPr>
        <w:t>s éditeurs traditionnels de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enseignement supérieur qui ont survécu à ces bouleversements sont aujourd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hui principalement des fournisseurs de manuels numériques, et ils subissent une pression constante en vue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élargir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accès au contenu numérique et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en réduire le co</w:t>
      </w:r>
      <w:r w:rsidR="003A014B" w:rsidRPr="003A014B">
        <w:rPr>
          <w:rFonts w:ascii="Arial" w:hAnsi="Arial"/>
        </w:rPr>
        <w:t>ût.  Le</w:t>
      </w:r>
      <w:r w:rsidRPr="003A014B">
        <w:rPr>
          <w:rFonts w:ascii="Arial" w:hAnsi="Arial"/>
        </w:rPr>
        <w:t>s modèles commerciaux proposés aux étudiants par les agrégateurs de manuels comprennent des abonnements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achat et de prêt de manuels entiers ou de certains chapitres.</w:t>
      </w:r>
    </w:p>
    <w:p w14:paraId="31906E57" w14:textId="14D8C851" w:rsidR="005961EE" w:rsidRPr="003A014B" w:rsidRDefault="005961EE" w:rsidP="005961EE">
      <w:pPr>
        <w:pStyle w:val="NoSpacing"/>
        <w:spacing w:after="240"/>
        <w:rPr>
          <w:rFonts w:ascii="Arial" w:hAnsi="Arial"/>
        </w:rPr>
      </w:pPr>
      <w:r w:rsidRPr="003A014B">
        <w:rPr>
          <w:rFonts w:ascii="Arial" w:hAnsi="Arial"/>
        </w:rPr>
        <w:t>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édition de travaux scientifiques et de recherche est de plus en plus marquée par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utilisation du libre accès, ce qui soulève de nombreuses questions en matière de droit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aute</w:t>
      </w:r>
      <w:r w:rsidR="003A014B" w:rsidRPr="003A014B">
        <w:rPr>
          <w:rFonts w:ascii="Arial" w:hAnsi="Arial"/>
        </w:rPr>
        <w:t>ur.  Ma</w:t>
      </w:r>
      <w:r w:rsidRPr="003A014B">
        <w:rPr>
          <w:rFonts w:ascii="Arial" w:hAnsi="Arial"/>
        </w:rPr>
        <w:t>lgré les possibilités offertes par le secteur de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édition, les auteurs semblent préférer atteindre un public plus large plutôt que de protéger leur droit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aute</w:t>
      </w:r>
      <w:r w:rsidR="003A014B" w:rsidRPr="003A014B">
        <w:rPr>
          <w:rFonts w:ascii="Arial" w:hAnsi="Arial"/>
        </w:rPr>
        <w:t>ur.  La</w:t>
      </w:r>
      <w:r w:rsidRPr="003A014B">
        <w:rPr>
          <w:rFonts w:ascii="Arial" w:hAnsi="Arial"/>
        </w:rPr>
        <w:t xml:space="preserve"> publication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articles dans des revues universitaires utilisant un modèle commercial basé sur le libre accès suppose que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auteur s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acquitte de frais de traitement des articles, et la licence liée à cet article publié détermine la manière dont il peut être utilisé ou copié, à des fins commerciales ou non.</w:t>
      </w:r>
    </w:p>
    <w:p w14:paraId="0CE5BAE1" w14:textId="4BF20855" w:rsidR="005961EE" w:rsidRPr="003A014B" w:rsidRDefault="005961EE" w:rsidP="005961EE">
      <w:pPr>
        <w:pStyle w:val="NoSpacing"/>
        <w:spacing w:after="240"/>
        <w:rPr>
          <w:rFonts w:ascii="Arial" w:hAnsi="Arial"/>
        </w:rPr>
      </w:pPr>
      <w:r w:rsidRPr="003A014B">
        <w:rPr>
          <w:rFonts w:ascii="Arial" w:hAnsi="Arial"/>
        </w:rPr>
        <w:t>Le recul de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impression traditionnelle et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essor de la diffusion numérique des monographies ont conduit à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adoption généralisée de la technologie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impression à la demande (</w:t>
      </w:r>
      <w:proofErr w:type="spellStart"/>
      <w:r w:rsidRPr="003A014B">
        <w:rPr>
          <w:rFonts w:ascii="Arial" w:hAnsi="Arial"/>
        </w:rPr>
        <w:t>PoD</w:t>
      </w:r>
      <w:proofErr w:type="spellEnd"/>
      <w:r w:rsidRPr="003A014B">
        <w:rPr>
          <w:rFonts w:ascii="Arial" w:hAnsi="Arial"/>
        </w:rPr>
        <w:t>) dans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édition dédiée aux monographi</w:t>
      </w:r>
      <w:r w:rsidR="003A014B" w:rsidRPr="003A014B">
        <w:rPr>
          <w:rFonts w:ascii="Arial" w:hAnsi="Arial"/>
        </w:rPr>
        <w:t>es.  Ce</w:t>
      </w:r>
      <w:r w:rsidRPr="003A014B">
        <w:rPr>
          <w:rFonts w:ascii="Arial" w:hAnsi="Arial"/>
        </w:rPr>
        <w:t>tte évolution a été particulièrement bénéfique pour les universitaires et les universités nationales.</w:t>
      </w:r>
    </w:p>
    <w:p w14:paraId="643EF0D9" w14:textId="1097750E" w:rsidR="005961EE" w:rsidRPr="003A014B" w:rsidRDefault="005961EE" w:rsidP="005961EE">
      <w:pPr>
        <w:pStyle w:val="NoSpacing"/>
        <w:spacing w:after="240"/>
        <w:rPr>
          <w:rFonts w:ascii="Arial" w:hAnsi="Arial"/>
        </w:rPr>
      </w:pPr>
      <w:r w:rsidRPr="003A014B">
        <w:rPr>
          <w:rFonts w:ascii="Arial" w:hAnsi="Arial"/>
        </w:rPr>
        <w:t>Les éditeurs sont des acteurs clés de la mise en œuvre du numérique dans le domaine de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édition scolai</w:t>
      </w:r>
      <w:r w:rsidR="003A014B" w:rsidRPr="003A014B">
        <w:rPr>
          <w:rFonts w:ascii="Arial" w:hAnsi="Arial"/>
        </w:rPr>
        <w:t>re.  Un</w:t>
      </w:r>
      <w:r w:rsidRPr="003A014B">
        <w:rPr>
          <w:rFonts w:ascii="Arial" w:hAnsi="Arial"/>
        </w:rPr>
        <w:t xml:space="preserve"> enseignement numérique réussi passe par un environnement propice, propre à garantir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accès aux technologies ainsi qu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à des contenus et des ressources de haute qualité, et qui tienne également compte des besoins des apprenants, des enseignants et de la communauté scolai</w:t>
      </w:r>
      <w:r w:rsidR="003A014B" w:rsidRPr="003A014B">
        <w:rPr>
          <w:rFonts w:ascii="Arial" w:hAnsi="Arial"/>
        </w:rPr>
        <w:t>re.  La</w:t>
      </w:r>
      <w:r w:rsidRPr="003A014B">
        <w:rPr>
          <w:rFonts w:ascii="Arial" w:hAnsi="Arial"/>
        </w:rPr>
        <w:t xml:space="preserve"> technologie numérique peut améliorer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enseignement et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apprentissage en offrant de nouvelles possibilités en matière de participation, de collaboration, de personnalisation et de créati</w:t>
      </w:r>
      <w:r w:rsidR="003A014B" w:rsidRPr="003A014B">
        <w:rPr>
          <w:rFonts w:ascii="Arial" w:hAnsi="Arial"/>
        </w:rPr>
        <w:t>on.  Le</w:t>
      </w:r>
      <w:r w:rsidRPr="003A014B">
        <w:rPr>
          <w:rFonts w:ascii="Arial" w:hAnsi="Arial"/>
        </w:rPr>
        <w:t>s éditeurs utilisent également la technologie numérique pour proposer des contenus éducatifs accessibles, interactifs et personnalis</w:t>
      </w:r>
      <w:r w:rsidR="003A014B" w:rsidRPr="003A014B">
        <w:rPr>
          <w:rFonts w:ascii="Arial" w:hAnsi="Arial"/>
        </w:rPr>
        <w:t>és.  Au</w:t>
      </w:r>
      <w:r w:rsidRPr="003A014B">
        <w:rPr>
          <w:rFonts w:ascii="Arial" w:hAnsi="Arial"/>
        </w:rPr>
        <w:t>ssi est</w:t>
      </w:r>
      <w:r w:rsidR="00DE7B0F">
        <w:rPr>
          <w:rFonts w:ascii="Arial" w:hAnsi="Arial"/>
        </w:rPr>
        <w:noBreakHyphen/>
      </w:r>
      <w:r w:rsidRPr="003A014B">
        <w:rPr>
          <w:rFonts w:ascii="Arial" w:hAnsi="Arial"/>
        </w:rPr>
        <w:t>il important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apporter des réponses concrètes aux questions qui se posent en matière de propriété intellectuel</w:t>
      </w:r>
      <w:r w:rsidR="003A014B" w:rsidRPr="003A014B">
        <w:rPr>
          <w:rFonts w:ascii="Arial" w:hAnsi="Arial"/>
        </w:rPr>
        <w:t>le.  Il</w:t>
      </w:r>
      <w:r w:rsidRPr="003A014B">
        <w:rPr>
          <w:rFonts w:ascii="Arial" w:hAnsi="Arial"/>
        </w:rPr>
        <w:t xml:space="preserve"> s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agit notamment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empêcher les atteintes portées au droit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auteur, de respecter les principes de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usage loyal, de déterminer la propriété, d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attribuer correctement les sources, de concéder des licences pour les technologies protégées par des brevets et de définir des conditions de licence transparentes et équitables pour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utilisation des contenus numériques.</w:t>
      </w:r>
    </w:p>
    <w:p w14:paraId="5DAAADFD" w14:textId="53B4CA63" w:rsidR="005961EE" w:rsidRPr="003A014B" w:rsidRDefault="005961EE" w:rsidP="005961EE">
      <w:pPr>
        <w:pStyle w:val="NoSpacing"/>
        <w:rPr>
          <w:rFonts w:ascii="Arial" w:hAnsi="Arial" w:cs="Arial"/>
        </w:rPr>
      </w:pPr>
      <w:r w:rsidRPr="003A014B">
        <w:rPr>
          <w:rFonts w:ascii="Arial" w:hAnsi="Arial"/>
        </w:rPr>
        <w:t>La version complète de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outil est disponible à l</w:t>
      </w:r>
      <w:r w:rsidR="000626B1" w:rsidRPr="003A014B">
        <w:rPr>
          <w:rFonts w:ascii="Arial" w:hAnsi="Arial"/>
        </w:rPr>
        <w:t>’</w:t>
      </w:r>
      <w:r w:rsidRPr="003A014B">
        <w:rPr>
          <w:rFonts w:ascii="Arial" w:hAnsi="Arial"/>
        </w:rPr>
        <w:t>adresse suivante</w:t>
      </w:r>
      <w:r w:rsidR="000505B2" w:rsidRPr="003A014B">
        <w:rPr>
          <w:rFonts w:ascii="Arial" w:hAnsi="Arial"/>
        </w:rPr>
        <w:t> </w:t>
      </w:r>
      <w:r w:rsidRPr="003A014B">
        <w:rPr>
          <w:rFonts w:ascii="Arial" w:hAnsi="Arial"/>
        </w:rPr>
        <w:t>:</w:t>
      </w:r>
    </w:p>
    <w:p w14:paraId="1DD7C944" w14:textId="7B9B1571" w:rsidR="000626B1" w:rsidRPr="00EC41E3" w:rsidRDefault="000E5AFE" w:rsidP="005961EE">
      <w:pPr>
        <w:pStyle w:val="NoSpacing"/>
        <w:spacing w:after="720"/>
        <w:rPr>
          <w:rFonts w:ascii="Arial" w:hAnsi="Arial"/>
          <w:spacing w:val="-4"/>
        </w:rPr>
      </w:pPr>
      <w:hyperlink r:id="rId15" w:history="1">
        <w:r w:rsidR="005961EE" w:rsidRPr="00EC41E3">
          <w:rPr>
            <w:rStyle w:val="Hyperlink"/>
            <w:rFonts w:ascii="Arial" w:hAnsi="Arial"/>
            <w:spacing w:val="-4"/>
          </w:rPr>
          <w:t>https://www.wipo.int/edocs/mdocs/mdocs/en/wipo_ipr_mvd_23/wipo_ipr_mvd_23_www_615979.pdf</w:t>
        </w:r>
      </w:hyperlink>
    </w:p>
    <w:p w14:paraId="5CD94A94" w14:textId="5BBE81D5" w:rsidR="000F5E56" w:rsidRPr="003A014B" w:rsidRDefault="005961EE" w:rsidP="005961EE">
      <w:pPr>
        <w:spacing w:before="720"/>
        <w:ind w:left="5533"/>
        <w:rPr>
          <w:szCs w:val="22"/>
          <w:lang w:val="fr-FR"/>
        </w:rPr>
      </w:pPr>
      <w:r w:rsidRPr="003A014B">
        <w:rPr>
          <w:lang w:val="fr-FR"/>
        </w:rPr>
        <w:t>[Fin de l</w:t>
      </w:r>
      <w:r w:rsidR="000626B1" w:rsidRPr="003A014B">
        <w:rPr>
          <w:lang w:val="fr-FR"/>
        </w:rPr>
        <w:t>’</w:t>
      </w:r>
      <w:r w:rsidRPr="003A014B">
        <w:rPr>
          <w:lang w:val="fr-FR"/>
        </w:rPr>
        <w:t>annexe et du document]</w:t>
      </w:r>
    </w:p>
    <w:sectPr w:rsidR="000F5E56" w:rsidRPr="003A014B" w:rsidSect="00EC41E3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6C2E" w14:textId="77777777" w:rsidR="005961EE" w:rsidRDefault="005961EE">
      <w:r>
        <w:separator/>
      </w:r>
    </w:p>
  </w:endnote>
  <w:endnote w:type="continuationSeparator" w:id="0">
    <w:p w14:paraId="1E16D056" w14:textId="77777777" w:rsidR="005961EE" w:rsidRPr="009D30E6" w:rsidRDefault="005961E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C432332" w14:textId="77777777" w:rsidR="005961EE" w:rsidRPr="009D30E6" w:rsidRDefault="005961E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67E5A8F" w14:textId="77777777" w:rsidR="005961EE" w:rsidRPr="009D30E6" w:rsidRDefault="005961E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9AB0" w14:textId="77777777" w:rsidR="005961EE" w:rsidRDefault="005961EE" w:rsidP="006C16BD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23A" w14:textId="77777777" w:rsidR="005961EE" w:rsidRDefault="005961EE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8917" w14:textId="77777777" w:rsidR="005961EE" w:rsidRDefault="005961E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5ED7" w14:textId="30821D6E" w:rsidR="001060FF" w:rsidRDefault="001060F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12A8" w14:textId="147390AE" w:rsidR="001060FF" w:rsidRDefault="00106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19564" w14:textId="77777777" w:rsidR="005961EE" w:rsidRDefault="005961EE">
      <w:r>
        <w:separator/>
      </w:r>
    </w:p>
  </w:footnote>
  <w:footnote w:type="continuationSeparator" w:id="0">
    <w:p w14:paraId="4AB365DE" w14:textId="77777777" w:rsidR="005961EE" w:rsidRDefault="005961EE" w:rsidP="007461F1">
      <w:r>
        <w:separator/>
      </w:r>
    </w:p>
    <w:p w14:paraId="5F57CA17" w14:textId="77777777" w:rsidR="005961EE" w:rsidRPr="009D30E6" w:rsidRDefault="005961E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16AF6E4" w14:textId="77777777" w:rsidR="005961EE" w:rsidRPr="009D30E6" w:rsidRDefault="005961E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853B" w14:textId="77777777" w:rsidR="005961EE" w:rsidRPr="00262966" w:rsidRDefault="005961EE" w:rsidP="006C16BD">
    <w:pPr>
      <w:tabs>
        <w:tab w:val="center" w:pos="4536"/>
        <w:tab w:val="right" w:pos="9072"/>
      </w:tabs>
      <w:jc w:val="right"/>
    </w:pPr>
    <w:r>
      <w:t>CDIP/20/</w:t>
    </w:r>
    <w:r>
      <w:rPr>
        <w:highlight w:val="yellow"/>
      </w:rPr>
      <w:t>X</w:t>
    </w:r>
  </w:p>
  <w:p w14:paraId="1F30032D" w14:textId="77777777" w:rsidR="005961EE" w:rsidRDefault="005961EE" w:rsidP="006C16BD">
    <w:pPr>
      <w:tabs>
        <w:tab w:val="center" w:pos="4536"/>
        <w:tab w:val="right" w:pos="9072"/>
      </w:tabs>
      <w:jc w:val="right"/>
    </w:pPr>
    <w:r>
      <w:t xml:space="preserve">Annexe, page 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>
      <w:t>4</w:t>
    </w:r>
    <w:r w:rsidRPr="00262966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FA85" w14:textId="77777777" w:rsidR="005961EE" w:rsidRPr="00262966" w:rsidRDefault="005961EE" w:rsidP="006C16BD">
    <w:pPr>
      <w:tabs>
        <w:tab w:val="center" w:pos="4536"/>
        <w:tab w:val="right" w:pos="9072"/>
      </w:tabs>
      <w:jc w:val="right"/>
    </w:pPr>
    <w:r>
      <w:t>CDIP/31/INF/3</w:t>
    </w:r>
  </w:p>
  <w:p w14:paraId="4329B967" w14:textId="491418B1" w:rsidR="005961EE" w:rsidRDefault="005961EE" w:rsidP="006C16BD">
    <w:pPr>
      <w:tabs>
        <w:tab w:val="center" w:pos="4536"/>
        <w:tab w:val="right" w:pos="9072"/>
      </w:tabs>
      <w:jc w:val="right"/>
    </w:pPr>
    <w:r>
      <w:t>Annexe, page</w:t>
    </w:r>
    <w:r w:rsidR="00EC41E3">
      <w:t> 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>
      <w:t>2</w:t>
    </w:r>
    <w:r w:rsidRPr="00262966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968F" w14:textId="77777777" w:rsidR="005961EE" w:rsidRDefault="005961E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D277" w14:textId="77777777" w:rsidR="00F16975" w:rsidRPr="00B45C15" w:rsidRDefault="005961EE" w:rsidP="00477D6B">
    <w:pPr>
      <w:jc w:val="right"/>
      <w:rPr>
        <w:caps/>
      </w:rPr>
    </w:pPr>
    <w:bookmarkStart w:id="5" w:name="Code2"/>
    <w:bookmarkEnd w:id="5"/>
    <w:r>
      <w:rPr>
        <w:caps/>
      </w:rPr>
      <w:t>CDIP/31/INF/4</w:t>
    </w:r>
  </w:p>
  <w:p w14:paraId="48EAA605" w14:textId="546080B2" w:rsidR="00574036" w:rsidRDefault="00EC41E3" w:rsidP="00EC41E3">
    <w:pPr>
      <w:spacing w:after="480"/>
      <w:jc w:val="right"/>
    </w:pPr>
    <w:r>
      <w:t xml:space="preserve">Annexe, </w:t>
    </w:r>
    <w:r w:rsidR="00F16975">
      <w:t>page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B45C15">
      <w:rPr>
        <w:noProof/>
      </w:rPr>
      <w:t>2</w:t>
    </w:r>
    <w:r w:rsidR="00F16975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DCF4" w14:textId="118BFD96" w:rsidR="00EC41E3" w:rsidRDefault="00EC41E3" w:rsidP="00EC41E3">
    <w:pPr>
      <w:pStyle w:val="Header"/>
      <w:jc w:val="right"/>
    </w:pPr>
    <w:r>
      <w:t>CDIP/31/INF/4</w:t>
    </w:r>
  </w:p>
  <w:p w14:paraId="428C0F1A" w14:textId="117FF640" w:rsidR="00EC41E3" w:rsidRDefault="00EC41E3" w:rsidP="00EC41E3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1869CF"/>
    <w:multiLevelType w:val="hybridMultilevel"/>
    <w:tmpl w:val="1F0EBD76"/>
    <w:lvl w:ilvl="0" w:tplc="14C061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647199">
    <w:abstractNumId w:val="2"/>
  </w:num>
  <w:num w:numId="2" w16cid:durableId="1514341178">
    <w:abstractNumId w:val="4"/>
  </w:num>
  <w:num w:numId="3" w16cid:durableId="1600137799">
    <w:abstractNumId w:val="0"/>
  </w:num>
  <w:num w:numId="4" w16cid:durableId="2007901379">
    <w:abstractNumId w:val="6"/>
  </w:num>
  <w:num w:numId="5" w16cid:durableId="1962764970">
    <w:abstractNumId w:val="1"/>
  </w:num>
  <w:num w:numId="6" w16cid:durableId="1856072525">
    <w:abstractNumId w:val="3"/>
  </w:num>
  <w:num w:numId="7" w16cid:durableId="1967153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EE"/>
    <w:rsid w:val="00011B7D"/>
    <w:rsid w:val="00020C7E"/>
    <w:rsid w:val="000505B2"/>
    <w:rsid w:val="000626B1"/>
    <w:rsid w:val="00075432"/>
    <w:rsid w:val="000760CD"/>
    <w:rsid w:val="0009458A"/>
    <w:rsid w:val="000E5AFE"/>
    <w:rsid w:val="000F5E56"/>
    <w:rsid w:val="001060FF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E4D1A"/>
    <w:rsid w:val="002E72B7"/>
    <w:rsid w:val="002F16BC"/>
    <w:rsid w:val="002F4E68"/>
    <w:rsid w:val="00322C0B"/>
    <w:rsid w:val="003637BB"/>
    <w:rsid w:val="00381798"/>
    <w:rsid w:val="003845C1"/>
    <w:rsid w:val="003A014B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961EE"/>
    <w:rsid w:val="005E6516"/>
    <w:rsid w:val="00605827"/>
    <w:rsid w:val="00616671"/>
    <w:rsid w:val="006B0DB5"/>
    <w:rsid w:val="007461F1"/>
    <w:rsid w:val="007D6961"/>
    <w:rsid w:val="007F07CB"/>
    <w:rsid w:val="00807C77"/>
    <w:rsid w:val="00810CEF"/>
    <w:rsid w:val="0081208D"/>
    <w:rsid w:val="00897816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C0AE4"/>
    <w:rsid w:val="00AD61DB"/>
    <w:rsid w:val="00AE47C0"/>
    <w:rsid w:val="00B1090C"/>
    <w:rsid w:val="00B35AF5"/>
    <w:rsid w:val="00B45C15"/>
    <w:rsid w:val="00BE0BE0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DE7B0F"/>
    <w:rsid w:val="00E0091A"/>
    <w:rsid w:val="00E203AA"/>
    <w:rsid w:val="00E5217A"/>
    <w:rsid w:val="00E527A5"/>
    <w:rsid w:val="00E76456"/>
    <w:rsid w:val="00EC41E3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9C9DE2"/>
  <w15:docId w15:val="{2725FCA9-9894-46C0-87B6-EED5372C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EC41E3"/>
    <w:pPr>
      <w:spacing w:before="720"/>
      <w:ind w:left="5534"/>
    </w:pPr>
    <w:rPr>
      <w:lang w:val="fr-FR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5961EE"/>
    <w:pPr>
      <w:spacing w:before="0" w:after="60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5961EE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5961E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61EE"/>
    <w:rPr>
      <w:rFonts w:asciiTheme="minorHAnsi" w:eastAsiaTheme="minorHAnsi" w:hAnsiTheme="minorHAnsi" w:cstheme="minorBidi"/>
      <w:kern w:val="2"/>
      <w:sz w:val="22"/>
      <w:szCs w:val="22"/>
      <w:lang w:val="fr-FR"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5961EE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61E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edocs/mdocs/mdocs/en/wipo_ipr_mvd_23/wipo_ipr_mvd_23_www_615979.pdf" TargetMode="Externa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3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6C42-E024-4823-9EA0-29A2701A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CDIP_31 (F)</Template>
  <TotalTime>0</TotalTime>
  <Pages>3</Pages>
  <Words>1307</Words>
  <Characters>7886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CDIP/31/</vt:lpstr>
      <vt:lpstr>Comité du développement et de la propriété intellectuelle (CDIP)</vt:lpstr>
      <vt:lpstr>    Trente et unième session</vt:lpstr>
      <vt:lpstr>    Genève, 27 novembre – 1er décembre 2023</vt:lpstr>
    </vt:vector>
  </TitlesOfParts>
  <Company>WIPO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CDIP/31/INF/4</dc:title>
  <dc:creator>OLIVIÉ Karen</dc:creator>
  <cp:keywords>FOR OFFICIAL USE ONLY</cp:keywords>
  <cp:lastModifiedBy>PANAKAL Joseph Lazar</cp:lastModifiedBy>
  <cp:revision>2</cp:revision>
  <cp:lastPrinted>2011-05-19T12:37:00Z</cp:lastPrinted>
  <dcterms:created xsi:type="dcterms:W3CDTF">2023-09-08T14:27:00Z</dcterms:created>
  <dcterms:modified xsi:type="dcterms:W3CDTF">2023-09-08T14:27:00Z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2023-09-08T14:15:23Z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2c022bbe-3179-428a-b37e-56f2cd9d3ac2</vt:lpwstr>
  </property>
  <property fmtid="{D5CDD505-2E9C-101B-9397-08002B2CF9AE}" pid="14" name="MSIP_Label_20773ee6-353b-4fb9-a59d-0b94c8c67bea_ContentBits">
    <vt:lpwstr>0</vt:lpwstr>
  </property>
</Properties>
</file>