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29B1"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400E62A4" wp14:editId="02EB151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FB2685A" w14:textId="77777777" w:rsidR="00B1090C" w:rsidRDefault="00897816" w:rsidP="0040540C">
      <w:pPr>
        <w:jc w:val="right"/>
        <w:rPr>
          <w:rFonts w:ascii="Arial Black" w:hAnsi="Arial Black"/>
          <w:caps/>
          <w:sz w:val="15"/>
        </w:rPr>
      </w:pPr>
      <w:r>
        <w:rPr>
          <w:rFonts w:ascii="Arial Black" w:hAnsi="Arial Black"/>
          <w:caps/>
          <w:sz w:val="15"/>
        </w:rPr>
        <w:t>CDIP/3</w:t>
      </w:r>
      <w:r w:rsidR="006E1EC4">
        <w:rPr>
          <w:rFonts w:ascii="Arial Black" w:hAnsi="Arial Black"/>
          <w:caps/>
          <w:sz w:val="15"/>
        </w:rPr>
        <w:t>2</w:t>
      </w:r>
      <w:r>
        <w:rPr>
          <w:rFonts w:ascii="Arial Black" w:hAnsi="Arial Black"/>
          <w:caps/>
          <w:sz w:val="15"/>
        </w:rPr>
        <w:t>/</w:t>
      </w:r>
      <w:bookmarkStart w:id="0" w:name="Code"/>
      <w:bookmarkEnd w:id="0"/>
      <w:r w:rsidR="00550AC2">
        <w:rPr>
          <w:rFonts w:ascii="Arial Black" w:hAnsi="Arial Black"/>
          <w:caps/>
          <w:sz w:val="15"/>
        </w:rPr>
        <w:t>INF/2</w:t>
      </w:r>
    </w:p>
    <w:p w14:paraId="7A5A4AF7" w14:textId="73C1CE9F" w:rsidR="008B2CC1" w:rsidRPr="0040540C" w:rsidRDefault="00B1090C" w:rsidP="0040540C">
      <w:pPr>
        <w:jc w:val="right"/>
      </w:pPr>
      <w:r w:rsidRPr="0090731E">
        <w:rPr>
          <w:rFonts w:ascii="Arial Black" w:hAnsi="Arial Black"/>
          <w:caps/>
          <w:sz w:val="15"/>
        </w:rPr>
        <w:t>ORIGINAL</w:t>
      </w:r>
      <w:r w:rsidR="00287E57">
        <w:rPr>
          <w:rFonts w:ascii="Arial Black" w:hAnsi="Arial Black"/>
          <w:caps/>
          <w:sz w:val="15"/>
        </w:rPr>
        <w:t> :</w:t>
      </w:r>
      <w:r w:rsidR="002956DE">
        <w:rPr>
          <w:rFonts w:ascii="Arial Black" w:hAnsi="Arial Black"/>
          <w:caps/>
          <w:sz w:val="15"/>
        </w:rPr>
        <w:t xml:space="preserve"> </w:t>
      </w:r>
      <w:bookmarkStart w:id="1" w:name="Original"/>
      <w:r w:rsidR="00550AC2">
        <w:rPr>
          <w:rFonts w:ascii="Arial Black" w:hAnsi="Arial Black"/>
          <w:caps/>
          <w:sz w:val="15"/>
        </w:rPr>
        <w:t>anglais</w:t>
      </w:r>
    </w:p>
    <w:bookmarkEnd w:id="1"/>
    <w:p w14:paraId="74FAD2C0" w14:textId="15DDE03E" w:rsidR="008B2CC1" w:rsidRPr="0040540C" w:rsidRDefault="00B1090C" w:rsidP="00B1090C">
      <w:pPr>
        <w:spacing w:after="1200"/>
        <w:jc w:val="right"/>
      </w:pPr>
      <w:r w:rsidRPr="0090731E">
        <w:rPr>
          <w:rFonts w:ascii="Arial Black" w:hAnsi="Arial Black"/>
          <w:caps/>
          <w:sz w:val="15"/>
        </w:rPr>
        <w:t>DATE</w:t>
      </w:r>
      <w:r w:rsidR="00287E57">
        <w:rPr>
          <w:rFonts w:ascii="Arial Black" w:hAnsi="Arial Black"/>
          <w:caps/>
          <w:sz w:val="15"/>
        </w:rPr>
        <w:t> :</w:t>
      </w:r>
      <w:r w:rsidR="002956DE">
        <w:rPr>
          <w:rFonts w:ascii="Arial Black" w:hAnsi="Arial Black"/>
          <w:caps/>
          <w:sz w:val="15"/>
        </w:rPr>
        <w:t xml:space="preserve"> </w:t>
      </w:r>
      <w:bookmarkStart w:id="2" w:name="Date"/>
      <w:r w:rsidR="00550AC2">
        <w:rPr>
          <w:rFonts w:ascii="Arial Black" w:hAnsi="Arial Black"/>
          <w:caps/>
          <w:sz w:val="15"/>
        </w:rPr>
        <w:t>5 mars 2024</w:t>
      </w:r>
    </w:p>
    <w:bookmarkEnd w:id="2"/>
    <w:p w14:paraId="5573F4AD" w14:textId="77777777" w:rsidR="003845C1" w:rsidRPr="00550AC2" w:rsidRDefault="001060FF" w:rsidP="00550AC2">
      <w:pPr>
        <w:spacing w:after="600"/>
        <w:rPr>
          <w:b/>
          <w:bCs/>
          <w:sz w:val="28"/>
          <w:szCs w:val="28"/>
        </w:rPr>
      </w:pPr>
      <w:r w:rsidRPr="00550AC2">
        <w:rPr>
          <w:b/>
          <w:bCs/>
          <w:sz w:val="28"/>
          <w:szCs w:val="28"/>
        </w:rPr>
        <w:t>Comité d</w:t>
      </w:r>
      <w:r w:rsidR="00897816" w:rsidRPr="00550AC2">
        <w:rPr>
          <w:b/>
          <w:bCs/>
          <w:sz w:val="28"/>
          <w:szCs w:val="28"/>
        </w:rPr>
        <w:t>u développement et de la propriété intellectuelle</w:t>
      </w:r>
      <w:r w:rsidR="003637BB" w:rsidRPr="00550AC2">
        <w:rPr>
          <w:b/>
          <w:bCs/>
          <w:sz w:val="28"/>
          <w:szCs w:val="28"/>
        </w:rPr>
        <w:t> </w:t>
      </w:r>
      <w:r w:rsidR="00897816" w:rsidRPr="00550AC2">
        <w:rPr>
          <w:b/>
          <w:bCs/>
          <w:sz w:val="28"/>
          <w:szCs w:val="28"/>
        </w:rPr>
        <w:t>(CDIP)</w:t>
      </w:r>
    </w:p>
    <w:p w14:paraId="5C7E8476" w14:textId="21433D0F" w:rsidR="00FE19E9" w:rsidRDefault="000760CD" w:rsidP="00FE19E9">
      <w:pPr>
        <w:outlineLvl w:val="1"/>
        <w:rPr>
          <w:b/>
          <w:sz w:val="24"/>
          <w:szCs w:val="24"/>
        </w:rPr>
      </w:pPr>
      <w:r w:rsidRPr="000760CD">
        <w:rPr>
          <w:b/>
          <w:sz w:val="24"/>
          <w:szCs w:val="24"/>
        </w:rPr>
        <w:t>Trente</w:t>
      </w:r>
      <w:r w:rsidR="00667B95">
        <w:rPr>
          <w:b/>
          <w:sz w:val="24"/>
          <w:szCs w:val="24"/>
        </w:rPr>
        <w:noBreakHyphen/>
      </w:r>
      <w:r w:rsidR="006E1EC4">
        <w:rPr>
          <w:b/>
          <w:sz w:val="24"/>
          <w:szCs w:val="24"/>
        </w:rPr>
        <w:t>deux</w:t>
      </w:r>
      <w:r w:rsidR="00287E57">
        <w:rPr>
          <w:b/>
          <w:sz w:val="24"/>
          <w:szCs w:val="24"/>
        </w:rPr>
        <w:t>ième session</w:t>
      </w:r>
    </w:p>
    <w:p w14:paraId="7CAC871E" w14:textId="6C426B77" w:rsidR="008B2CC1" w:rsidRPr="003845C1" w:rsidRDefault="000760CD" w:rsidP="001060FF">
      <w:pPr>
        <w:spacing w:after="720"/>
        <w:outlineLvl w:val="1"/>
        <w:rPr>
          <w:b/>
          <w:sz w:val="24"/>
          <w:szCs w:val="24"/>
        </w:rPr>
      </w:pPr>
      <w:r w:rsidRPr="000760CD">
        <w:rPr>
          <w:b/>
          <w:sz w:val="24"/>
          <w:szCs w:val="24"/>
        </w:rPr>
        <w:t xml:space="preserve">Genève, </w:t>
      </w:r>
      <w:r w:rsidR="006E1EC4" w:rsidRPr="006E1EC4">
        <w:rPr>
          <w:b/>
          <w:sz w:val="24"/>
          <w:szCs w:val="24"/>
        </w:rPr>
        <w:t>2</w:t>
      </w:r>
      <w:r w:rsidR="00287E57" w:rsidRPr="006E1EC4">
        <w:rPr>
          <w:b/>
          <w:sz w:val="24"/>
          <w:szCs w:val="24"/>
        </w:rPr>
        <w:t>9</w:t>
      </w:r>
      <w:r w:rsidR="00287E57">
        <w:rPr>
          <w:b/>
          <w:sz w:val="24"/>
          <w:szCs w:val="24"/>
        </w:rPr>
        <w:t> </w:t>
      </w:r>
      <w:r w:rsidR="00287E57" w:rsidRPr="006E1EC4">
        <w:rPr>
          <w:b/>
          <w:sz w:val="24"/>
          <w:szCs w:val="24"/>
        </w:rPr>
        <w:t>avril</w:t>
      </w:r>
      <w:r w:rsidR="006E1EC4" w:rsidRPr="006E1EC4">
        <w:rPr>
          <w:b/>
          <w:sz w:val="24"/>
          <w:szCs w:val="24"/>
        </w:rPr>
        <w:t xml:space="preserve"> – </w:t>
      </w:r>
      <w:r w:rsidR="00287E57" w:rsidRPr="006E1EC4">
        <w:rPr>
          <w:b/>
          <w:sz w:val="24"/>
          <w:szCs w:val="24"/>
        </w:rPr>
        <w:t>3</w:t>
      </w:r>
      <w:r w:rsidR="00287E57">
        <w:rPr>
          <w:b/>
          <w:sz w:val="24"/>
          <w:szCs w:val="24"/>
        </w:rPr>
        <w:t> </w:t>
      </w:r>
      <w:r w:rsidR="00287E57" w:rsidRPr="006E1EC4">
        <w:rPr>
          <w:b/>
          <w:sz w:val="24"/>
          <w:szCs w:val="24"/>
        </w:rPr>
        <w:t>mai</w:t>
      </w:r>
      <w:r w:rsidR="00287E57">
        <w:rPr>
          <w:b/>
          <w:sz w:val="24"/>
          <w:szCs w:val="24"/>
        </w:rPr>
        <w:t> </w:t>
      </w:r>
      <w:r w:rsidR="00287E57" w:rsidRPr="006E1EC4">
        <w:rPr>
          <w:b/>
          <w:sz w:val="24"/>
          <w:szCs w:val="24"/>
        </w:rPr>
        <w:t>20</w:t>
      </w:r>
      <w:r w:rsidR="006E1EC4" w:rsidRPr="006E1EC4">
        <w:rPr>
          <w:b/>
          <w:sz w:val="24"/>
          <w:szCs w:val="24"/>
        </w:rPr>
        <w:t>24</w:t>
      </w:r>
    </w:p>
    <w:p w14:paraId="7DD71620" w14:textId="22B7FAE5" w:rsidR="00550AC2" w:rsidRPr="00287E57" w:rsidRDefault="00287E57" w:rsidP="00550AC2">
      <w:pPr>
        <w:spacing w:after="360"/>
        <w:outlineLvl w:val="1"/>
        <w:rPr>
          <w:b/>
          <w:caps/>
          <w:sz w:val="24"/>
          <w:szCs w:val="24"/>
        </w:rPr>
      </w:pPr>
      <w:bookmarkStart w:id="3" w:name="Prepared"/>
      <w:bookmarkEnd w:id="3"/>
      <w:r w:rsidRPr="00287E57">
        <w:rPr>
          <w:rFonts w:ascii="ArialMT" w:hAnsi="ArialMT"/>
          <w:caps/>
          <w:color w:val="000000"/>
          <w:sz w:val="24"/>
        </w:rPr>
        <w:t>Résumé du</w:t>
      </w:r>
      <w:r w:rsidRPr="00287E57">
        <w:rPr>
          <w:rFonts w:ascii="ArialMT" w:hAnsi="ArialMT" w:hint="eastAsia"/>
          <w:caps/>
          <w:color w:val="000000"/>
          <w:sz w:val="24"/>
        </w:rPr>
        <w:t xml:space="preserve"> </w:t>
      </w:r>
      <w:r>
        <w:rPr>
          <w:rFonts w:ascii="ArialMT" w:hAnsi="ArialMT"/>
          <w:caps/>
          <w:color w:val="000000"/>
          <w:sz w:val="24"/>
        </w:rPr>
        <w:t>“</w:t>
      </w:r>
      <w:r w:rsidRPr="00287E57">
        <w:rPr>
          <w:rFonts w:ascii="ArialMT" w:hAnsi="ArialMT" w:hint="eastAsia"/>
          <w:caps/>
          <w:color w:val="000000"/>
          <w:sz w:val="24"/>
        </w:rPr>
        <w:t>sys</w:t>
      </w:r>
      <w:r w:rsidRPr="00287E57">
        <w:rPr>
          <w:rFonts w:ascii="ArialMT" w:hAnsi="ArialMT"/>
          <w:caps/>
          <w:color w:val="000000"/>
          <w:sz w:val="24"/>
        </w:rPr>
        <w:t>tèm</w:t>
      </w:r>
      <w:r w:rsidRPr="00287E57">
        <w:rPr>
          <w:rFonts w:ascii="ArialMT" w:hAnsi="ArialMT" w:hint="eastAsia"/>
          <w:caps/>
          <w:color w:val="000000"/>
          <w:sz w:val="24"/>
        </w:rPr>
        <w:t>e de normalisation, d</w:t>
      </w:r>
      <w:r>
        <w:rPr>
          <w:rFonts w:ascii="ArialMT" w:hAnsi="ArialMT"/>
          <w:caps/>
          <w:color w:val="000000"/>
          <w:sz w:val="24"/>
        </w:rPr>
        <w:t>’</w:t>
      </w:r>
      <w:r w:rsidRPr="00287E57">
        <w:rPr>
          <w:rFonts w:ascii="ArialMT" w:hAnsi="ArialMT" w:hint="eastAsia"/>
          <w:caps/>
          <w:color w:val="000000"/>
          <w:sz w:val="24"/>
        </w:rPr>
        <w:t>enrichissement et d</w:t>
      </w:r>
      <w:r>
        <w:rPr>
          <w:rFonts w:ascii="ArialMT" w:hAnsi="ArialMT"/>
          <w:caps/>
          <w:color w:val="000000"/>
          <w:sz w:val="24"/>
        </w:rPr>
        <w:t>’</w:t>
      </w:r>
      <w:r w:rsidRPr="00287E57">
        <w:rPr>
          <w:rFonts w:ascii="ArialMT" w:hAnsi="ArialMT" w:hint="eastAsia"/>
          <w:caps/>
          <w:color w:val="000000"/>
          <w:sz w:val="24"/>
        </w:rPr>
        <w:t>analyse</w:t>
      </w:r>
      <w:r w:rsidRPr="00287E57">
        <w:rPr>
          <w:rFonts w:ascii="ArialMT" w:hAnsi="ArialMT"/>
          <w:caps/>
          <w:color w:val="000000"/>
          <w:sz w:val="24"/>
        </w:rPr>
        <w:t xml:space="preserve"> é</w:t>
      </w:r>
      <w:r w:rsidRPr="00287E57">
        <w:rPr>
          <w:rFonts w:ascii="ArialMT" w:hAnsi="ArialMT" w:hint="eastAsia"/>
          <w:caps/>
          <w:color w:val="000000"/>
          <w:sz w:val="24"/>
        </w:rPr>
        <w:t>conomique des don</w:t>
      </w:r>
      <w:r w:rsidRPr="00287E57">
        <w:rPr>
          <w:rFonts w:ascii="ArialMT" w:hAnsi="ArialMT"/>
          <w:caps/>
          <w:color w:val="000000"/>
          <w:sz w:val="24"/>
        </w:rPr>
        <w:t>née</w:t>
      </w:r>
      <w:r w:rsidRPr="00287E57">
        <w:rPr>
          <w:rFonts w:ascii="ArialMT" w:hAnsi="ArialMT" w:hint="eastAsia"/>
          <w:caps/>
          <w:color w:val="000000"/>
          <w:sz w:val="24"/>
        </w:rPr>
        <w:t>s relatives</w:t>
      </w:r>
      <w:r w:rsidRPr="00287E57">
        <w:rPr>
          <w:rFonts w:ascii="ArialMT" w:hAnsi="ArialMT"/>
          <w:caps/>
          <w:color w:val="000000"/>
          <w:sz w:val="24"/>
        </w:rPr>
        <w:t xml:space="preserve"> à </w:t>
      </w:r>
      <w:r w:rsidRPr="00287E57">
        <w:rPr>
          <w:rFonts w:ascii="ArialMT" w:hAnsi="ArialMT" w:hint="eastAsia"/>
          <w:caps/>
          <w:color w:val="000000"/>
          <w:sz w:val="24"/>
        </w:rPr>
        <w:t>la propr</w:t>
      </w:r>
      <w:r w:rsidRPr="00287E57">
        <w:rPr>
          <w:rFonts w:ascii="ArialMT" w:hAnsi="ArialMT"/>
          <w:caps/>
          <w:color w:val="000000"/>
          <w:sz w:val="24"/>
        </w:rPr>
        <w:t>iété</w:t>
      </w:r>
      <w:r w:rsidRPr="00287E57">
        <w:rPr>
          <w:rFonts w:ascii="ArialMT" w:hAnsi="ArialMT" w:hint="eastAsia"/>
          <w:caps/>
          <w:color w:val="000000"/>
          <w:sz w:val="24"/>
        </w:rPr>
        <w:t xml:space="preserve"> intellectuelle e</w:t>
      </w:r>
      <w:r w:rsidRPr="00287E57">
        <w:rPr>
          <w:rFonts w:ascii="ArialMT" w:hAnsi="ArialMT"/>
          <w:caps/>
          <w:color w:val="000000"/>
          <w:sz w:val="24"/>
        </w:rPr>
        <w:t>t à l</w:t>
      </w:r>
      <w:r>
        <w:rPr>
          <w:rFonts w:ascii="ArialMT" w:hAnsi="ArialMT"/>
          <w:caps/>
          <w:color w:val="000000"/>
          <w:sz w:val="24"/>
        </w:rPr>
        <w:t>’</w:t>
      </w:r>
      <w:r w:rsidRPr="00287E57">
        <w:rPr>
          <w:rFonts w:ascii="ArialMT" w:hAnsi="ArialMT" w:hint="eastAsia"/>
          <w:caps/>
          <w:color w:val="000000"/>
          <w:sz w:val="24"/>
        </w:rPr>
        <w:t>innovatio</w:t>
      </w:r>
      <w:r w:rsidRPr="00287E57">
        <w:rPr>
          <w:rFonts w:ascii="ArialMT" w:hAnsi="ArialMT"/>
          <w:caps/>
          <w:color w:val="000000"/>
          <w:sz w:val="24"/>
        </w:rPr>
        <w:t>n à l</w:t>
      </w:r>
      <w:r>
        <w:rPr>
          <w:rFonts w:ascii="ArialMT" w:hAnsi="ArialMT"/>
          <w:caps/>
          <w:color w:val="000000"/>
          <w:sz w:val="24"/>
        </w:rPr>
        <w:t>’</w:t>
      </w:r>
      <w:r w:rsidRPr="00287E57">
        <w:rPr>
          <w:rFonts w:ascii="ArialMT" w:hAnsi="ArialMT" w:hint="eastAsia"/>
          <w:caps/>
          <w:color w:val="000000"/>
          <w:sz w:val="24"/>
        </w:rPr>
        <w:t>appui de</w:t>
      </w:r>
      <w:r w:rsidRPr="00287E57">
        <w:rPr>
          <w:rFonts w:ascii="ArialMT" w:hAnsi="ArialMT"/>
          <w:caps/>
          <w:color w:val="000000"/>
          <w:sz w:val="24"/>
        </w:rPr>
        <w:t xml:space="preserve"> l</w:t>
      </w:r>
      <w:r>
        <w:rPr>
          <w:rFonts w:ascii="ArialMT" w:hAnsi="ArialMT"/>
          <w:caps/>
          <w:color w:val="000000"/>
          <w:sz w:val="24"/>
        </w:rPr>
        <w:t>’</w:t>
      </w:r>
      <w:r w:rsidRPr="00287E57">
        <w:rPr>
          <w:rFonts w:ascii="ArialMT" w:hAnsi="ArialMT"/>
          <w:caps/>
          <w:color w:val="000000"/>
          <w:sz w:val="24"/>
        </w:rPr>
        <w:t>él</w:t>
      </w:r>
      <w:r w:rsidRPr="00287E57">
        <w:rPr>
          <w:rFonts w:ascii="ArialMT" w:hAnsi="ArialMT" w:hint="eastAsia"/>
          <w:caps/>
          <w:color w:val="000000"/>
          <w:sz w:val="24"/>
        </w:rPr>
        <w:t>aboration de politiques (version 1.0)</w:t>
      </w:r>
      <w:r>
        <w:rPr>
          <w:rFonts w:ascii="ArialMT" w:hAnsi="ArialMT"/>
          <w:caps/>
          <w:color w:val="000000"/>
          <w:sz w:val="24"/>
        </w:rPr>
        <w:t>”</w:t>
      </w:r>
    </w:p>
    <w:p w14:paraId="1631B5D0" w14:textId="77777777" w:rsidR="00550AC2" w:rsidRPr="00D115FB" w:rsidRDefault="00550AC2" w:rsidP="00550AC2">
      <w:pPr>
        <w:spacing w:after="960"/>
        <w:rPr>
          <w:i/>
        </w:rPr>
      </w:pPr>
      <w:r>
        <w:rPr>
          <w:i/>
        </w:rPr>
        <w:t>Document établi par le Secrétariat</w:t>
      </w:r>
    </w:p>
    <w:p w14:paraId="79A40C14" w14:textId="768205A4" w:rsidR="00550AC2" w:rsidRPr="000A5724" w:rsidRDefault="00550AC2" w:rsidP="00287E57">
      <w:pPr>
        <w:pStyle w:val="ONUMFS"/>
        <w:rPr>
          <w:rFonts w:eastAsia="MS Mincho"/>
          <w:bCs/>
          <w:iCs/>
          <w:szCs w:val="22"/>
        </w:rPr>
      </w:pPr>
      <w:r>
        <w:t>L</w:t>
      </w:r>
      <w:r w:rsidR="00287E57">
        <w:t>’</w:t>
      </w:r>
      <w:r>
        <w:t>annexe du présent document contient le résumé du “Système de normalisation, d</w:t>
      </w:r>
      <w:r w:rsidR="00287E57">
        <w:t>’</w:t>
      </w:r>
      <w:r>
        <w:t>enrichissement et d</w:t>
      </w:r>
      <w:r w:rsidR="00287E57">
        <w:t>’</w:t>
      </w:r>
      <w:r>
        <w:t>analyse économique des données relatives à la propriété intellectuelle et à l</w:t>
      </w:r>
      <w:r w:rsidR="00287E57">
        <w:t>’</w:t>
      </w:r>
      <w:r>
        <w:t>innovation à l</w:t>
      </w:r>
      <w:r w:rsidR="00287E57">
        <w:t>’</w:t>
      </w:r>
      <w:r>
        <w:t>appui de l</w:t>
      </w:r>
      <w:r w:rsidR="00287E57">
        <w:t>’</w:t>
      </w:r>
      <w:r>
        <w:t>élaboration de politiques (version 1.0)”.</w:t>
      </w:r>
    </w:p>
    <w:p w14:paraId="572989DF" w14:textId="41D8C5F8" w:rsidR="00287E57" w:rsidRDefault="00550AC2" w:rsidP="00287E57">
      <w:pPr>
        <w:pStyle w:val="ONUMFS"/>
      </w:pPr>
      <w:r>
        <w:t>Ce système a été mis au point dans le cadre du projet du Plan d</w:t>
      </w:r>
      <w:r w:rsidR="00287E57">
        <w:t>’</w:t>
      </w:r>
      <w:r>
        <w:t>action pour le développement sur la “systématisation des données statistiques et la conception et la mise en œuvre d</w:t>
      </w:r>
      <w:r w:rsidR="00287E57">
        <w:t>’</w:t>
      </w:r>
      <w:r>
        <w:t>une méthode pour l</w:t>
      </w:r>
      <w:r w:rsidR="00287E57">
        <w:t>’</w:t>
      </w:r>
      <w:r>
        <w:t>élaboration d</w:t>
      </w:r>
      <w:r w:rsidR="00287E57">
        <w:t>’</w:t>
      </w:r>
      <w:r>
        <w:t>évaluations d</w:t>
      </w:r>
      <w:r w:rsidR="00287E57">
        <w:t>’</w:t>
      </w:r>
      <w:r>
        <w:t>incidence sur l</w:t>
      </w:r>
      <w:r w:rsidR="00287E57">
        <w:t>’</w:t>
      </w:r>
      <w:r>
        <w:t>utilisation du système de la propriété intellectuelle” (</w:t>
      </w:r>
      <w:r w:rsidR="00287E57">
        <w:t>document</w:t>
      </w:r>
      <w:r w:rsidR="00667B95">
        <w:t> </w:t>
      </w:r>
      <w:r w:rsidR="00287E57">
        <w:t>CD</w:t>
      </w:r>
      <w:r>
        <w:t>IP/26/4).</w:t>
      </w:r>
    </w:p>
    <w:p w14:paraId="60C2AFBD" w14:textId="13213523" w:rsidR="00550AC2" w:rsidRPr="00287E57" w:rsidRDefault="00550AC2" w:rsidP="00287E57">
      <w:pPr>
        <w:pStyle w:val="ONUMFS"/>
        <w:ind w:left="5533"/>
      </w:pPr>
      <w:r w:rsidRPr="00287E57">
        <w:t>Le CDIP est invité à prendre note des informations qui figurent dans l</w:t>
      </w:r>
      <w:r w:rsidR="00287E57">
        <w:t>’</w:t>
      </w:r>
      <w:r w:rsidRPr="00287E57">
        <w:t>annexe du présent document.</w:t>
      </w:r>
    </w:p>
    <w:p w14:paraId="27DCCA5E" w14:textId="30D2384A" w:rsidR="00550AC2" w:rsidRPr="007A14B4" w:rsidRDefault="00550AC2" w:rsidP="00287E57">
      <w:pPr>
        <w:pStyle w:val="Endofdocument-Annex"/>
        <w:spacing w:before="720"/>
        <w:rPr>
          <w:lang w:val="fr-FR"/>
        </w:rPr>
        <w:sectPr w:rsidR="00550AC2" w:rsidRPr="007A14B4" w:rsidSect="000D34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A14B4">
        <w:rPr>
          <w:lang w:val="fr-FR"/>
        </w:rPr>
        <w:t>[L</w:t>
      </w:r>
      <w:r w:rsidR="00287E57" w:rsidRPr="007A14B4">
        <w:rPr>
          <w:lang w:val="fr-FR"/>
        </w:rPr>
        <w:t>’</w:t>
      </w:r>
      <w:r w:rsidRPr="007A14B4">
        <w:rPr>
          <w:lang w:val="fr-FR"/>
        </w:rPr>
        <w:t>annexe suit]</w:t>
      </w:r>
      <w:r w:rsidRPr="007A14B4">
        <w:rPr>
          <w:lang w:val="fr-FR"/>
        </w:rPr>
        <w:br w:type="page"/>
      </w:r>
    </w:p>
    <w:p w14:paraId="71EA6284" w14:textId="4901D629" w:rsidR="00550AC2" w:rsidRDefault="00550AC2" w:rsidP="00287E57">
      <w:pPr>
        <w:autoSpaceDE w:val="0"/>
        <w:autoSpaceDN w:val="0"/>
        <w:spacing w:after="240" w:line="245" w:lineRule="auto"/>
        <w:ind w:right="-10"/>
        <w:jc w:val="center"/>
        <w:rPr>
          <w:rFonts w:eastAsia="Arial"/>
          <w:b/>
          <w:color w:val="000000"/>
        </w:rPr>
      </w:pPr>
      <w:r>
        <w:rPr>
          <w:b/>
          <w:color w:val="000000"/>
        </w:rPr>
        <w:lastRenderedPageBreak/>
        <w:t>Résumé du “Système de normalisation, d</w:t>
      </w:r>
      <w:r w:rsidR="00287E57">
        <w:rPr>
          <w:b/>
          <w:color w:val="000000"/>
        </w:rPr>
        <w:t>’</w:t>
      </w:r>
      <w:r>
        <w:rPr>
          <w:b/>
          <w:color w:val="000000"/>
        </w:rPr>
        <w:t>enrichissement et d</w:t>
      </w:r>
      <w:r w:rsidR="00287E57">
        <w:rPr>
          <w:b/>
          <w:color w:val="000000"/>
        </w:rPr>
        <w:t>’</w:t>
      </w:r>
      <w:r>
        <w:rPr>
          <w:b/>
          <w:color w:val="000000"/>
        </w:rPr>
        <w:t>analyse économique des données relatives à la propriété intellectuelle et à l</w:t>
      </w:r>
      <w:r w:rsidR="00287E57">
        <w:rPr>
          <w:b/>
          <w:color w:val="000000"/>
        </w:rPr>
        <w:t>’</w:t>
      </w:r>
      <w:r>
        <w:rPr>
          <w:b/>
          <w:color w:val="000000"/>
        </w:rPr>
        <w:t>innovation à l</w:t>
      </w:r>
      <w:r w:rsidR="00287E57">
        <w:rPr>
          <w:b/>
          <w:color w:val="000000"/>
        </w:rPr>
        <w:t>’</w:t>
      </w:r>
      <w:r>
        <w:rPr>
          <w:b/>
          <w:color w:val="000000"/>
        </w:rPr>
        <w:t>appui de l</w:t>
      </w:r>
      <w:r w:rsidR="00287E57">
        <w:rPr>
          <w:b/>
          <w:color w:val="000000"/>
        </w:rPr>
        <w:t>’</w:t>
      </w:r>
      <w:r>
        <w:rPr>
          <w:b/>
          <w:color w:val="000000"/>
        </w:rPr>
        <w:t>élaboration de politiques (version 1.0)”</w:t>
      </w:r>
    </w:p>
    <w:p w14:paraId="6DB322C6" w14:textId="5E9B122D" w:rsidR="00550AC2" w:rsidRDefault="00550AC2" w:rsidP="00287E57">
      <w:pPr>
        <w:spacing w:after="240" w:line="245" w:lineRule="auto"/>
        <w:rPr>
          <w:rFonts w:ascii="ArialMT" w:eastAsia="ArialMT" w:hAnsi="ArialMT"/>
          <w:color w:val="000000"/>
        </w:rPr>
      </w:pPr>
      <w:r>
        <w:rPr>
          <w:rFonts w:ascii="ArialMT" w:hAnsi="ArialMT"/>
          <w:color w:val="000000" w:themeColor="text1"/>
        </w:rPr>
        <w:t>Le présent document présente la première version du système visant à normaliser et enrichir les données relatives à la propriété intellectuelle et à l</w:t>
      </w:r>
      <w:r w:rsidR="00287E57">
        <w:rPr>
          <w:rFonts w:ascii="ArialMT" w:hAnsi="ArialMT"/>
          <w:color w:val="000000" w:themeColor="text1"/>
        </w:rPr>
        <w:t>’</w:t>
      </w:r>
      <w:r>
        <w:rPr>
          <w:rFonts w:ascii="ArialMT" w:hAnsi="ArialMT"/>
          <w:color w:val="000000" w:themeColor="text1"/>
        </w:rPr>
        <w:t>innovation dans le but de fournir une analyse économique à l</w:t>
      </w:r>
      <w:r w:rsidR="00287E57">
        <w:rPr>
          <w:rFonts w:ascii="ArialMT" w:hAnsi="ArialMT"/>
          <w:color w:val="000000" w:themeColor="text1"/>
        </w:rPr>
        <w:t>’</w:t>
      </w:r>
      <w:r>
        <w:rPr>
          <w:rFonts w:ascii="ArialMT" w:hAnsi="ArialMT"/>
          <w:color w:val="000000" w:themeColor="text1"/>
        </w:rPr>
        <w:t>appui de l</w:t>
      </w:r>
      <w:r w:rsidR="00287E57">
        <w:rPr>
          <w:rFonts w:ascii="ArialMT" w:hAnsi="ArialMT"/>
          <w:color w:val="000000" w:themeColor="text1"/>
        </w:rPr>
        <w:t>’</w:t>
      </w:r>
      <w:r>
        <w:rPr>
          <w:rFonts w:ascii="ArialMT" w:hAnsi="ArialMT"/>
          <w:color w:val="000000" w:themeColor="text1"/>
        </w:rPr>
        <w:t xml:space="preserve">élaboration de politiques.  </w:t>
      </w:r>
      <w:r>
        <w:t>Il a été mis au point dans le cadre du projet du Plan d</w:t>
      </w:r>
      <w:r w:rsidR="00287E57">
        <w:t>’</w:t>
      </w:r>
      <w:r>
        <w:t>action pour le développement sur la “systématisation des données statistiques et la conception et la mise en œuvre d</w:t>
      </w:r>
      <w:r w:rsidR="00287E57">
        <w:t>’</w:t>
      </w:r>
      <w:r>
        <w:t>une méthode pour l</w:t>
      </w:r>
      <w:r w:rsidR="00287E57">
        <w:t>’</w:t>
      </w:r>
      <w:r>
        <w:t>élaboration d</w:t>
      </w:r>
      <w:r w:rsidR="00287E57">
        <w:t>’</w:t>
      </w:r>
      <w:r>
        <w:t>évaluations d</w:t>
      </w:r>
      <w:r w:rsidR="00287E57">
        <w:t>’</w:t>
      </w:r>
      <w:r>
        <w:t>incidence sur l</w:t>
      </w:r>
      <w:r w:rsidR="00287E57">
        <w:t>’</w:t>
      </w:r>
      <w:r>
        <w:t>utilisation du système de la propriété intellectuelle” (document </w:t>
      </w:r>
      <w:hyperlink r:id="rId15" w:history="1">
        <w:r>
          <w:rPr>
            <w:rStyle w:val="Hyperlink"/>
            <w:rFonts w:ascii="ArialMT" w:hAnsi="ArialMT"/>
          </w:rPr>
          <w:t>CDIP/26/4</w:t>
        </w:r>
      </w:hyperlink>
      <w:r>
        <w:t>).</w:t>
      </w:r>
    </w:p>
    <w:p w14:paraId="0E80FC09" w14:textId="56B05F36" w:rsidR="00550AC2" w:rsidRDefault="00550AC2" w:rsidP="00287E57">
      <w:pPr>
        <w:spacing w:after="240" w:line="245" w:lineRule="auto"/>
        <w:rPr>
          <w:rFonts w:ascii="ArialMT" w:eastAsia="ArialMT" w:hAnsi="ArialMT"/>
          <w:color w:val="000000" w:themeColor="text1"/>
        </w:rPr>
      </w:pPr>
      <w:r>
        <w:rPr>
          <w:rFonts w:ascii="ArialMT" w:hAnsi="ArialMT"/>
          <w:color w:val="000000" w:themeColor="text1"/>
        </w:rPr>
        <w:t>Conformément à l</w:t>
      </w:r>
      <w:r w:rsidR="00287E57">
        <w:rPr>
          <w:rFonts w:ascii="ArialMT" w:hAnsi="ArialMT"/>
          <w:color w:val="000000" w:themeColor="text1"/>
        </w:rPr>
        <w:t>’</w:t>
      </w:r>
      <w:r>
        <w:rPr>
          <w:rFonts w:ascii="ArialMT" w:hAnsi="ArialMT"/>
          <w:color w:val="000000" w:themeColor="text1"/>
        </w:rPr>
        <w:t>objectif du projet, ce système vise à structurer les méthodes d</w:t>
      </w:r>
      <w:r w:rsidR="00287E57">
        <w:rPr>
          <w:rFonts w:ascii="ArialMT" w:hAnsi="ArialMT"/>
          <w:color w:val="000000" w:themeColor="text1"/>
        </w:rPr>
        <w:t>’</w:t>
      </w:r>
      <w:r>
        <w:rPr>
          <w:rFonts w:ascii="ArialMT" w:hAnsi="ArialMT"/>
          <w:color w:val="000000" w:themeColor="text1"/>
        </w:rPr>
        <w:t>analyse économique de la propriété intellectuelle et des politiques connexes à l</w:t>
      </w:r>
      <w:r w:rsidR="00287E57">
        <w:rPr>
          <w:rFonts w:ascii="ArialMT" w:hAnsi="ArialMT"/>
          <w:color w:val="000000" w:themeColor="text1"/>
        </w:rPr>
        <w:t>’</w:t>
      </w:r>
      <w:r>
        <w:rPr>
          <w:rFonts w:ascii="ArialMT" w:hAnsi="ArialMT"/>
          <w:color w:val="000000" w:themeColor="text1"/>
        </w:rPr>
        <w:t>échelon nation</w:t>
      </w:r>
      <w:r w:rsidR="007A14B4">
        <w:rPr>
          <w:rFonts w:ascii="ArialMT" w:hAnsi="ArialMT"/>
          <w:color w:val="000000" w:themeColor="text1"/>
        </w:rPr>
        <w:t>al.  Le</w:t>
      </w:r>
      <w:r>
        <w:rPr>
          <w:rFonts w:ascii="ArialMT" w:hAnsi="ArialMT"/>
          <w:color w:val="000000" w:themeColor="text1"/>
        </w:rPr>
        <w:t>s résultats de la mise en œuvre de ce système devraient contribuer à l</w:t>
      </w:r>
      <w:r w:rsidR="00287E57">
        <w:rPr>
          <w:rFonts w:ascii="ArialMT" w:hAnsi="ArialMT"/>
          <w:color w:val="000000" w:themeColor="text1"/>
        </w:rPr>
        <w:t>’</w:t>
      </w:r>
      <w:r>
        <w:rPr>
          <w:rFonts w:ascii="ArialMT" w:hAnsi="ArialMT"/>
          <w:color w:val="000000" w:themeColor="text1"/>
        </w:rPr>
        <w:t>élaboration de politiques publiques qui pourraient être adoptées conformément aux plans de développement nationaux et au renforcement de l</w:t>
      </w:r>
      <w:r w:rsidR="00287E57">
        <w:rPr>
          <w:rFonts w:ascii="ArialMT" w:hAnsi="ArialMT"/>
          <w:color w:val="000000" w:themeColor="text1"/>
        </w:rPr>
        <w:t>’</w:t>
      </w:r>
      <w:r>
        <w:rPr>
          <w:rFonts w:ascii="ArialMT" w:hAnsi="ArialMT"/>
          <w:color w:val="000000" w:themeColor="text1"/>
        </w:rPr>
        <w:t>interaction entre le capital social, les entreprises productives et la propriété intellectuelle.  Le système vise également à renforcer les capacités humaines et techniques des entités concernées des pays bénéficiaires et des autres États membres.</w:t>
      </w:r>
    </w:p>
    <w:p w14:paraId="0551A4F6" w14:textId="4F1B10D1" w:rsidR="00550AC2" w:rsidRPr="003E694B" w:rsidRDefault="00550AC2" w:rsidP="00287E57">
      <w:pPr>
        <w:spacing w:after="240" w:line="245" w:lineRule="auto"/>
        <w:rPr>
          <w:rFonts w:ascii="ArialMT" w:eastAsia="ArialMT" w:hAnsi="ArialMT"/>
          <w:color w:val="000000"/>
        </w:rPr>
      </w:pPr>
      <w:r>
        <w:rPr>
          <w:rFonts w:ascii="ArialMT" w:hAnsi="ArialMT"/>
          <w:color w:val="000000" w:themeColor="text1"/>
        </w:rPr>
        <w:t>Le présent document est organisé comme suit</w:t>
      </w:r>
      <w:r w:rsidR="00287E57">
        <w:rPr>
          <w:rFonts w:ascii="ArialMT" w:hAnsi="ArialMT"/>
          <w:color w:val="000000" w:themeColor="text1"/>
        </w:rPr>
        <w:t> :</w:t>
      </w:r>
      <w:r>
        <w:rPr>
          <w:rFonts w:ascii="ArialMT" w:hAnsi="ArialMT"/>
          <w:color w:val="000000" w:themeColor="text1"/>
        </w:rPr>
        <w:t xml:space="preserve"> la </w:t>
      </w:r>
      <w:r w:rsidR="00287E57">
        <w:rPr>
          <w:rFonts w:ascii="ArialMT" w:hAnsi="ArialMT"/>
          <w:color w:val="000000" w:themeColor="text1"/>
        </w:rPr>
        <w:t>section I</w:t>
      </w:r>
      <w:r>
        <w:rPr>
          <w:rFonts w:ascii="ArialMT" w:hAnsi="ArialMT"/>
          <w:color w:val="000000" w:themeColor="text1"/>
        </w:rPr>
        <w:t xml:space="preserve"> expose les principales raisons qui ont motivé le choix d</w:t>
      </w:r>
      <w:r w:rsidR="00287E57">
        <w:rPr>
          <w:rFonts w:ascii="ArialMT" w:hAnsi="ArialMT"/>
          <w:color w:val="000000" w:themeColor="text1"/>
        </w:rPr>
        <w:t>’</w:t>
      </w:r>
      <w:r>
        <w:rPr>
          <w:rFonts w:ascii="ArialMT" w:hAnsi="ArialMT"/>
          <w:color w:val="000000" w:themeColor="text1"/>
        </w:rPr>
        <w:t>El</w:t>
      </w:r>
      <w:r w:rsidR="00273F99">
        <w:rPr>
          <w:rFonts w:ascii="ArialMT" w:hAnsi="ArialMT"/>
          <w:color w:val="000000" w:themeColor="text1"/>
        </w:rPr>
        <w:t> </w:t>
      </w:r>
      <w:r>
        <w:rPr>
          <w:rFonts w:ascii="ArialMT" w:hAnsi="ArialMT"/>
          <w:color w:val="000000" w:themeColor="text1"/>
        </w:rPr>
        <w:t>Salvador comme premier pays pilote ainsi que les enseignements escomptés de ce choix</w:t>
      </w:r>
      <w:r w:rsidR="00273F99">
        <w:rPr>
          <w:rFonts w:ascii="ArialMT" w:hAnsi="ArialMT"/>
          <w:color w:val="000000" w:themeColor="text1"/>
        </w:rPr>
        <w:t xml:space="preserve">; </w:t>
      </w:r>
      <w:r>
        <w:rPr>
          <w:rFonts w:ascii="ArialMT" w:hAnsi="ArialMT"/>
          <w:color w:val="000000" w:themeColor="text1"/>
        </w:rPr>
        <w:t xml:space="preserve"> la section II décrit l</w:t>
      </w:r>
      <w:r w:rsidR="00287E57">
        <w:rPr>
          <w:rFonts w:ascii="ArialMT" w:hAnsi="ArialMT"/>
          <w:color w:val="000000" w:themeColor="text1"/>
        </w:rPr>
        <w:t>’</w:t>
      </w:r>
      <w:r>
        <w:rPr>
          <w:rFonts w:ascii="ArialMT" w:hAnsi="ArialMT"/>
          <w:color w:val="000000" w:themeColor="text1"/>
        </w:rPr>
        <w:t>approche stratégique adoptée pour élaborer diverses méthodes et présente de manière détaillée le processus de traitement des données utilisé par le système</w:t>
      </w:r>
      <w:r w:rsidR="00273F99">
        <w:rPr>
          <w:rFonts w:ascii="ArialMT" w:hAnsi="ArialMT"/>
          <w:color w:val="000000" w:themeColor="text1"/>
        </w:rPr>
        <w:t xml:space="preserve">; </w:t>
      </w:r>
      <w:r>
        <w:rPr>
          <w:rFonts w:ascii="ArialMT" w:hAnsi="ArialMT"/>
          <w:color w:val="000000" w:themeColor="text1"/>
        </w:rPr>
        <w:t xml:space="preserve"> la section III traite des résultats du projet et de leur diffusion auprès des parties prenantes</w:t>
      </w:r>
      <w:r w:rsidR="00273F99">
        <w:rPr>
          <w:rFonts w:ascii="ArialMT" w:hAnsi="ArialMT"/>
          <w:color w:val="000000" w:themeColor="text1"/>
        </w:rPr>
        <w:t xml:space="preserve">; </w:t>
      </w:r>
      <w:r>
        <w:rPr>
          <w:rFonts w:ascii="ArialMT" w:hAnsi="ArialMT"/>
          <w:color w:val="000000" w:themeColor="text1"/>
        </w:rPr>
        <w:t xml:space="preserve"> la section IV aborde les difficultés rencontrées au cours de la phase initiale du projet et met l</w:t>
      </w:r>
      <w:r w:rsidR="00287E57">
        <w:rPr>
          <w:rFonts w:ascii="ArialMT" w:hAnsi="ArialMT"/>
          <w:color w:val="000000" w:themeColor="text1"/>
        </w:rPr>
        <w:t>’</w:t>
      </w:r>
      <w:r>
        <w:rPr>
          <w:rFonts w:ascii="ArialMT" w:hAnsi="ArialMT"/>
          <w:color w:val="000000" w:themeColor="text1"/>
        </w:rPr>
        <w:t>accent sur les améliorations prévues pour la phase suivante.</w:t>
      </w:r>
    </w:p>
    <w:p w14:paraId="283233FB" w14:textId="23BC1088" w:rsidR="00550AC2" w:rsidRPr="00362055" w:rsidRDefault="00362055" w:rsidP="00362055">
      <w:pPr>
        <w:pStyle w:val="Heading2"/>
        <w:keepLines/>
        <w:numPr>
          <w:ilvl w:val="0"/>
          <w:numId w:val="7"/>
        </w:numPr>
        <w:spacing w:before="200" w:after="240" w:line="276" w:lineRule="auto"/>
        <w:ind w:left="1134" w:hanging="567"/>
        <w:rPr>
          <w:szCs w:val="22"/>
        </w:rPr>
      </w:pPr>
      <w:r w:rsidRPr="00362055">
        <w:t>Contexte</w:t>
      </w:r>
    </w:p>
    <w:p w14:paraId="231E8062" w14:textId="57783F99" w:rsidR="00550AC2" w:rsidRPr="00362055" w:rsidRDefault="00550AC2" w:rsidP="00362055">
      <w:pPr>
        <w:spacing w:after="240" w:line="245" w:lineRule="auto"/>
        <w:rPr>
          <w:rFonts w:ascii="ArialMT" w:hAnsi="ArialMT" w:hint="eastAsia"/>
          <w:color w:val="000000" w:themeColor="text1"/>
        </w:rPr>
      </w:pPr>
      <w:r>
        <w:rPr>
          <w:rFonts w:ascii="ArialMT" w:hAnsi="ArialMT"/>
          <w:color w:val="000000" w:themeColor="text1"/>
        </w:rPr>
        <w:t>Le présent document porte sur le système tel qu</w:t>
      </w:r>
      <w:r w:rsidR="00287E57">
        <w:rPr>
          <w:rFonts w:ascii="ArialMT" w:hAnsi="ArialMT"/>
          <w:color w:val="000000" w:themeColor="text1"/>
        </w:rPr>
        <w:t>’</w:t>
      </w:r>
      <w:r>
        <w:rPr>
          <w:rFonts w:ascii="ArialMT" w:hAnsi="ArialMT"/>
          <w:color w:val="000000" w:themeColor="text1"/>
        </w:rPr>
        <w:t>il a été conçu pour le premier pays pilote, El</w:t>
      </w:r>
      <w:r w:rsidR="00273F99">
        <w:rPr>
          <w:rFonts w:ascii="ArialMT" w:hAnsi="ArialMT"/>
          <w:color w:val="000000" w:themeColor="text1"/>
        </w:rPr>
        <w:t> </w:t>
      </w:r>
      <w:r>
        <w:rPr>
          <w:rFonts w:ascii="ArialMT" w:hAnsi="ArialMT"/>
          <w:color w:val="000000" w:themeColor="text1"/>
        </w:rPr>
        <w:t>Salvador.  Lors de l</w:t>
      </w:r>
      <w:r w:rsidR="00287E57">
        <w:rPr>
          <w:rFonts w:ascii="ArialMT" w:hAnsi="ArialMT"/>
          <w:color w:val="000000" w:themeColor="text1"/>
        </w:rPr>
        <w:t>’</w:t>
      </w:r>
      <w:r>
        <w:rPr>
          <w:rFonts w:ascii="ArialMT" w:hAnsi="ArialMT"/>
          <w:color w:val="000000" w:themeColor="text1"/>
        </w:rPr>
        <w:t>évaluation initiale, de la conception et de la mise en œuvre de la première version du système, il a été considéré qu</w:t>
      </w:r>
      <w:r w:rsidR="00287E57">
        <w:rPr>
          <w:rFonts w:ascii="ArialMT" w:hAnsi="ArialMT"/>
          <w:color w:val="000000" w:themeColor="text1"/>
        </w:rPr>
        <w:t>’</w:t>
      </w:r>
      <w:r>
        <w:rPr>
          <w:rFonts w:ascii="ArialMT" w:hAnsi="ArialMT"/>
          <w:color w:val="000000" w:themeColor="text1"/>
        </w:rPr>
        <w:t>El</w:t>
      </w:r>
      <w:r w:rsidR="00273F99">
        <w:rPr>
          <w:rFonts w:ascii="ArialMT" w:hAnsi="ArialMT"/>
          <w:color w:val="000000" w:themeColor="text1"/>
        </w:rPr>
        <w:t> </w:t>
      </w:r>
      <w:r>
        <w:rPr>
          <w:rFonts w:ascii="ArialMT" w:hAnsi="ArialMT"/>
          <w:color w:val="000000" w:themeColor="text1"/>
        </w:rPr>
        <w:t xml:space="preserve">Salvador était un pays pilote valable en raison de plusieurs conditions, telles que la taille, le développement </w:t>
      </w:r>
      <w:r w:rsidR="00287E57">
        <w:rPr>
          <w:rFonts w:ascii="ArialMT" w:hAnsi="ArialMT"/>
          <w:color w:val="000000" w:themeColor="text1"/>
        </w:rPr>
        <w:t>socioéconomique</w:t>
      </w:r>
      <w:r>
        <w:rPr>
          <w:rFonts w:ascii="ArialMT" w:hAnsi="ArialMT"/>
          <w:color w:val="000000" w:themeColor="text1"/>
        </w:rPr>
        <w:t>, la démographie et la géographie du pa</w:t>
      </w:r>
      <w:r w:rsidR="007A14B4">
        <w:rPr>
          <w:rFonts w:ascii="ArialMT" w:hAnsi="ArialMT"/>
          <w:color w:val="000000" w:themeColor="text1"/>
        </w:rPr>
        <w:t>ys.  En</w:t>
      </w:r>
      <w:r>
        <w:rPr>
          <w:rFonts w:ascii="ArialMT" w:hAnsi="ArialMT"/>
          <w:color w:val="000000" w:themeColor="text1"/>
        </w:rPr>
        <w:t xml:space="preserve"> outre, El</w:t>
      </w:r>
      <w:r w:rsidR="00273F99">
        <w:rPr>
          <w:rFonts w:ascii="ArialMT" w:hAnsi="ArialMT"/>
          <w:color w:val="000000" w:themeColor="text1"/>
        </w:rPr>
        <w:t> </w:t>
      </w:r>
      <w:r>
        <w:rPr>
          <w:rFonts w:ascii="ArialMT" w:hAnsi="ArialMT"/>
          <w:color w:val="000000" w:themeColor="text1"/>
        </w:rPr>
        <w:t>Salvador répondait aux besoins du projet en matière de données, notamment parce qu</w:t>
      </w:r>
      <w:r w:rsidR="00287E57">
        <w:rPr>
          <w:rFonts w:ascii="ArialMT" w:hAnsi="ArialMT"/>
          <w:color w:val="000000" w:themeColor="text1"/>
        </w:rPr>
        <w:t>’</w:t>
      </w:r>
      <w:r>
        <w:rPr>
          <w:rFonts w:ascii="ArialMT" w:hAnsi="ArialMT"/>
          <w:color w:val="000000" w:themeColor="text1"/>
        </w:rPr>
        <w:t>il disposait des éléments suivants</w:t>
      </w:r>
      <w:r w:rsidR="00362055">
        <w:rPr>
          <w:rFonts w:ascii="ArialMT" w:hAnsi="ArialMT"/>
          <w:color w:val="000000" w:themeColor="text1"/>
        </w:rPr>
        <w:t> :</w:t>
      </w:r>
    </w:p>
    <w:p w14:paraId="642FFCC7" w14:textId="65D11330" w:rsidR="00550AC2" w:rsidRPr="00663D71" w:rsidRDefault="00550AC2" w:rsidP="00362055">
      <w:pPr>
        <w:pStyle w:val="ListParagraph"/>
        <w:numPr>
          <w:ilvl w:val="0"/>
          <w:numId w:val="8"/>
        </w:numPr>
        <w:spacing w:line="245" w:lineRule="auto"/>
        <w:ind w:left="1134" w:hanging="567"/>
        <w:contextualSpacing/>
        <w:rPr>
          <w:rFonts w:ascii="ArialMT" w:eastAsia="ArialMT" w:hAnsi="ArialMT"/>
          <w:color w:val="000000" w:themeColor="text1"/>
        </w:rPr>
      </w:pPr>
      <w:r>
        <w:rPr>
          <w:rFonts w:ascii="ArialMT" w:hAnsi="ArialMT"/>
          <w:color w:val="000000" w:themeColor="text1"/>
        </w:rPr>
        <w:t>des quantités non négligeables de données nationales de propriété intellectuelle qui ne sont pas prises en considération dans les bases de données internationales de propriété intellectuelle;</w:t>
      </w:r>
    </w:p>
    <w:p w14:paraId="20013B95" w14:textId="2D636E70" w:rsidR="00550AC2" w:rsidRDefault="00550AC2" w:rsidP="00362055">
      <w:pPr>
        <w:pStyle w:val="ListParagraph"/>
        <w:numPr>
          <w:ilvl w:val="0"/>
          <w:numId w:val="8"/>
        </w:numPr>
        <w:spacing w:line="245" w:lineRule="auto"/>
        <w:ind w:left="1134" w:hanging="567"/>
        <w:contextualSpacing/>
        <w:rPr>
          <w:rFonts w:ascii="ArialMT" w:eastAsia="ArialMT" w:hAnsi="ArialMT"/>
          <w:color w:val="000000" w:themeColor="text1"/>
        </w:rPr>
      </w:pPr>
      <w:r>
        <w:rPr>
          <w:rFonts w:ascii="ArialMT" w:hAnsi="ArialMT"/>
          <w:color w:val="000000" w:themeColor="text1"/>
        </w:rPr>
        <w:t>une utilisation notable de la propriété intellectuelle par les parties prenantes nationales à l</w:t>
      </w:r>
      <w:r w:rsidR="00287E57">
        <w:rPr>
          <w:rFonts w:ascii="ArialMT" w:hAnsi="ArialMT"/>
          <w:color w:val="000000" w:themeColor="text1"/>
        </w:rPr>
        <w:t>’</w:t>
      </w:r>
      <w:r>
        <w:rPr>
          <w:rFonts w:ascii="ArialMT" w:hAnsi="ArialMT"/>
          <w:color w:val="000000" w:themeColor="text1"/>
        </w:rPr>
        <w:t>extérieur du pays (c</w:t>
      </w:r>
      <w:r w:rsidR="00287E57">
        <w:rPr>
          <w:rFonts w:ascii="ArialMT" w:hAnsi="ArialMT"/>
          <w:color w:val="000000" w:themeColor="text1"/>
        </w:rPr>
        <w:t>’</w:t>
      </w:r>
      <w:r>
        <w:rPr>
          <w:rFonts w:ascii="ArialMT" w:hAnsi="ArialMT"/>
          <w:color w:val="000000" w:themeColor="text1"/>
        </w:rPr>
        <w:t>est</w:t>
      </w:r>
      <w:r w:rsidR="00667B95">
        <w:rPr>
          <w:rFonts w:ascii="ArialMT" w:hAnsi="ArialMT"/>
          <w:color w:val="000000" w:themeColor="text1"/>
        </w:rPr>
        <w:noBreakHyphen/>
      </w:r>
      <w:r>
        <w:rPr>
          <w:rFonts w:ascii="ArialMT" w:hAnsi="ArialMT"/>
          <w:color w:val="000000" w:themeColor="text1"/>
        </w:rPr>
        <w:t>à</w:t>
      </w:r>
      <w:r w:rsidR="00667B95">
        <w:rPr>
          <w:rFonts w:ascii="ArialMT" w:hAnsi="ArialMT"/>
          <w:color w:val="000000" w:themeColor="text1"/>
        </w:rPr>
        <w:noBreakHyphen/>
      </w:r>
      <w:r>
        <w:rPr>
          <w:rFonts w:ascii="ArialMT" w:hAnsi="ArialMT"/>
          <w:color w:val="000000" w:themeColor="text1"/>
        </w:rPr>
        <w:t>dire non collectée par l</w:t>
      </w:r>
      <w:r w:rsidR="00287E57">
        <w:rPr>
          <w:rFonts w:ascii="ArialMT" w:hAnsi="ArialMT"/>
          <w:color w:val="000000" w:themeColor="text1"/>
        </w:rPr>
        <w:t>’</w:t>
      </w:r>
      <w:r>
        <w:rPr>
          <w:rFonts w:ascii="ArialMT" w:hAnsi="ArialMT"/>
          <w:color w:val="000000" w:themeColor="text1"/>
        </w:rPr>
        <w:t>office national de la propriété intellectuelle)</w:t>
      </w:r>
      <w:r w:rsidR="00273F99">
        <w:rPr>
          <w:rFonts w:ascii="ArialMT" w:hAnsi="ArialMT"/>
          <w:color w:val="000000" w:themeColor="text1"/>
        </w:rPr>
        <w:t xml:space="preserve">; </w:t>
      </w:r>
      <w:r>
        <w:rPr>
          <w:rFonts w:ascii="ArialMT" w:hAnsi="ArialMT"/>
          <w:color w:val="000000" w:themeColor="text1"/>
        </w:rPr>
        <w:t xml:space="preserve"> et</w:t>
      </w:r>
    </w:p>
    <w:p w14:paraId="6A577C12" w14:textId="4D6E376A" w:rsidR="00550AC2" w:rsidRPr="002628B2" w:rsidRDefault="00550AC2" w:rsidP="00362055">
      <w:pPr>
        <w:pStyle w:val="ListParagraph"/>
        <w:numPr>
          <w:ilvl w:val="0"/>
          <w:numId w:val="8"/>
        </w:numPr>
        <w:spacing w:after="240" w:line="245" w:lineRule="auto"/>
        <w:ind w:left="1134" w:hanging="567"/>
        <w:rPr>
          <w:rFonts w:ascii="ArialMT" w:eastAsia="ArialMT" w:hAnsi="ArialMT"/>
          <w:color w:val="000000" w:themeColor="text1"/>
        </w:rPr>
      </w:pPr>
      <w:r>
        <w:rPr>
          <w:rFonts w:ascii="ArialMT" w:hAnsi="ArialMT"/>
          <w:color w:val="000000" w:themeColor="text1"/>
        </w:rPr>
        <w:t>des coordonnateurs actifs au sein de l</w:t>
      </w:r>
      <w:r w:rsidR="00287E57">
        <w:rPr>
          <w:rFonts w:ascii="ArialMT" w:hAnsi="ArialMT"/>
          <w:color w:val="000000" w:themeColor="text1"/>
        </w:rPr>
        <w:t>’</w:t>
      </w:r>
      <w:r>
        <w:rPr>
          <w:rFonts w:ascii="ArialMT" w:hAnsi="ArialMT"/>
          <w:color w:val="000000" w:themeColor="text1"/>
        </w:rPr>
        <w:t>office national de la propriété intellectuelle et d</w:t>
      </w:r>
      <w:r w:rsidR="00287E57">
        <w:rPr>
          <w:rFonts w:ascii="ArialMT" w:hAnsi="ArialMT"/>
          <w:color w:val="000000" w:themeColor="text1"/>
        </w:rPr>
        <w:t>’</w:t>
      </w:r>
      <w:r>
        <w:rPr>
          <w:rFonts w:ascii="ArialMT" w:hAnsi="ArialMT"/>
          <w:color w:val="000000" w:themeColor="text1"/>
        </w:rPr>
        <w:t>autres organismes publics.</w:t>
      </w:r>
    </w:p>
    <w:p w14:paraId="393FC08A" w14:textId="7814994E" w:rsidR="00550AC2" w:rsidRPr="00362055" w:rsidRDefault="00362055" w:rsidP="00550AC2">
      <w:pPr>
        <w:pStyle w:val="Heading2"/>
        <w:keepLines/>
        <w:numPr>
          <w:ilvl w:val="0"/>
          <w:numId w:val="7"/>
        </w:numPr>
        <w:spacing w:before="200" w:after="240" w:line="276" w:lineRule="auto"/>
        <w:ind w:left="1080" w:hanging="720"/>
        <w:rPr>
          <w:szCs w:val="22"/>
        </w:rPr>
      </w:pPr>
      <w:r w:rsidRPr="00362055">
        <w:t>Conception de la méthode</w:t>
      </w:r>
    </w:p>
    <w:p w14:paraId="5DCA4D97" w14:textId="78FE74C5" w:rsidR="00550AC2" w:rsidRDefault="00550AC2" w:rsidP="00550AC2">
      <w:pPr>
        <w:autoSpaceDE w:val="0"/>
        <w:autoSpaceDN w:val="0"/>
        <w:spacing w:before="288" w:line="245" w:lineRule="auto"/>
        <w:ind w:right="144"/>
        <w:rPr>
          <w:rFonts w:ascii="ArialMT" w:eastAsia="ArialMT" w:hAnsi="ArialMT"/>
          <w:color w:val="000000" w:themeColor="text1"/>
        </w:rPr>
      </w:pPr>
      <w:r>
        <w:rPr>
          <w:rFonts w:ascii="ArialMT" w:hAnsi="ArialMT"/>
          <w:color w:val="000000" w:themeColor="text1"/>
        </w:rPr>
        <w:t>Afin de concevoir la méthode du système, il a été nécessaire d</w:t>
      </w:r>
      <w:r w:rsidR="00287E57">
        <w:rPr>
          <w:rFonts w:ascii="ArialMT" w:hAnsi="ArialMT"/>
          <w:color w:val="000000" w:themeColor="text1"/>
        </w:rPr>
        <w:t>’</w:t>
      </w:r>
      <w:r>
        <w:rPr>
          <w:rFonts w:ascii="ArialMT" w:hAnsi="ArialMT"/>
          <w:color w:val="000000" w:themeColor="text1"/>
        </w:rPr>
        <w:t>examiner des rapports techniques et les publications scientifiques de l</w:t>
      </w:r>
      <w:r w:rsidR="00287E57">
        <w:rPr>
          <w:rFonts w:ascii="ArialMT" w:hAnsi="ArialMT"/>
          <w:color w:val="000000" w:themeColor="text1"/>
        </w:rPr>
        <w:t>’</w:t>
      </w:r>
      <w:r>
        <w:rPr>
          <w:rFonts w:ascii="ArialMT" w:hAnsi="ArialMT"/>
          <w:color w:val="000000" w:themeColor="text1"/>
        </w:rPr>
        <w:t>Organisation Mondiale de la Propriété Intellectuelle (OMPI), d</w:t>
      </w:r>
      <w:r w:rsidR="00287E57">
        <w:rPr>
          <w:rFonts w:ascii="ArialMT" w:hAnsi="ArialMT"/>
          <w:color w:val="000000" w:themeColor="text1"/>
        </w:rPr>
        <w:t>’</w:t>
      </w:r>
      <w:r>
        <w:rPr>
          <w:rFonts w:ascii="ArialMT" w:hAnsi="ArialMT"/>
          <w:color w:val="000000" w:themeColor="text1"/>
        </w:rPr>
        <w:t>offices de propriété intellectuelle disposant de services économiques et d</w:t>
      </w:r>
      <w:r w:rsidR="00287E57">
        <w:rPr>
          <w:rFonts w:ascii="ArialMT" w:hAnsi="ArialMT"/>
          <w:color w:val="000000" w:themeColor="text1"/>
        </w:rPr>
        <w:t>’</w:t>
      </w:r>
      <w:r>
        <w:rPr>
          <w:rFonts w:ascii="ArialMT" w:hAnsi="ArialMT"/>
          <w:color w:val="000000" w:themeColor="text1"/>
        </w:rPr>
        <w:t>établissements universitaires qui utilisent les données relatives à la propriété intellectuelle et à l</w:t>
      </w:r>
      <w:r w:rsidR="00287E57">
        <w:rPr>
          <w:rFonts w:ascii="ArialMT" w:hAnsi="ArialMT"/>
          <w:color w:val="000000" w:themeColor="text1"/>
        </w:rPr>
        <w:t>’</w:t>
      </w:r>
      <w:r>
        <w:rPr>
          <w:rFonts w:ascii="ArialMT" w:hAnsi="ArialMT"/>
          <w:color w:val="000000" w:themeColor="text1"/>
        </w:rPr>
        <w:t>innovation dans le but de fournir une analyse économique permettant d</w:t>
      </w:r>
      <w:r w:rsidR="00287E57">
        <w:rPr>
          <w:rFonts w:ascii="ArialMT" w:hAnsi="ArialMT"/>
          <w:color w:val="000000" w:themeColor="text1"/>
        </w:rPr>
        <w:t>’</w:t>
      </w:r>
      <w:r>
        <w:rPr>
          <w:rFonts w:ascii="ArialMT" w:hAnsi="ArialMT"/>
          <w:color w:val="000000" w:themeColor="text1"/>
        </w:rPr>
        <w:t>éclairer l</w:t>
      </w:r>
      <w:r w:rsidR="00287E57">
        <w:rPr>
          <w:rFonts w:ascii="ArialMT" w:hAnsi="ArialMT"/>
          <w:color w:val="000000" w:themeColor="text1"/>
        </w:rPr>
        <w:t>’</w:t>
      </w:r>
      <w:r>
        <w:rPr>
          <w:rFonts w:ascii="ArialMT" w:hAnsi="ArialMT"/>
          <w:color w:val="000000" w:themeColor="text1"/>
        </w:rPr>
        <w:t>élaboration de politiques.</w:t>
      </w:r>
    </w:p>
    <w:p w14:paraId="350F836E" w14:textId="0492FE42" w:rsidR="00550AC2" w:rsidRDefault="00550AC2" w:rsidP="00550AC2">
      <w:pPr>
        <w:autoSpaceDE w:val="0"/>
        <w:autoSpaceDN w:val="0"/>
        <w:spacing w:before="288" w:line="245" w:lineRule="auto"/>
        <w:ind w:left="2" w:right="144"/>
        <w:rPr>
          <w:rFonts w:ascii="ArialMT" w:eastAsia="ArialMT" w:hAnsi="ArialMT"/>
          <w:color w:val="000000" w:themeColor="text1"/>
        </w:rPr>
      </w:pPr>
      <w:r>
        <w:rPr>
          <w:rFonts w:ascii="ArialMT" w:hAnsi="ArialMT"/>
          <w:color w:val="000000" w:themeColor="text1"/>
        </w:rPr>
        <w:lastRenderedPageBreak/>
        <w:t>La première version du système</w:t>
      </w:r>
      <w:r w:rsidR="00287E57">
        <w:rPr>
          <w:rFonts w:ascii="ArialMT" w:hAnsi="ArialMT"/>
          <w:color w:val="000000" w:themeColor="text1"/>
        </w:rPr>
        <w:t> :</w:t>
      </w:r>
      <w:r>
        <w:rPr>
          <w:rFonts w:ascii="ArialMT" w:hAnsi="ArialMT"/>
          <w:color w:val="000000" w:themeColor="text1"/>
        </w:rPr>
        <w:t xml:space="preserve"> a)</w:t>
      </w:r>
      <w:r w:rsidR="00273F99">
        <w:rPr>
          <w:rFonts w:ascii="ArialMT" w:hAnsi="ArialMT"/>
          <w:color w:val="000000" w:themeColor="text1"/>
        </w:rPr>
        <w:t> </w:t>
      </w:r>
      <w:r>
        <w:rPr>
          <w:rFonts w:ascii="ArialMT" w:hAnsi="ArialMT"/>
          <w:color w:val="000000" w:themeColor="text1"/>
        </w:rPr>
        <w:t>s</w:t>
      </w:r>
      <w:r w:rsidR="00287E57">
        <w:rPr>
          <w:rFonts w:ascii="ArialMT" w:hAnsi="ArialMT"/>
          <w:color w:val="000000" w:themeColor="text1"/>
        </w:rPr>
        <w:t>’</w:t>
      </w:r>
      <w:r>
        <w:rPr>
          <w:rFonts w:ascii="ArialMT" w:hAnsi="ArialMT"/>
          <w:color w:val="000000" w:themeColor="text1"/>
        </w:rPr>
        <w:t>inspire de bonnes pratiques et de méthodes internationales afin de concevoir une nouvelle méthode permettant d</w:t>
      </w:r>
      <w:r w:rsidR="00287E57">
        <w:rPr>
          <w:rFonts w:ascii="ArialMT" w:hAnsi="ArialMT"/>
          <w:color w:val="000000" w:themeColor="text1"/>
        </w:rPr>
        <w:t>’</w:t>
      </w:r>
      <w:r>
        <w:rPr>
          <w:rFonts w:ascii="ArialMT" w:hAnsi="ArialMT"/>
          <w:color w:val="000000" w:themeColor="text1"/>
        </w:rPr>
        <w:t>évaluer, de normaliser et d</w:t>
      </w:r>
      <w:r w:rsidR="00287E57">
        <w:rPr>
          <w:rFonts w:ascii="ArialMT" w:hAnsi="ArialMT"/>
          <w:color w:val="000000" w:themeColor="text1"/>
        </w:rPr>
        <w:t>’</w:t>
      </w:r>
      <w:r>
        <w:rPr>
          <w:rFonts w:ascii="ArialMT" w:hAnsi="ArialMT"/>
          <w:color w:val="000000" w:themeColor="text1"/>
        </w:rPr>
        <w:t>enrichir les données relatives à la propriété intellectuelle et à l</w:t>
      </w:r>
      <w:r w:rsidR="00287E57">
        <w:rPr>
          <w:rFonts w:ascii="ArialMT" w:hAnsi="ArialMT"/>
          <w:color w:val="000000" w:themeColor="text1"/>
        </w:rPr>
        <w:t>’</w:t>
      </w:r>
      <w:r>
        <w:rPr>
          <w:rFonts w:ascii="ArialMT" w:hAnsi="ArialMT"/>
          <w:color w:val="000000" w:themeColor="text1"/>
        </w:rPr>
        <w:t>innovation</w:t>
      </w:r>
      <w:r w:rsidR="00273F99">
        <w:rPr>
          <w:rFonts w:ascii="ArialMT" w:hAnsi="ArialMT"/>
          <w:color w:val="000000" w:themeColor="text1"/>
        </w:rPr>
        <w:t xml:space="preserve">; </w:t>
      </w:r>
      <w:r>
        <w:rPr>
          <w:rFonts w:ascii="ArialMT" w:hAnsi="ArialMT"/>
          <w:color w:val="000000" w:themeColor="text1"/>
        </w:rPr>
        <w:t xml:space="preserve"> et b)</w:t>
      </w:r>
      <w:r w:rsidR="00273F99">
        <w:rPr>
          <w:rFonts w:ascii="ArialMT" w:hAnsi="ArialMT"/>
          <w:color w:val="000000" w:themeColor="text1"/>
        </w:rPr>
        <w:t> </w:t>
      </w:r>
      <w:r>
        <w:rPr>
          <w:rFonts w:ascii="ArialMT" w:hAnsi="ArialMT"/>
          <w:color w:val="000000" w:themeColor="text1"/>
        </w:rPr>
        <w:t>crée de nouveaux indicateurs et ensembles de données relatifs à la propriété intellectuelle et à l</w:t>
      </w:r>
      <w:r w:rsidR="00287E57">
        <w:rPr>
          <w:rFonts w:ascii="ArialMT" w:hAnsi="ArialMT"/>
          <w:color w:val="000000" w:themeColor="text1"/>
        </w:rPr>
        <w:t>’</w:t>
      </w:r>
      <w:r>
        <w:rPr>
          <w:rFonts w:ascii="ArialMT" w:hAnsi="ArialMT"/>
          <w:color w:val="000000" w:themeColor="text1"/>
        </w:rPr>
        <w:t>innovation susceptibles d</w:t>
      </w:r>
      <w:r w:rsidR="00287E57">
        <w:rPr>
          <w:rFonts w:ascii="ArialMT" w:hAnsi="ArialMT"/>
          <w:color w:val="000000" w:themeColor="text1"/>
        </w:rPr>
        <w:t>’</w:t>
      </w:r>
      <w:r>
        <w:rPr>
          <w:rFonts w:ascii="ArialMT" w:hAnsi="ArialMT"/>
          <w:color w:val="000000" w:themeColor="text1"/>
        </w:rPr>
        <w:t>être utilisés dans des analyses économiques.  Dans le cadre de ce processus, des améliorations ont également été apportées à la conception méthodologique en incorporant des idées orientées vers l</w:t>
      </w:r>
      <w:r w:rsidR="00287E57">
        <w:rPr>
          <w:rFonts w:ascii="ArialMT" w:hAnsi="ArialMT"/>
          <w:color w:val="000000" w:themeColor="text1"/>
        </w:rPr>
        <w:t>’</w:t>
      </w:r>
      <w:r>
        <w:rPr>
          <w:rFonts w:ascii="ArialMT" w:hAnsi="ArialMT"/>
          <w:color w:val="000000" w:themeColor="text1"/>
        </w:rPr>
        <w:t>utilisateur obtenues lors de réunions techniques tenues avec les coordonnateurs des offices de propriété intellectuelle des pays pilotes participants et d</w:t>
      </w:r>
      <w:r w:rsidR="00287E57">
        <w:rPr>
          <w:rFonts w:ascii="ArialMT" w:hAnsi="ArialMT"/>
          <w:color w:val="000000" w:themeColor="text1"/>
        </w:rPr>
        <w:t>’</w:t>
      </w:r>
      <w:r>
        <w:rPr>
          <w:rFonts w:ascii="ArialMT" w:hAnsi="ArialMT"/>
          <w:color w:val="000000" w:themeColor="text1"/>
        </w:rPr>
        <w:t>autres experts.</w:t>
      </w:r>
    </w:p>
    <w:p w14:paraId="652D4461" w14:textId="5C769734" w:rsidR="00287E57" w:rsidRDefault="00550AC2" w:rsidP="00550AC2">
      <w:pPr>
        <w:autoSpaceDE w:val="0"/>
        <w:autoSpaceDN w:val="0"/>
        <w:spacing w:before="288" w:after="240" w:line="245" w:lineRule="auto"/>
        <w:ind w:right="144"/>
        <w:rPr>
          <w:rFonts w:ascii="ArialMT" w:hAnsi="ArialMT" w:hint="eastAsia"/>
          <w:color w:val="000000" w:themeColor="text1"/>
        </w:rPr>
      </w:pPr>
      <w:r>
        <w:rPr>
          <w:rFonts w:ascii="ArialMT" w:hAnsi="ArialMT"/>
          <w:color w:val="000000" w:themeColor="text1"/>
        </w:rPr>
        <w:t>La méthodologie qui en résulte et sa première mise en œuvre jettent les bases d</w:t>
      </w:r>
      <w:r w:rsidR="00287E57">
        <w:rPr>
          <w:rFonts w:ascii="ArialMT" w:hAnsi="ArialMT"/>
          <w:color w:val="000000" w:themeColor="text1"/>
        </w:rPr>
        <w:t>’</w:t>
      </w:r>
      <w:r>
        <w:rPr>
          <w:rFonts w:ascii="ArialMT" w:hAnsi="ArialMT"/>
          <w:color w:val="000000" w:themeColor="text1"/>
        </w:rPr>
        <w:t>une nouvelle version du système pour chaque pays pilo</w:t>
      </w:r>
      <w:r w:rsidR="007A14B4">
        <w:rPr>
          <w:rFonts w:ascii="ArialMT" w:hAnsi="ArialMT"/>
          <w:color w:val="000000" w:themeColor="text1"/>
        </w:rPr>
        <w:t>te.  Le</w:t>
      </w:r>
      <w:r>
        <w:rPr>
          <w:rFonts w:ascii="ArialMT" w:hAnsi="ArialMT"/>
          <w:color w:val="000000" w:themeColor="text1"/>
        </w:rPr>
        <w:t xml:space="preserve"> système comporte trois</w:t>
      </w:r>
      <w:r w:rsidR="00273F99">
        <w:rPr>
          <w:rFonts w:ascii="ArialMT" w:hAnsi="ArialMT"/>
          <w:color w:val="000000" w:themeColor="text1"/>
        </w:rPr>
        <w:t> </w:t>
      </w:r>
      <w:r>
        <w:rPr>
          <w:rFonts w:ascii="ArialMT" w:hAnsi="ArialMT"/>
          <w:color w:val="000000" w:themeColor="text1"/>
        </w:rPr>
        <w:t>sous</w:t>
      </w:r>
      <w:r w:rsidR="00667B95">
        <w:rPr>
          <w:rFonts w:ascii="ArialMT" w:hAnsi="ArialMT"/>
          <w:color w:val="000000" w:themeColor="text1"/>
        </w:rPr>
        <w:noBreakHyphen/>
      </w:r>
      <w:r>
        <w:rPr>
          <w:rFonts w:ascii="ArialMT" w:hAnsi="ArialMT"/>
          <w:color w:val="000000" w:themeColor="text1"/>
        </w:rPr>
        <w:t>éléments principaux</w:t>
      </w:r>
      <w:r w:rsidR="00287E57">
        <w:rPr>
          <w:rFonts w:ascii="ArialMT" w:hAnsi="ArialMT"/>
          <w:color w:val="000000" w:themeColor="text1"/>
        </w:rPr>
        <w:t> :</w:t>
      </w:r>
      <w:r>
        <w:rPr>
          <w:rFonts w:ascii="ArialMT" w:hAnsi="ArialMT"/>
          <w:color w:val="000000" w:themeColor="text1"/>
        </w:rPr>
        <w:t xml:space="preserve"> a)</w:t>
      </w:r>
      <w:r w:rsidR="00273F99">
        <w:rPr>
          <w:rFonts w:ascii="ArialMT" w:hAnsi="ArialMT"/>
          <w:color w:val="000000" w:themeColor="text1"/>
        </w:rPr>
        <w:t> </w:t>
      </w:r>
      <w:r>
        <w:rPr>
          <w:rFonts w:ascii="ArialMT" w:hAnsi="ArialMT"/>
          <w:color w:val="000000" w:themeColor="text1"/>
        </w:rPr>
        <w:t>l</w:t>
      </w:r>
      <w:r w:rsidR="00287E57">
        <w:rPr>
          <w:rFonts w:ascii="ArialMT" w:hAnsi="ArialMT"/>
          <w:color w:val="000000" w:themeColor="text1"/>
        </w:rPr>
        <w:t>’</w:t>
      </w:r>
      <w:r>
        <w:rPr>
          <w:rFonts w:ascii="ArialMT" w:hAnsi="ArialMT"/>
          <w:color w:val="000000" w:themeColor="text1"/>
        </w:rPr>
        <w:t>évaluation et la collecte des données</w:t>
      </w:r>
      <w:r w:rsidR="00273F99">
        <w:rPr>
          <w:rFonts w:ascii="ArialMT" w:hAnsi="ArialMT"/>
          <w:color w:val="000000" w:themeColor="text1"/>
        </w:rPr>
        <w:t xml:space="preserve">; </w:t>
      </w:r>
      <w:r>
        <w:rPr>
          <w:rFonts w:ascii="ArialMT" w:hAnsi="ArialMT"/>
          <w:color w:val="000000" w:themeColor="text1"/>
        </w:rPr>
        <w:t xml:space="preserve"> b)</w:t>
      </w:r>
      <w:r w:rsidR="00273F99">
        <w:rPr>
          <w:rFonts w:ascii="ArialMT" w:hAnsi="ArialMT"/>
          <w:color w:val="000000" w:themeColor="text1"/>
        </w:rPr>
        <w:t> </w:t>
      </w:r>
      <w:r>
        <w:rPr>
          <w:rFonts w:ascii="ArialMT" w:hAnsi="ArialMT"/>
          <w:color w:val="000000" w:themeColor="text1"/>
        </w:rPr>
        <w:t>l</w:t>
      </w:r>
      <w:r w:rsidR="00287E57">
        <w:rPr>
          <w:rFonts w:ascii="ArialMT" w:hAnsi="ArialMT"/>
          <w:color w:val="000000" w:themeColor="text1"/>
        </w:rPr>
        <w:t>’</w:t>
      </w:r>
      <w:r>
        <w:rPr>
          <w:rFonts w:ascii="ArialMT" w:hAnsi="ArialMT"/>
          <w:color w:val="000000" w:themeColor="text1"/>
        </w:rPr>
        <w:t>enrichissement des données et la consolidation de la base de données</w:t>
      </w:r>
      <w:r w:rsidR="00273F99">
        <w:rPr>
          <w:rFonts w:ascii="ArialMT" w:hAnsi="ArialMT"/>
          <w:color w:val="000000" w:themeColor="text1"/>
        </w:rPr>
        <w:t xml:space="preserve">; </w:t>
      </w:r>
      <w:r>
        <w:rPr>
          <w:rFonts w:ascii="ArialMT" w:hAnsi="ArialMT"/>
          <w:color w:val="000000" w:themeColor="text1"/>
        </w:rPr>
        <w:t xml:space="preserve"> et c)</w:t>
      </w:r>
      <w:r w:rsidR="00273F99">
        <w:rPr>
          <w:rFonts w:ascii="ArialMT" w:hAnsi="ArialMT"/>
          <w:color w:val="000000" w:themeColor="text1"/>
        </w:rPr>
        <w:t> </w:t>
      </w:r>
      <w:r>
        <w:rPr>
          <w:rFonts w:ascii="ArialMT" w:hAnsi="ArialMT"/>
          <w:color w:val="000000" w:themeColor="text1"/>
        </w:rPr>
        <w:t>les ressources pour l</w:t>
      </w:r>
      <w:r w:rsidR="00287E57">
        <w:rPr>
          <w:rFonts w:ascii="ArialMT" w:hAnsi="ArialMT"/>
          <w:color w:val="000000" w:themeColor="text1"/>
        </w:rPr>
        <w:t>’</w:t>
      </w:r>
      <w:r>
        <w:rPr>
          <w:rFonts w:ascii="ArialMT" w:hAnsi="ArialMT"/>
          <w:color w:val="000000" w:themeColor="text1"/>
        </w:rPr>
        <w:t>analyse économique.  Chaque sous</w:t>
      </w:r>
      <w:r w:rsidR="00667B95">
        <w:rPr>
          <w:rFonts w:ascii="ArialMT" w:hAnsi="ArialMT"/>
          <w:color w:val="000000" w:themeColor="text1"/>
        </w:rPr>
        <w:noBreakHyphen/>
      </w:r>
      <w:r>
        <w:rPr>
          <w:rFonts w:ascii="ArialMT" w:hAnsi="ArialMT"/>
          <w:color w:val="000000" w:themeColor="text1"/>
        </w:rPr>
        <w:t>élément repose sur des modules indépendants, qui remplissent une fonction nécessaire à la performance globale du système.  Ces sous</w:t>
      </w:r>
      <w:r w:rsidR="00667B95">
        <w:rPr>
          <w:rFonts w:ascii="ArialMT" w:hAnsi="ArialMT"/>
          <w:color w:val="000000" w:themeColor="text1"/>
        </w:rPr>
        <w:noBreakHyphen/>
      </w:r>
      <w:r>
        <w:rPr>
          <w:rFonts w:ascii="ArialMT" w:hAnsi="ArialMT"/>
          <w:color w:val="000000" w:themeColor="text1"/>
        </w:rPr>
        <w:t>éléments sont les suivants</w:t>
      </w:r>
      <w:r w:rsidR="00287E57">
        <w:rPr>
          <w:rFonts w:ascii="ArialMT" w:hAnsi="ArialMT"/>
          <w:color w:val="000000" w:themeColor="text1"/>
        </w:rPr>
        <w:t> :</w:t>
      </w:r>
      <w:r>
        <w:rPr>
          <w:rFonts w:ascii="ArialMT" w:hAnsi="ArialMT"/>
          <w:color w:val="000000" w:themeColor="text1"/>
        </w:rPr>
        <w:t xml:space="preserve"> </w:t>
      </w:r>
    </w:p>
    <w:p w14:paraId="28F1AAAC" w14:textId="7DEC16A2" w:rsidR="00550AC2" w:rsidRDefault="00550AC2" w:rsidP="00362055">
      <w:pPr>
        <w:pStyle w:val="Heading3"/>
        <w:numPr>
          <w:ilvl w:val="0"/>
          <w:numId w:val="9"/>
        </w:numPr>
        <w:ind w:left="1134" w:hanging="567"/>
      </w:pPr>
      <w:r>
        <w:t>Évaluation et collecte des données</w:t>
      </w:r>
    </w:p>
    <w:p w14:paraId="1D592198" w14:textId="53050A2E" w:rsidR="00287E57" w:rsidRDefault="00550AC2" w:rsidP="00550AC2">
      <w:pPr>
        <w:spacing w:before="288" w:line="245" w:lineRule="auto"/>
        <w:ind w:right="144"/>
        <w:rPr>
          <w:rFonts w:ascii="ArialMT" w:hAnsi="ArialMT" w:hint="eastAsia"/>
          <w:color w:val="000000" w:themeColor="text1"/>
        </w:rPr>
      </w:pPr>
      <w:r>
        <w:rPr>
          <w:rFonts w:ascii="ArialMT" w:hAnsi="ArialMT"/>
          <w:color w:val="000000" w:themeColor="text1"/>
        </w:rPr>
        <w:t>Le premier sous</w:t>
      </w:r>
      <w:r w:rsidR="00667B95">
        <w:rPr>
          <w:rFonts w:ascii="ArialMT" w:hAnsi="ArialMT"/>
          <w:color w:val="000000" w:themeColor="text1"/>
        </w:rPr>
        <w:noBreakHyphen/>
      </w:r>
      <w:r>
        <w:rPr>
          <w:rFonts w:ascii="ArialMT" w:hAnsi="ArialMT"/>
          <w:color w:val="000000" w:themeColor="text1"/>
        </w:rPr>
        <w:t>élément du système comprend les modules de préparation des données et de diagnostic.  Ces modules sont conçus pour rassembler et agréger les données provenant à la fois du pays partenaire et des campagnes de collecte de données international</w:t>
      </w:r>
      <w:r w:rsidR="007A14B4">
        <w:rPr>
          <w:rFonts w:ascii="ArialMT" w:hAnsi="ArialMT"/>
          <w:color w:val="000000" w:themeColor="text1"/>
        </w:rPr>
        <w:t>es.  La</w:t>
      </w:r>
      <w:r>
        <w:rPr>
          <w:rFonts w:ascii="ArialMT" w:hAnsi="ArialMT"/>
          <w:color w:val="000000" w:themeColor="text1"/>
        </w:rPr>
        <w:t xml:space="preserve"> première étape du développement des modules consiste à rassembler les données de propriété intellectuelle requises et à vérifier leur disponibilité en coordonnant plusieurs réunions techniques avec les coordonnateurs de I</w:t>
      </w:r>
      <w:r w:rsidR="00287E57">
        <w:rPr>
          <w:rFonts w:ascii="ArialMT" w:hAnsi="ArialMT"/>
          <w:color w:val="000000" w:themeColor="text1"/>
        </w:rPr>
        <w:t>’</w:t>
      </w:r>
      <w:r>
        <w:rPr>
          <w:rFonts w:ascii="ArialMT" w:hAnsi="ArialMT"/>
          <w:color w:val="000000" w:themeColor="text1"/>
        </w:rPr>
        <w:t>office de propriété intellectuelle.  Dans le cas d</w:t>
      </w:r>
      <w:r w:rsidR="00287E57">
        <w:rPr>
          <w:rFonts w:ascii="ArialMT" w:hAnsi="ArialMT"/>
          <w:color w:val="000000" w:themeColor="text1"/>
        </w:rPr>
        <w:t>’</w:t>
      </w:r>
      <w:r>
        <w:rPr>
          <w:rFonts w:ascii="ArialMT" w:hAnsi="ArialMT"/>
          <w:color w:val="000000" w:themeColor="text1"/>
        </w:rPr>
        <w:t>El</w:t>
      </w:r>
      <w:r w:rsidR="00273F99">
        <w:rPr>
          <w:rFonts w:ascii="ArialMT" w:hAnsi="ArialMT"/>
          <w:color w:val="000000" w:themeColor="text1"/>
        </w:rPr>
        <w:t> </w:t>
      </w:r>
      <w:r>
        <w:rPr>
          <w:rFonts w:ascii="ArialMT" w:hAnsi="ArialMT"/>
          <w:color w:val="000000" w:themeColor="text1"/>
        </w:rPr>
        <w:t>Salvador, la collaboration avec le Centre national des registres et d</w:t>
      </w:r>
      <w:r w:rsidR="00287E57">
        <w:rPr>
          <w:rFonts w:ascii="ArialMT" w:hAnsi="ArialMT"/>
          <w:color w:val="000000" w:themeColor="text1"/>
        </w:rPr>
        <w:t>’</w:t>
      </w:r>
      <w:r>
        <w:rPr>
          <w:rFonts w:ascii="ArialMT" w:hAnsi="ArialMT"/>
          <w:color w:val="000000" w:themeColor="text1"/>
        </w:rPr>
        <w:t>autres organismes publics a permis de collecter des quantités importantes de données, de ressources et d</w:t>
      </w:r>
      <w:r w:rsidR="00287E57">
        <w:rPr>
          <w:rFonts w:ascii="ArialMT" w:hAnsi="ArialMT"/>
          <w:color w:val="000000" w:themeColor="text1"/>
        </w:rPr>
        <w:t>’</w:t>
      </w:r>
      <w:r>
        <w:rPr>
          <w:rFonts w:ascii="ArialMT" w:hAnsi="ArialMT"/>
          <w:color w:val="000000" w:themeColor="text1"/>
        </w:rPr>
        <w:t>informations sur la propriété intellectuelle en vue d</w:t>
      </w:r>
      <w:r w:rsidR="00287E57">
        <w:rPr>
          <w:rFonts w:ascii="ArialMT" w:hAnsi="ArialMT"/>
          <w:color w:val="000000" w:themeColor="text1"/>
        </w:rPr>
        <w:t>’</w:t>
      </w:r>
      <w:r>
        <w:rPr>
          <w:rFonts w:ascii="ArialMT" w:hAnsi="ArialMT"/>
          <w:color w:val="000000" w:themeColor="text1"/>
        </w:rPr>
        <w:t>effectuer des analyses plus approfondies.  Par la suite, diverses techniques d</w:t>
      </w:r>
      <w:r w:rsidR="00287E57">
        <w:rPr>
          <w:rFonts w:ascii="ArialMT" w:hAnsi="ArialMT"/>
          <w:color w:val="000000" w:themeColor="text1"/>
        </w:rPr>
        <w:t>’</w:t>
      </w:r>
      <w:r>
        <w:rPr>
          <w:rFonts w:ascii="ArialMT" w:hAnsi="ArialMT"/>
          <w:color w:val="000000" w:themeColor="text1"/>
        </w:rPr>
        <w:t>ingénierie des données ont été appliquées pour normaliser les données.  Enfin, le processus comprend des évaluations rigoureuses de la qualité des données de propriété intellectuelle fournies par l</w:t>
      </w:r>
      <w:r w:rsidR="00287E57">
        <w:rPr>
          <w:rFonts w:ascii="ArialMT" w:hAnsi="ArialMT"/>
          <w:color w:val="000000" w:themeColor="text1"/>
        </w:rPr>
        <w:t>’</w:t>
      </w:r>
      <w:r>
        <w:rPr>
          <w:rFonts w:ascii="ArialMT" w:hAnsi="ArialMT"/>
          <w:color w:val="000000" w:themeColor="text1"/>
        </w:rPr>
        <w:t xml:space="preserve">office de propriété intellectuelle, </w:t>
      </w:r>
      <w:r w:rsidR="00287E57">
        <w:rPr>
          <w:rFonts w:ascii="ArialMT" w:hAnsi="ArialMT"/>
          <w:color w:val="000000" w:themeColor="text1"/>
        </w:rPr>
        <w:t>y compris</w:t>
      </w:r>
      <w:r>
        <w:rPr>
          <w:rFonts w:ascii="ArialMT" w:hAnsi="ArialMT"/>
          <w:color w:val="000000" w:themeColor="text1"/>
        </w:rPr>
        <w:t xml:space="preserve"> une comparaison avec les sources de données de propriété intellectuelle nationales et internationales existantes, afin de garantir l</w:t>
      </w:r>
      <w:r w:rsidR="00287E57">
        <w:rPr>
          <w:rFonts w:ascii="ArialMT" w:hAnsi="ArialMT"/>
          <w:color w:val="000000" w:themeColor="text1"/>
        </w:rPr>
        <w:t>’</w:t>
      </w:r>
      <w:r>
        <w:rPr>
          <w:rFonts w:ascii="ArialMT" w:hAnsi="ArialMT"/>
          <w:color w:val="000000" w:themeColor="text1"/>
        </w:rPr>
        <w:t>intégrité et la fiabilité des informations utilisées pour l</w:t>
      </w:r>
      <w:r w:rsidR="00287E57">
        <w:rPr>
          <w:rFonts w:ascii="ArialMT" w:hAnsi="ArialMT"/>
          <w:color w:val="000000" w:themeColor="text1"/>
        </w:rPr>
        <w:t>’</w:t>
      </w:r>
      <w:r>
        <w:rPr>
          <w:rFonts w:ascii="ArialMT" w:hAnsi="ArialMT"/>
          <w:color w:val="000000" w:themeColor="text1"/>
        </w:rPr>
        <w:t>analyse et l</w:t>
      </w:r>
      <w:r w:rsidR="00287E57">
        <w:rPr>
          <w:rFonts w:ascii="ArialMT" w:hAnsi="ArialMT"/>
          <w:color w:val="000000" w:themeColor="text1"/>
        </w:rPr>
        <w:t>’</w:t>
      </w:r>
      <w:r>
        <w:rPr>
          <w:rFonts w:ascii="ArialMT" w:hAnsi="ArialMT"/>
          <w:color w:val="000000" w:themeColor="text1"/>
        </w:rPr>
        <w:t xml:space="preserve">élaboration de la politique. </w:t>
      </w:r>
      <w:r w:rsidR="00273F99">
        <w:rPr>
          <w:rFonts w:ascii="ArialMT" w:hAnsi="ArialMT"/>
          <w:color w:val="000000" w:themeColor="text1"/>
        </w:rPr>
        <w:t xml:space="preserve"> </w:t>
      </w:r>
    </w:p>
    <w:p w14:paraId="29F78C51" w14:textId="26CD9CAA" w:rsidR="00287E57" w:rsidRDefault="00550AC2" w:rsidP="00550AC2">
      <w:pPr>
        <w:spacing w:before="288" w:line="245" w:lineRule="auto"/>
        <w:ind w:right="144"/>
        <w:rPr>
          <w:rFonts w:ascii="ArialMT" w:hAnsi="ArialMT" w:hint="eastAsia"/>
          <w:color w:val="000000" w:themeColor="text1"/>
        </w:rPr>
      </w:pPr>
      <w:r>
        <w:rPr>
          <w:rFonts w:ascii="ArialMT" w:hAnsi="ArialMT"/>
          <w:color w:val="000000" w:themeColor="text1"/>
        </w:rPr>
        <w:t>Les modules de préparation des données et de diagnostic qui en résultent permettent</w:t>
      </w:r>
      <w:r w:rsidR="00287E57">
        <w:rPr>
          <w:rFonts w:ascii="ArialMT" w:hAnsi="ArialMT"/>
          <w:color w:val="000000" w:themeColor="text1"/>
        </w:rPr>
        <w:t> :</w:t>
      </w:r>
      <w:r>
        <w:rPr>
          <w:rFonts w:ascii="ArialMT" w:hAnsi="ArialMT"/>
          <w:color w:val="000000" w:themeColor="text1"/>
        </w:rPr>
        <w:t xml:space="preserve"> i)</w:t>
      </w:r>
      <w:r w:rsidR="00273F99">
        <w:rPr>
          <w:rFonts w:ascii="ArialMT" w:hAnsi="ArialMT"/>
          <w:color w:val="000000" w:themeColor="text1"/>
        </w:rPr>
        <w:t> </w:t>
      </w:r>
      <w:r>
        <w:rPr>
          <w:rFonts w:ascii="ArialMT" w:hAnsi="ArialMT"/>
          <w:color w:val="000000" w:themeColor="text1"/>
        </w:rPr>
        <w:t>d</w:t>
      </w:r>
      <w:r w:rsidR="00287E57">
        <w:rPr>
          <w:rFonts w:ascii="ArialMT" w:hAnsi="ArialMT"/>
          <w:color w:val="000000" w:themeColor="text1"/>
        </w:rPr>
        <w:t>’</w:t>
      </w:r>
      <w:r>
        <w:rPr>
          <w:rFonts w:ascii="ArialMT" w:hAnsi="ArialMT"/>
          <w:color w:val="000000" w:themeColor="text1"/>
        </w:rPr>
        <w:t>appliquer des techniques de base de nettoyage et de normalisation à toutes les données de propriété intellectuelle collectées</w:t>
      </w:r>
      <w:r w:rsidR="00273F99">
        <w:rPr>
          <w:rFonts w:ascii="ArialMT" w:hAnsi="ArialMT"/>
          <w:color w:val="000000" w:themeColor="text1"/>
        </w:rPr>
        <w:t xml:space="preserve">; </w:t>
      </w:r>
      <w:r>
        <w:rPr>
          <w:rFonts w:ascii="ArialMT" w:hAnsi="ArialMT"/>
          <w:color w:val="000000" w:themeColor="text1"/>
        </w:rPr>
        <w:t xml:space="preserve"> et ii)</w:t>
      </w:r>
      <w:r w:rsidR="00273F99">
        <w:rPr>
          <w:rFonts w:ascii="ArialMT" w:hAnsi="ArialMT"/>
          <w:color w:val="000000" w:themeColor="text1"/>
        </w:rPr>
        <w:t> </w:t>
      </w:r>
      <w:r>
        <w:rPr>
          <w:rFonts w:ascii="ArialMT" w:hAnsi="ArialMT"/>
          <w:color w:val="000000" w:themeColor="text1"/>
        </w:rPr>
        <w:t>d</w:t>
      </w:r>
      <w:r w:rsidR="00287E57">
        <w:rPr>
          <w:rFonts w:ascii="ArialMT" w:hAnsi="ArialMT"/>
          <w:color w:val="000000" w:themeColor="text1"/>
        </w:rPr>
        <w:t>’</w:t>
      </w:r>
      <w:r>
        <w:rPr>
          <w:rFonts w:ascii="ArialMT" w:hAnsi="ArialMT"/>
          <w:color w:val="000000" w:themeColor="text1"/>
        </w:rPr>
        <w:t>effectuer des évaluations de la couverture et de la qualité des données disponibles dans le pays pilote.</w:t>
      </w:r>
    </w:p>
    <w:p w14:paraId="0E7FAB26" w14:textId="5B3F644C" w:rsidR="00550AC2" w:rsidRDefault="00550AC2" w:rsidP="00362055">
      <w:pPr>
        <w:pStyle w:val="Heading3"/>
        <w:numPr>
          <w:ilvl w:val="0"/>
          <w:numId w:val="9"/>
        </w:numPr>
        <w:ind w:left="1134" w:hanging="567"/>
      </w:pPr>
      <w:r>
        <w:t>Enrichissement des données et consolidation de la base de données</w:t>
      </w:r>
    </w:p>
    <w:p w14:paraId="518EC197" w14:textId="3ED59C01" w:rsidR="00287E57" w:rsidRDefault="00550AC2" w:rsidP="00550AC2">
      <w:pPr>
        <w:spacing w:before="288" w:line="245" w:lineRule="auto"/>
        <w:ind w:right="144"/>
        <w:rPr>
          <w:rFonts w:ascii="ArialMT" w:hAnsi="ArialMT" w:hint="eastAsia"/>
          <w:color w:val="000000" w:themeColor="text1"/>
        </w:rPr>
      </w:pPr>
      <w:r>
        <w:rPr>
          <w:rFonts w:ascii="ArialMT" w:hAnsi="ArialMT"/>
          <w:color w:val="000000" w:themeColor="text1"/>
        </w:rPr>
        <w:t>Le deuxième sous</w:t>
      </w:r>
      <w:r w:rsidR="00667B95">
        <w:rPr>
          <w:rFonts w:ascii="ArialMT" w:hAnsi="ArialMT"/>
          <w:color w:val="000000" w:themeColor="text1"/>
        </w:rPr>
        <w:noBreakHyphen/>
      </w:r>
      <w:r>
        <w:rPr>
          <w:rFonts w:ascii="ArialMT" w:hAnsi="ArialMT"/>
          <w:color w:val="000000" w:themeColor="text1"/>
        </w:rPr>
        <w:t>élément du système conçu comprend les modules d</w:t>
      </w:r>
      <w:r w:rsidR="00287E57">
        <w:rPr>
          <w:rFonts w:ascii="ArialMT" w:hAnsi="ArialMT"/>
          <w:color w:val="000000" w:themeColor="text1"/>
        </w:rPr>
        <w:t>’</w:t>
      </w:r>
      <w:r>
        <w:rPr>
          <w:rFonts w:ascii="ArialMT" w:hAnsi="ArialMT"/>
          <w:color w:val="000000" w:themeColor="text1"/>
        </w:rPr>
        <w:t>enrichissement des données.  La deuxième série de modules se concentre sur l</w:t>
      </w:r>
      <w:r w:rsidR="00287E57">
        <w:rPr>
          <w:rFonts w:ascii="ArialMT" w:hAnsi="ArialMT"/>
          <w:color w:val="000000" w:themeColor="text1"/>
        </w:rPr>
        <w:t>’</w:t>
      </w:r>
      <w:r>
        <w:rPr>
          <w:rFonts w:ascii="ArialMT" w:hAnsi="ArialMT"/>
          <w:color w:val="000000" w:themeColor="text1"/>
        </w:rPr>
        <w:t>ajout d</w:t>
      </w:r>
      <w:r w:rsidR="00287E57">
        <w:rPr>
          <w:rFonts w:ascii="ArialMT" w:hAnsi="ArialMT"/>
          <w:color w:val="000000" w:themeColor="text1"/>
        </w:rPr>
        <w:t>’</w:t>
      </w:r>
      <w:r>
        <w:rPr>
          <w:rFonts w:ascii="ArialMT" w:hAnsi="ArialMT"/>
          <w:color w:val="000000" w:themeColor="text1"/>
        </w:rPr>
        <w:t>informations aux données relatives à la propriété intellectuelle et à l</w:t>
      </w:r>
      <w:r w:rsidR="00287E57">
        <w:rPr>
          <w:rFonts w:ascii="ArialMT" w:hAnsi="ArialMT"/>
          <w:color w:val="000000" w:themeColor="text1"/>
        </w:rPr>
        <w:t>’</w:t>
      </w:r>
      <w:r>
        <w:rPr>
          <w:rFonts w:ascii="ArialMT" w:hAnsi="ArialMT"/>
          <w:color w:val="000000" w:themeColor="text1"/>
        </w:rPr>
        <w:t>innovation, nettoyées et mises en forme, fournies par les modules initiaux du système.  Des techniques perfectionnées sont appliquées, telles que le géocodage des adresses des entités (par exemple, déposants, inventeurs ou créateurs), la désambiguïsation et la classification des entités, l</w:t>
      </w:r>
      <w:r w:rsidR="00287E57">
        <w:rPr>
          <w:rFonts w:ascii="ArialMT" w:hAnsi="ArialMT"/>
          <w:color w:val="000000" w:themeColor="text1"/>
        </w:rPr>
        <w:t>’</w:t>
      </w:r>
      <w:r>
        <w:rPr>
          <w:rFonts w:ascii="ArialMT" w:hAnsi="ArialMT"/>
          <w:color w:val="000000" w:themeColor="text1"/>
        </w:rPr>
        <w:t>attribution du sexe, la classification des industries et des technologies, qui sont généralement utilisées dans l</w:t>
      </w:r>
      <w:r w:rsidR="00287E57">
        <w:rPr>
          <w:rFonts w:ascii="ArialMT" w:hAnsi="ArialMT"/>
          <w:color w:val="000000" w:themeColor="text1"/>
        </w:rPr>
        <w:t>’</w:t>
      </w:r>
      <w:r>
        <w:rPr>
          <w:rFonts w:ascii="ArialMT" w:hAnsi="ArialMT"/>
          <w:color w:val="000000" w:themeColor="text1"/>
        </w:rPr>
        <w:t>analyse des données relatives à la propriété intellectuelle et à l</w:t>
      </w:r>
      <w:r w:rsidR="00287E57">
        <w:rPr>
          <w:rFonts w:ascii="ArialMT" w:hAnsi="ArialMT"/>
          <w:color w:val="000000" w:themeColor="text1"/>
        </w:rPr>
        <w:t>’</w:t>
      </w:r>
      <w:r>
        <w:rPr>
          <w:rFonts w:ascii="ArialMT" w:hAnsi="ArialMT"/>
          <w:color w:val="000000" w:themeColor="text1"/>
        </w:rPr>
        <w:t>innovation.</w:t>
      </w:r>
    </w:p>
    <w:p w14:paraId="2A73D9E9" w14:textId="33BB25FB" w:rsidR="00287E57" w:rsidRDefault="00550AC2" w:rsidP="00550AC2">
      <w:pPr>
        <w:spacing w:before="288" w:line="245" w:lineRule="auto"/>
        <w:ind w:left="2" w:right="144"/>
        <w:rPr>
          <w:rFonts w:ascii="ArialMT" w:hAnsi="ArialMT" w:hint="eastAsia"/>
          <w:color w:val="000000" w:themeColor="text1"/>
        </w:rPr>
      </w:pPr>
      <w:r>
        <w:rPr>
          <w:rFonts w:ascii="ArialMT" w:hAnsi="ArialMT"/>
          <w:color w:val="000000" w:themeColor="text1"/>
        </w:rPr>
        <w:t>L</w:t>
      </w:r>
      <w:r w:rsidR="00287E57">
        <w:rPr>
          <w:rFonts w:ascii="ArialMT" w:hAnsi="ArialMT"/>
          <w:color w:val="000000" w:themeColor="text1"/>
        </w:rPr>
        <w:t>’</w:t>
      </w:r>
      <w:r>
        <w:rPr>
          <w:rFonts w:ascii="ArialMT" w:hAnsi="ArialMT"/>
          <w:color w:val="000000" w:themeColor="text1"/>
        </w:rPr>
        <w:t>enrichissement des données relatives à la propriété intellectuelle et à l</w:t>
      </w:r>
      <w:r w:rsidR="00287E57">
        <w:rPr>
          <w:rFonts w:ascii="ArialMT" w:hAnsi="ArialMT"/>
          <w:color w:val="000000" w:themeColor="text1"/>
        </w:rPr>
        <w:t>’</w:t>
      </w:r>
      <w:r>
        <w:rPr>
          <w:rFonts w:ascii="ArialMT" w:hAnsi="ArialMT"/>
          <w:color w:val="000000" w:themeColor="text1"/>
        </w:rPr>
        <w:t>innovation permet d</w:t>
      </w:r>
      <w:r w:rsidR="00287E57">
        <w:rPr>
          <w:rFonts w:ascii="ArialMT" w:hAnsi="ArialMT"/>
          <w:color w:val="000000" w:themeColor="text1"/>
        </w:rPr>
        <w:t>’</w:t>
      </w:r>
      <w:r>
        <w:rPr>
          <w:rFonts w:ascii="ArialMT" w:hAnsi="ArialMT"/>
          <w:color w:val="000000" w:themeColor="text1"/>
        </w:rPr>
        <w:t>accroître le potentiel d</w:t>
      </w:r>
      <w:r w:rsidR="00287E57">
        <w:rPr>
          <w:rFonts w:ascii="ArialMT" w:hAnsi="ArialMT"/>
          <w:color w:val="000000" w:themeColor="text1"/>
        </w:rPr>
        <w:t>’</w:t>
      </w:r>
      <w:r>
        <w:rPr>
          <w:rFonts w:ascii="ArialMT" w:hAnsi="ArialMT"/>
          <w:color w:val="000000" w:themeColor="text1"/>
        </w:rPr>
        <w:t>analyse des données sous</w:t>
      </w:r>
      <w:r w:rsidR="00667B95">
        <w:rPr>
          <w:rFonts w:ascii="ArialMT" w:hAnsi="ArialMT"/>
          <w:color w:val="000000" w:themeColor="text1"/>
        </w:rPr>
        <w:noBreakHyphen/>
      </w:r>
      <w:r>
        <w:rPr>
          <w:rFonts w:ascii="ArialMT" w:hAnsi="ArialMT"/>
          <w:color w:val="000000" w:themeColor="text1"/>
        </w:rPr>
        <w:t>jacentes.  En outre, les modules de ce sous</w:t>
      </w:r>
      <w:r w:rsidR="00667B95">
        <w:rPr>
          <w:rFonts w:ascii="ArialMT" w:hAnsi="ArialMT"/>
          <w:color w:val="000000" w:themeColor="text1"/>
        </w:rPr>
        <w:noBreakHyphen/>
      </w:r>
      <w:r>
        <w:rPr>
          <w:rFonts w:ascii="ArialMT" w:hAnsi="ArialMT"/>
          <w:color w:val="000000" w:themeColor="text1"/>
        </w:rPr>
        <w:t>élément consolident les données dans une base de données normalisée et enrichie, prête à être utilisée à des fins d</w:t>
      </w:r>
      <w:r w:rsidR="00287E57">
        <w:rPr>
          <w:rFonts w:ascii="ArialMT" w:hAnsi="ArialMT"/>
          <w:color w:val="000000" w:themeColor="text1"/>
        </w:rPr>
        <w:t>’</w:t>
      </w:r>
      <w:r>
        <w:rPr>
          <w:rFonts w:ascii="ArialMT" w:hAnsi="ArialMT"/>
          <w:color w:val="000000" w:themeColor="text1"/>
        </w:rPr>
        <w:t>analyse.  Ainsi, la base de données consolidée fournit aux analystes de données, aux économistes, aux statisticiens et à d</w:t>
      </w:r>
      <w:r w:rsidR="00287E57">
        <w:rPr>
          <w:rFonts w:ascii="ArialMT" w:hAnsi="ArialMT"/>
          <w:color w:val="000000" w:themeColor="text1"/>
        </w:rPr>
        <w:t>’</w:t>
      </w:r>
      <w:r>
        <w:rPr>
          <w:rFonts w:ascii="ArialMT" w:hAnsi="ArialMT"/>
          <w:color w:val="000000" w:themeColor="text1"/>
        </w:rPr>
        <w:t>autres utilisateurs de la propriété intellectuelle une source de données complète pour leurs activités d</w:t>
      </w:r>
      <w:r w:rsidR="00287E57">
        <w:rPr>
          <w:rFonts w:ascii="ArialMT" w:hAnsi="ArialMT"/>
          <w:color w:val="000000" w:themeColor="text1"/>
        </w:rPr>
        <w:t>’</w:t>
      </w:r>
      <w:r>
        <w:rPr>
          <w:rFonts w:ascii="ArialMT" w:hAnsi="ArialMT"/>
          <w:color w:val="000000" w:themeColor="text1"/>
        </w:rPr>
        <w:t>établissement de rapports et de recherche.</w:t>
      </w:r>
    </w:p>
    <w:p w14:paraId="197738EB" w14:textId="28E96D75" w:rsidR="00550AC2" w:rsidRDefault="00550AC2" w:rsidP="00362055">
      <w:pPr>
        <w:pStyle w:val="Heading3"/>
        <w:numPr>
          <w:ilvl w:val="0"/>
          <w:numId w:val="9"/>
        </w:numPr>
        <w:ind w:left="1134" w:hanging="567"/>
      </w:pPr>
      <w:r>
        <w:t>Ressources pour l</w:t>
      </w:r>
      <w:r w:rsidR="00287E57">
        <w:t>’</w:t>
      </w:r>
      <w:r>
        <w:t>analyse économique</w:t>
      </w:r>
    </w:p>
    <w:p w14:paraId="0DCF3E6E" w14:textId="5C510B3B" w:rsidR="00550AC2" w:rsidRDefault="00550AC2" w:rsidP="00550AC2">
      <w:pPr>
        <w:spacing w:before="288" w:line="245" w:lineRule="auto"/>
        <w:ind w:right="144"/>
        <w:rPr>
          <w:rFonts w:ascii="ArialMT" w:eastAsia="ArialMT" w:hAnsi="ArialMT"/>
          <w:color w:val="000000" w:themeColor="text1"/>
        </w:rPr>
      </w:pPr>
      <w:r>
        <w:rPr>
          <w:rFonts w:ascii="ArialMT" w:hAnsi="ArialMT"/>
          <w:color w:val="000000" w:themeColor="text1"/>
        </w:rPr>
        <w:t>Le troisième sous</w:t>
      </w:r>
      <w:r w:rsidR="00667B95">
        <w:rPr>
          <w:rFonts w:ascii="ArialMT" w:hAnsi="ArialMT"/>
          <w:color w:val="000000" w:themeColor="text1"/>
        </w:rPr>
        <w:noBreakHyphen/>
      </w:r>
      <w:r>
        <w:rPr>
          <w:rFonts w:ascii="ArialMT" w:hAnsi="ArialMT"/>
          <w:color w:val="000000" w:themeColor="text1"/>
        </w:rPr>
        <w:t>élément du système conçu comprend des modules de production de ressources pour l</w:t>
      </w:r>
      <w:r w:rsidR="00287E57">
        <w:rPr>
          <w:rFonts w:ascii="ArialMT" w:hAnsi="ArialMT"/>
          <w:color w:val="000000" w:themeColor="text1"/>
        </w:rPr>
        <w:t>’</w:t>
      </w:r>
      <w:r>
        <w:rPr>
          <w:rFonts w:ascii="ArialMT" w:hAnsi="ArialMT"/>
          <w:color w:val="000000" w:themeColor="text1"/>
        </w:rPr>
        <w:t>analyse économique.  Ces modules produisent des indicateurs thématiques, des tableaux et des figures portant sur plusieurs aspects de l</w:t>
      </w:r>
      <w:r w:rsidR="00287E57">
        <w:rPr>
          <w:rFonts w:ascii="ArialMT" w:hAnsi="ArialMT"/>
          <w:color w:val="000000" w:themeColor="text1"/>
        </w:rPr>
        <w:t>’</w:t>
      </w:r>
      <w:r>
        <w:rPr>
          <w:rFonts w:ascii="ArialMT" w:hAnsi="ArialMT"/>
          <w:color w:val="000000" w:themeColor="text1"/>
        </w:rPr>
        <w:t>écosystème de l</w:t>
      </w:r>
      <w:r w:rsidR="00287E57">
        <w:rPr>
          <w:rFonts w:ascii="ArialMT" w:hAnsi="ArialMT"/>
          <w:color w:val="000000" w:themeColor="text1"/>
        </w:rPr>
        <w:t>’</w:t>
      </w:r>
      <w:r>
        <w:rPr>
          <w:rFonts w:ascii="ArialMT" w:hAnsi="ArialMT"/>
          <w:color w:val="000000" w:themeColor="text1"/>
        </w:rPr>
        <w:t>innovation et de son utilisation dans le domaine de la propriété intellectuelle.  Les thèmes couvrent des aspects habituels, tels que l</w:t>
      </w:r>
      <w:r w:rsidR="00287E57">
        <w:rPr>
          <w:rFonts w:ascii="ArialMT" w:hAnsi="ArialMT"/>
          <w:color w:val="000000" w:themeColor="text1"/>
        </w:rPr>
        <w:t>’</w:t>
      </w:r>
      <w:r>
        <w:rPr>
          <w:rFonts w:ascii="ArialMT" w:hAnsi="ArialMT"/>
          <w:color w:val="000000" w:themeColor="text1"/>
        </w:rPr>
        <w:t>utilisation de la propriété intellectuelle dans l</w:t>
      </w:r>
      <w:r w:rsidR="00287E57">
        <w:rPr>
          <w:rFonts w:ascii="ArialMT" w:hAnsi="ArialMT"/>
          <w:color w:val="000000" w:themeColor="text1"/>
        </w:rPr>
        <w:t>’</w:t>
      </w:r>
      <w:r>
        <w:rPr>
          <w:rFonts w:ascii="ArialMT" w:hAnsi="ArialMT"/>
          <w:color w:val="000000" w:themeColor="text1"/>
        </w:rPr>
        <w:t>environnement économique d</w:t>
      </w:r>
      <w:r w:rsidR="00287E57">
        <w:rPr>
          <w:rFonts w:ascii="ArialMT" w:hAnsi="ArialMT"/>
          <w:color w:val="000000" w:themeColor="text1"/>
        </w:rPr>
        <w:t>’</w:t>
      </w:r>
      <w:r>
        <w:rPr>
          <w:rFonts w:ascii="ArialMT" w:hAnsi="ArialMT"/>
          <w:color w:val="000000" w:themeColor="text1"/>
        </w:rPr>
        <w:t>El</w:t>
      </w:r>
      <w:r w:rsidR="00273F99">
        <w:rPr>
          <w:rFonts w:ascii="ArialMT" w:hAnsi="ArialMT"/>
          <w:color w:val="000000" w:themeColor="text1"/>
        </w:rPr>
        <w:t> </w:t>
      </w:r>
      <w:r>
        <w:rPr>
          <w:rFonts w:ascii="ArialMT" w:hAnsi="ArialMT"/>
          <w:color w:val="000000" w:themeColor="text1"/>
        </w:rPr>
        <w:t>Salvador (national et mondial), et des aspects plus pointus, tels que les capacités d</w:t>
      </w:r>
      <w:r w:rsidR="00287E57">
        <w:rPr>
          <w:rFonts w:ascii="ArialMT" w:hAnsi="ArialMT"/>
          <w:color w:val="000000" w:themeColor="text1"/>
        </w:rPr>
        <w:t>’</w:t>
      </w:r>
      <w:r>
        <w:rPr>
          <w:rFonts w:ascii="ArialMT" w:hAnsi="ArialMT"/>
          <w:color w:val="000000" w:themeColor="text1"/>
        </w:rPr>
        <w:t>innovation, l</w:t>
      </w:r>
      <w:r w:rsidR="00287E57">
        <w:rPr>
          <w:rFonts w:ascii="ArialMT" w:hAnsi="ArialMT"/>
          <w:color w:val="000000" w:themeColor="text1"/>
        </w:rPr>
        <w:t>’</w:t>
      </w:r>
      <w:r>
        <w:rPr>
          <w:rFonts w:ascii="ArialMT" w:hAnsi="ArialMT"/>
          <w:color w:val="000000" w:themeColor="text1"/>
        </w:rPr>
        <w:t>écart entre les sexes, la géographie de l</w:t>
      </w:r>
      <w:r w:rsidR="00287E57">
        <w:rPr>
          <w:rFonts w:ascii="ArialMT" w:hAnsi="ArialMT"/>
          <w:color w:val="000000" w:themeColor="text1"/>
        </w:rPr>
        <w:t>’</w:t>
      </w:r>
      <w:r>
        <w:rPr>
          <w:rFonts w:ascii="ArialMT" w:hAnsi="ArialMT"/>
          <w:color w:val="000000" w:themeColor="text1"/>
        </w:rPr>
        <w:t>innovation ou la complexité de l</w:t>
      </w:r>
      <w:r w:rsidR="00287E57">
        <w:rPr>
          <w:rFonts w:ascii="ArialMT" w:hAnsi="ArialMT"/>
          <w:color w:val="000000" w:themeColor="text1"/>
        </w:rPr>
        <w:t>’</w:t>
      </w:r>
      <w:r>
        <w:rPr>
          <w:rFonts w:ascii="ArialMT" w:hAnsi="ArialMT"/>
          <w:color w:val="000000" w:themeColor="text1"/>
        </w:rPr>
        <w:t>innovation.  Les indicateurs sont présentés sous la forme de différents types de représentations visuelles destinées à fournir des informations essentielles aux analystes, aux économistes et aux décideurs.</w:t>
      </w:r>
    </w:p>
    <w:p w14:paraId="6496D6B4" w14:textId="0DE2876B" w:rsidR="00550AC2" w:rsidRPr="00362055" w:rsidRDefault="00550AC2" w:rsidP="00362055">
      <w:pPr>
        <w:spacing w:before="288" w:line="245" w:lineRule="auto"/>
        <w:ind w:left="2" w:right="144"/>
        <w:rPr>
          <w:rFonts w:ascii="ArialMT" w:eastAsia="ArialMT" w:hAnsi="ArialMT"/>
          <w:color w:val="000000" w:themeColor="text1"/>
        </w:rPr>
      </w:pPr>
      <w:r>
        <w:rPr>
          <w:rFonts w:ascii="ArialMT" w:hAnsi="ArialMT"/>
          <w:color w:val="000000" w:themeColor="text1"/>
        </w:rPr>
        <w:t>Les résultats de chaque aspect thématique seront communiqués aux homologues du pays pilote et une formation sera dispensée à cet éga</w:t>
      </w:r>
      <w:r w:rsidR="007A14B4">
        <w:rPr>
          <w:rFonts w:ascii="ArialMT" w:hAnsi="ArialMT"/>
          <w:color w:val="000000" w:themeColor="text1"/>
        </w:rPr>
        <w:t>rd.  Ce</w:t>
      </w:r>
      <w:r>
        <w:rPr>
          <w:rFonts w:ascii="ArialMT" w:hAnsi="ArialMT"/>
          <w:color w:val="000000" w:themeColor="text1"/>
        </w:rPr>
        <w:t>rtains de ces résultats seront utilisés dans le cadre d</w:t>
      </w:r>
      <w:r w:rsidR="00287E57">
        <w:rPr>
          <w:rFonts w:ascii="ArialMT" w:hAnsi="ArialMT"/>
          <w:color w:val="000000" w:themeColor="text1"/>
        </w:rPr>
        <w:t>’</w:t>
      </w:r>
      <w:r>
        <w:rPr>
          <w:rFonts w:ascii="ArialMT" w:hAnsi="ArialMT"/>
          <w:color w:val="000000" w:themeColor="text1"/>
        </w:rPr>
        <w:t>une étude économique qui sera présentée lors des sessions de formation.  La stratégie de formation et l</w:t>
      </w:r>
      <w:r w:rsidR="00287E57">
        <w:rPr>
          <w:rFonts w:ascii="ArialMT" w:hAnsi="ArialMT"/>
          <w:color w:val="000000" w:themeColor="text1"/>
        </w:rPr>
        <w:t>’</w:t>
      </w:r>
      <w:r>
        <w:rPr>
          <w:rFonts w:ascii="ArialMT" w:hAnsi="ArialMT"/>
          <w:color w:val="000000" w:themeColor="text1"/>
        </w:rPr>
        <w:t>étude sont décrites plus en détail dans la section suivante.</w:t>
      </w:r>
    </w:p>
    <w:p w14:paraId="09B795E1" w14:textId="77777777" w:rsidR="00550AC2" w:rsidRPr="0017301A" w:rsidRDefault="00550AC2" w:rsidP="00362055">
      <w:pPr>
        <w:pStyle w:val="Heading2"/>
        <w:keepLines/>
        <w:numPr>
          <w:ilvl w:val="0"/>
          <w:numId w:val="7"/>
        </w:numPr>
        <w:spacing w:before="200" w:after="240" w:line="276" w:lineRule="auto"/>
        <w:ind w:left="1134" w:hanging="567"/>
        <w:rPr>
          <w:szCs w:val="22"/>
        </w:rPr>
      </w:pPr>
      <w:r>
        <w:t>STRATÉGIE DE DIFFUSION</w:t>
      </w:r>
    </w:p>
    <w:p w14:paraId="62FD8E16" w14:textId="3C274DD3" w:rsidR="00550AC2" w:rsidRPr="00233410" w:rsidRDefault="00550AC2" w:rsidP="00550AC2">
      <w:pPr>
        <w:spacing w:before="288" w:line="245" w:lineRule="auto"/>
        <w:ind w:right="144"/>
        <w:rPr>
          <w:rFonts w:ascii="ArialMT" w:eastAsia="ArialMT" w:hAnsi="ArialMT"/>
          <w:color w:val="000000" w:themeColor="text1"/>
        </w:rPr>
      </w:pPr>
      <w:r>
        <w:rPr>
          <w:rFonts w:ascii="ArialMT" w:hAnsi="ArialMT"/>
          <w:color w:val="000000" w:themeColor="text1"/>
        </w:rPr>
        <w:t>La méthode et les résultats du projet seront diffusés par plusieurs canaux</w:t>
      </w:r>
      <w:r w:rsidR="00287E57">
        <w:rPr>
          <w:rFonts w:ascii="ArialMT" w:hAnsi="ArialMT"/>
          <w:color w:val="000000" w:themeColor="text1"/>
        </w:rPr>
        <w:t> :</w:t>
      </w:r>
    </w:p>
    <w:p w14:paraId="3440C86C" w14:textId="3288E1E0" w:rsidR="00550AC2" w:rsidRDefault="00550AC2" w:rsidP="00362055">
      <w:pPr>
        <w:pStyle w:val="ListParagraph"/>
        <w:numPr>
          <w:ilvl w:val="0"/>
          <w:numId w:val="10"/>
        </w:numPr>
        <w:spacing w:before="288" w:line="245" w:lineRule="auto"/>
        <w:ind w:left="1134" w:right="144" w:hanging="567"/>
        <w:rPr>
          <w:rFonts w:ascii="ArialMT" w:eastAsia="ArialMT" w:hAnsi="ArialMT"/>
          <w:color w:val="000000" w:themeColor="text1"/>
        </w:rPr>
      </w:pPr>
      <w:r>
        <w:rPr>
          <w:rFonts w:ascii="ArialMT" w:hAnsi="ArialMT"/>
          <w:color w:val="000000" w:themeColor="text1"/>
        </w:rPr>
        <w:t>tous les codes produits pour les trois</w:t>
      </w:r>
      <w:r w:rsidR="00273F99">
        <w:rPr>
          <w:rFonts w:ascii="ArialMT" w:hAnsi="ArialMT"/>
          <w:color w:val="000000" w:themeColor="text1"/>
        </w:rPr>
        <w:t> </w:t>
      </w:r>
      <w:r>
        <w:rPr>
          <w:rFonts w:ascii="ArialMT" w:hAnsi="ArialMT"/>
          <w:color w:val="000000" w:themeColor="text1"/>
        </w:rPr>
        <w:t>sous</w:t>
      </w:r>
      <w:r w:rsidR="00667B95">
        <w:rPr>
          <w:rFonts w:ascii="ArialMT" w:hAnsi="ArialMT"/>
          <w:color w:val="000000" w:themeColor="text1"/>
        </w:rPr>
        <w:noBreakHyphen/>
      </w:r>
      <w:r>
        <w:rPr>
          <w:rFonts w:ascii="ArialMT" w:hAnsi="ArialMT"/>
          <w:color w:val="000000" w:themeColor="text1"/>
        </w:rPr>
        <w:t>éléments constituant les modules seront publiés dans des formats reproductibles au moyen de scripts dans des logiciels libres (par exemple SQL et Python) et des plateformes collaboratives, telles que GitHub;</w:t>
      </w:r>
    </w:p>
    <w:p w14:paraId="34559653" w14:textId="64D40100" w:rsidR="00550AC2" w:rsidRDefault="00550AC2" w:rsidP="00362055">
      <w:pPr>
        <w:pStyle w:val="ListParagraph"/>
        <w:numPr>
          <w:ilvl w:val="0"/>
          <w:numId w:val="10"/>
        </w:numPr>
        <w:spacing w:before="288" w:line="245" w:lineRule="auto"/>
        <w:ind w:left="1134" w:right="144" w:hanging="567"/>
        <w:rPr>
          <w:rFonts w:ascii="ArialMT" w:eastAsia="ArialMT" w:hAnsi="ArialMT"/>
          <w:color w:val="000000" w:themeColor="text1"/>
        </w:rPr>
      </w:pPr>
      <w:r>
        <w:rPr>
          <w:rFonts w:ascii="ArialMT" w:hAnsi="ArialMT"/>
          <w:color w:val="000000" w:themeColor="text1"/>
        </w:rPr>
        <w:t>des exemples interactifs de la manière d</w:t>
      </w:r>
      <w:r w:rsidR="00287E57">
        <w:rPr>
          <w:rFonts w:ascii="ArialMT" w:hAnsi="ArialMT"/>
          <w:color w:val="000000" w:themeColor="text1"/>
        </w:rPr>
        <w:t>’</w:t>
      </w:r>
      <w:r>
        <w:rPr>
          <w:rFonts w:ascii="ArialMT" w:hAnsi="ArialMT"/>
          <w:color w:val="000000" w:themeColor="text1"/>
        </w:rPr>
        <w:t>utiliser les différents modules et de produire des indicateurs thématiques, des tableaux et des figures seront fournis sous différentes formes (par exemple, des carnets Jupyter et des tableaux de bord interactifs)</w:t>
      </w:r>
      <w:r w:rsidR="00273F99">
        <w:rPr>
          <w:rFonts w:ascii="ArialMT" w:hAnsi="ArialMT"/>
          <w:color w:val="000000" w:themeColor="text1"/>
        </w:rPr>
        <w:t xml:space="preserve">; </w:t>
      </w:r>
      <w:r>
        <w:rPr>
          <w:rFonts w:ascii="ArialMT" w:hAnsi="ArialMT"/>
          <w:color w:val="000000" w:themeColor="text1"/>
        </w:rPr>
        <w:t xml:space="preserve"> et</w:t>
      </w:r>
    </w:p>
    <w:p w14:paraId="5274C5BE" w14:textId="343744DA" w:rsidR="00550AC2" w:rsidRPr="001E5B60" w:rsidRDefault="00550AC2" w:rsidP="00362055">
      <w:pPr>
        <w:pStyle w:val="ListParagraph"/>
        <w:numPr>
          <w:ilvl w:val="0"/>
          <w:numId w:val="10"/>
        </w:numPr>
        <w:spacing w:before="288" w:line="245" w:lineRule="auto"/>
        <w:ind w:left="1134" w:right="144" w:hanging="567"/>
        <w:rPr>
          <w:rFonts w:ascii="ArialMT" w:eastAsia="ArialMT" w:hAnsi="ArialMT"/>
          <w:color w:val="000000" w:themeColor="text1"/>
        </w:rPr>
      </w:pPr>
      <w:r>
        <w:rPr>
          <w:rFonts w:ascii="ArialMT" w:hAnsi="ArialMT"/>
          <w:color w:val="000000" w:themeColor="text1"/>
        </w:rPr>
        <w:t>tous les modules et produits seront diffusés plus largement dans le cadre d</w:t>
      </w:r>
      <w:r w:rsidR="00287E57">
        <w:rPr>
          <w:rFonts w:ascii="ArialMT" w:hAnsi="ArialMT"/>
          <w:color w:val="000000" w:themeColor="text1"/>
        </w:rPr>
        <w:t>’</w:t>
      </w:r>
      <w:r>
        <w:rPr>
          <w:rFonts w:ascii="ArialMT" w:hAnsi="ArialMT"/>
          <w:color w:val="000000" w:themeColor="text1"/>
        </w:rPr>
        <w:t>ateliers de formation technique adaptés à divers groupes d</w:t>
      </w:r>
      <w:r w:rsidR="00287E57">
        <w:rPr>
          <w:rFonts w:ascii="ArialMT" w:hAnsi="ArialMT"/>
          <w:color w:val="000000" w:themeColor="text1"/>
        </w:rPr>
        <w:t>’</w:t>
      </w:r>
      <w:r>
        <w:rPr>
          <w:rFonts w:ascii="ArialMT" w:hAnsi="ArialMT"/>
          <w:color w:val="000000" w:themeColor="text1"/>
        </w:rPr>
        <w:t>utilisateurs dans l</w:t>
      </w:r>
      <w:r w:rsidR="00287E57">
        <w:rPr>
          <w:rFonts w:ascii="ArialMT" w:hAnsi="ArialMT"/>
          <w:color w:val="000000" w:themeColor="text1"/>
        </w:rPr>
        <w:t>’</w:t>
      </w:r>
      <w:r>
        <w:rPr>
          <w:rFonts w:ascii="ArialMT" w:hAnsi="ArialMT"/>
          <w:color w:val="000000" w:themeColor="text1"/>
        </w:rPr>
        <w:t>ensemble de l</w:t>
      </w:r>
      <w:r w:rsidR="00287E57">
        <w:rPr>
          <w:rFonts w:ascii="ArialMT" w:hAnsi="ArialMT"/>
          <w:color w:val="000000" w:themeColor="text1"/>
        </w:rPr>
        <w:t>’</w:t>
      </w:r>
      <w:r>
        <w:rPr>
          <w:rFonts w:ascii="ArialMT" w:hAnsi="ArialMT"/>
          <w:color w:val="000000" w:themeColor="text1"/>
        </w:rPr>
        <w:t>office de propriété intellectuelle participant et d</w:t>
      </w:r>
      <w:r w:rsidR="00287E57">
        <w:rPr>
          <w:rFonts w:ascii="ArialMT" w:hAnsi="ArialMT"/>
          <w:color w:val="000000" w:themeColor="text1"/>
        </w:rPr>
        <w:t>’</w:t>
      </w:r>
      <w:r>
        <w:rPr>
          <w:rFonts w:ascii="ArialMT" w:hAnsi="ArialMT"/>
          <w:color w:val="000000" w:themeColor="text1"/>
        </w:rPr>
        <w:t>autres organismes publics.  Ces formations visent à renforcer les capacités humaines, à favoriser la collaboration et à optimiser les retombées du projet sur les différents groupes de parties prenantes.</w:t>
      </w:r>
    </w:p>
    <w:p w14:paraId="55154338" w14:textId="47592F98" w:rsidR="00287E57" w:rsidRDefault="00550AC2" w:rsidP="00550AC2">
      <w:pPr>
        <w:spacing w:before="288" w:line="245" w:lineRule="auto"/>
        <w:ind w:right="144"/>
        <w:rPr>
          <w:rFonts w:ascii="ArialMT" w:hAnsi="ArialMT" w:hint="eastAsia"/>
          <w:color w:val="000000" w:themeColor="text1"/>
        </w:rPr>
      </w:pPr>
      <w:r>
        <w:rPr>
          <w:rFonts w:ascii="ArialMT" w:hAnsi="ArialMT"/>
          <w:color w:val="000000" w:themeColor="text1"/>
        </w:rPr>
        <w:t>Un ensemble de supports de formation sera produit pour fournir aux utilisateurs ciblés les compétences et les connaissances nécessaires pour qu</w:t>
      </w:r>
      <w:r w:rsidR="00287E57">
        <w:rPr>
          <w:rFonts w:ascii="ArialMT" w:hAnsi="ArialMT"/>
          <w:color w:val="000000" w:themeColor="text1"/>
        </w:rPr>
        <w:t>’</w:t>
      </w:r>
      <w:r>
        <w:rPr>
          <w:rFonts w:ascii="ArialMT" w:hAnsi="ArialMT"/>
          <w:color w:val="000000" w:themeColor="text1"/>
        </w:rPr>
        <w:t>ils puissent s</w:t>
      </w:r>
      <w:r w:rsidR="00287E57">
        <w:rPr>
          <w:rFonts w:ascii="ArialMT" w:hAnsi="ArialMT"/>
          <w:color w:val="000000" w:themeColor="text1"/>
        </w:rPr>
        <w:t>’</w:t>
      </w:r>
      <w:r>
        <w:rPr>
          <w:rFonts w:ascii="ArialMT" w:hAnsi="ArialMT"/>
          <w:color w:val="000000" w:themeColor="text1"/>
        </w:rPr>
        <w:t>approprier les résultats du systè</w:t>
      </w:r>
      <w:r w:rsidR="007A14B4">
        <w:rPr>
          <w:rFonts w:ascii="ArialMT" w:hAnsi="ArialMT"/>
          <w:color w:val="000000" w:themeColor="text1"/>
        </w:rPr>
        <w:t>me.  Tr</w:t>
      </w:r>
      <w:r>
        <w:rPr>
          <w:rFonts w:ascii="ArialMT" w:hAnsi="ArialMT"/>
          <w:color w:val="000000" w:themeColor="text1"/>
        </w:rPr>
        <w:t>ois</w:t>
      </w:r>
      <w:r w:rsidR="00273F99">
        <w:rPr>
          <w:rFonts w:ascii="ArialMT" w:hAnsi="ArialMT"/>
          <w:color w:val="000000" w:themeColor="text1"/>
        </w:rPr>
        <w:t> </w:t>
      </w:r>
      <w:r>
        <w:rPr>
          <w:rFonts w:ascii="ArialMT" w:hAnsi="ArialMT"/>
          <w:color w:val="000000" w:themeColor="text1"/>
        </w:rPr>
        <w:t>groupes d</w:t>
      </w:r>
      <w:r w:rsidR="00287E57">
        <w:rPr>
          <w:rFonts w:ascii="ArialMT" w:hAnsi="ArialMT"/>
          <w:color w:val="000000" w:themeColor="text1"/>
        </w:rPr>
        <w:t>’</w:t>
      </w:r>
      <w:r>
        <w:rPr>
          <w:rFonts w:ascii="ArialMT" w:hAnsi="ArialMT"/>
          <w:color w:val="000000" w:themeColor="text1"/>
        </w:rPr>
        <w:t>utilisateurs cibles seront pris en considération</w:t>
      </w:r>
      <w:r w:rsidR="00287E57">
        <w:rPr>
          <w:rFonts w:ascii="ArialMT" w:hAnsi="ArialMT"/>
          <w:color w:val="000000" w:themeColor="text1"/>
        </w:rPr>
        <w:t> :</w:t>
      </w:r>
    </w:p>
    <w:p w14:paraId="34C35F37" w14:textId="66352653" w:rsidR="00287E57" w:rsidRDefault="00550AC2" w:rsidP="00362055">
      <w:pPr>
        <w:pStyle w:val="ListParagraph"/>
        <w:numPr>
          <w:ilvl w:val="0"/>
          <w:numId w:val="11"/>
        </w:numPr>
        <w:spacing w:before="288" w:line="245" w:lineRule="auto"/>
        <w:ind w:left="1134" w:right="144" w:hanging="567"/>
        <w:rPr>
          <w:rFonts w:ascii="ArialMT" w:hAnsi="ArialMT"/>
          <w:color w:val="000000" w:themeColor="text1"/>
        </w:rPr>
      </w:pPr>
      <w:r>
        <w:rPr>
          <w:rFonts w:ascii="ArialMT" w:hAnsi="ArialMT"/>
          <w:color w:val="000000" w:themeColor="text1"/>
        </w:rPr>
        <w:t>les décideurs, qui bénéficieront d</w:t>
      </w:r>
      <w:r w:rsidR="00287E57">
        <w:rPr>
          <w:rFonts w:ascii="ArialMT" w:hAnsi="ArialMT"/>
          <w:color w:val="000000" w:themeColor="text1"/>
        </w:rPr>
        <w:t>’</w:t>
      </w:r>
      <w:r>
        <w:rPr>
          <w:rFonts w:ascii="ArialMT" w:hAnsi="ArialMT"/>
          <w:color w:val="000000" w:themeColor="text1"/>
        </w:rPr>
        <w:t>une formation sur la manière d</w:t>
      </w:r>
      <w:r w:rsidR="00287E57">
        <w:rPr>
          <w:rFonts w:ascii="ArialMT" w:hAnsi="ArialMT"/>
          <w:color w:val="000000" w:themeColor="text1"/>
        </w:rPr>
        <w:t>’</w:t>
      </w:r>
      <w:r>
        <w:rPr>
          <w:rFonts w:ascii="ArialMT" w:hAnsi="ArialMT"/>
          <w:color w:val="000000" w:themeColor="text1"/>
        </w:rPr>
        <w:t>interpréter les indicateurs de propriété intellectuelle et d</w:t>
      </w:r>
      <w:r w:rsidR="00287E57">
        <w:rPr>
          <w:rFonts w:ascii="ArialMT" w:hAnsi="ArialMT"/>
          <w:color w:val="000000" w:themeColor="text1"/>
        </w:rPr>
        <w:t>’</w:t>
      </w:r>
      <w:r>
        <w:rPr>
          <w:rFonts w:ascii="ArialMT" w:hAnsi="ArialMT"/>
          <w:color w:val="000000" w:themeColor="text1"/>
        </w:rPr>
        <w:t>innovation produits par les modules analytiques, ce qui leur permettra de prendre des décisions éclairées et de formuler des politiques efficaces à partir des résultats du système.</w:t>
      </w:r>
    </w:p>
    <w:p w14:paraId="0A1C2D7B" w14:textId="482CBD9D" w:rsidR="00550AC2" w:rsidRDefault="00550AC2" w:rsidP="00362055">
      <w:pPr>
        <w:pStyle w:val="ListParagraph"/>
        <w:numPr>
          <w:ilvl w:val="0"/>
          <w:numId w:val="11"/>
        </w:numPr>
        <w:spacing w:before="288" w:line="245" w:lineRule="auto"/>
        <w:ind w:left="1134" w:right="144" w:hanging="567"/>
        <w:rPr>
          <w:rFonts w:ascii="ArialMT" w:eastAsia="ArialMT" w:hAnsi="ArialMT"/>
          <w:color w:val="000000" w:themeColor="text1"/>
        </w:rPr>
      </w:pPr>
      <w:r>
        <w:rPr>
          <w:rFonts w:ascii="ArialMT" w:hAnsi="ArialMT"/>
          <w:color w:val="000000" w:themeColor="text1"/>
        </w:rPr>
        <w:t>les analystes de données, statisticiens et économistes, qui bénéficieront d</w:t>
      </w:r>
      <w:r w:rsidR="00287E57">
        <w:rPr>
          <w:rFonts w:ascii="ArialMT" w:hAnsi="ArialMT"/>
          <w:color w:val="000000" w:themeColor="text1"/>
        </w:rPr>
        <w:t>’</w:t>
      </w:r>
      <w:r>
        <w:rPr>
          <w:rFonts w:ascii="ArialMT" w:hAnsi="ArialMT"/>
          <w:color w:val="000000" w:themeColor="text1"/>
        </w:rPr>
        <w:t>une formation sur l</w:t>
      </w:r>
      <w:r w:rsidR="00287E57">
        <w:rPr>
          <w:rFonts w:ascii="ArialMT" w:hAnsi="ArialMT"/>
          <w:color w:val="000000" w:themeColor="text1"/>
        </w:rPr>
        <w:t>’</w:t>
      </w:r>
      <w:r>
        <w:rPr>
          <w:rFonts w:ascii="ArialMT" w:hAnsi="ArialMT"/>
          <w:color w:val="000000" w:themeColor="text1"/>
        </w:rPr>
        <w:t>utilisation des modules analytiques afin de pouvoir dégager des informations utiles à l</w:t>
      </w:r>
      <w:r w:rsidR="00287E57">
        <w:rPr>
          <w:rFonts w:ascii="ArialMT" w:hAnsi="ArialMT"/>
          <w:color w:val="000000" w:themeColor="text1"/>
        </w:rPr>
        <w:t>’</w:t>
      </w:r>
      <w:r>
        <w:rPr>
          <w:rFonts w:ascii="ArialMT" w:hAnsi="ArialMT"/>
          <w:color w:val="000000" w:themeColor="text1"/>
        </w:rPr>
        <w:t>élaboration de politiques à partir des données.</w:t>
      </w:r>
    </w:p>
    <w:p w14:paraId="760989FE" w14:textId="4FCB7F9C" w:rsidR="00550AC2" w:rsidRPr="00524A41" w:rsidRDefault="00550AC2" w:rsidP="00362055">
      <w:pPr>
        <w:pStyle w:val="ListParagraph"/>
        <w:numPr>
          <w:ilvl w:val="0"/>
          <w:numId w:val="11"/>
        </w:numPr>
        <w:spacing w:before="288" w:line="245" w:lineRule="auto"/>
        <w:ind w:left="1134" w:right="144" w:hanging="567"/>
        <w:rPr>
          <w:rFonts w:ascii="ArialMT" w:eastAsia="ArialMT" w:hAnsi="ArialMT"/>
          <w:color w:val="000000" w:themeColor="text1"/>
        </w:rPr>
      </w:pPr>
      <w:r>
        <w:rPr>
          <w:rFonts w:ascii="ArialMT" w:hAnsi="ArialMT"/>
          <w:color w:val="000000" w:themeColor="text1"/>
        </w:rPr>
        <w:t>les administrateurs de données, qui bénéficieront d</w:t>
      </w:r>
      <w:r w:rsidR="00287E57">
        <w:rPr>
          <w:rFonts w:ascii="ArialMT" w:hAnsi="ArialMT"/>
          <w:color w:val="000000" w:themeColor="text1"/>
        </w:rPr>
        <w:t>’</w:t>
      </w:r>
      <w:r>
        <w:rPr>
          <w:rFonts w:ascii="ArialMT" w:hAnsi="ArialMT"/>
          <w:color w:val="000000" w:themeColor="text1"/>
        </w:rPr>
        <w:t>une formation sur les modules de préparation et d</w:t>
      </w:r>
      <w:r w:rsidR="00287E57">
        <w:rPr>
          <w:rFonts w:ascii="ArialMT" w:hAnsi="ArialMT"/>
          <w:color w:val="000000" w:themeColor="text1"/>
        </w:rPr>
        <w:t>’</w:t>
      </w:r>
      <w:r>
        <w:rPr>
          <w:rFonts w:ascii="ArialMT" w:hAnsi="ArialMT"/>
          <w:color w:val="000000" w:themeColor="text1"/>
        </w:rPr>
        <w:t>enrichissement des données, ce qui leur permettra d</w:t>
      </w:r>
      <w:r w:rsidR="00287E57">
        <w:rPr>
          <w:rFonts w:ascii="ArialMT" w:hAnsi="ArialMT"/>
          <w:color w:val="000000" w:themeColor="text1"/>
        </w:rPr>
        <w:t>’</w:t>
      </w:r>
      <w:r>
        <w:rPr>
          <w:rFonts w:ascii="ArialMT" w:hAnsi="ArialMT"/>
          <w:color w:val="000000" w:themeColor="text1"/>
        </w:rPr>
        <w:t>acquérir les compétences nécessaires pour gérer et enrichir efficacement leurs sources de données nationales.</w:t>
      </w:r>
    </w:p>
    <w:p w14:paraId="66FFCBF5" w14:textId="77777777" w:rsidR="00550AC2" w:rsidRPr="00233410" w:rsidRDefault="00550AC2" w:rsidP="00362055">
      <w:pPr>
        <w:pStyle w:val="Heading2"/>
        <w:keepLines/>
        <w:numPr>
          <w:ilvl w:val="0"/>
          <w:numId w:val="7"/>
        </w:numPr>
        <w:spacing w:before="200" w:after="240" w:line="276" w:lineRule="auto"/>
        <w:ind w:left="1134" w:hanging="567"/>
        <w:rPr>
          <w:szCs w:val="22"/>
        </w:rPr>
      </w:pPr>
      <w:r>
        <w:t>ENSEIGNEMENTS TIRÉS ET PROCHAINES ÉTAPES</w:t>
      </w:r>
    </w:p>
    <w:p w14:paraId="1AB1EB0A" w14:textId="7F23FD17" w:rsidR="00287E57" w:rsidRDefault="00550AC2" w:rsidP="00550AC2">
      <w:pPr>
        <w:spacing w:before="288" w:line="245" w:lineRule="auto"/>
        <w:ind w:left="2" w:right="144"/>
        <w:rPr>
          <w:rFonts w:ascii="ArialMT" w:hAnsi="ArialMT" w:hint="eastAsia"/>
          <w:color w:val="000000" w:themeColor="text1"/>
        </w:rPr>
      </w:pPr>
      <w:r>
        <w:rPr>
          <w:rFonts w:ascii="ArialMT" w:hAnsi="ArialMT"/>
          <w:color w:val="000000" w:themeColor="text1"/>
        </w:rPr>
        <w:t>Le développement de la première version du système s</w:t>
      </w:r>
      <w:r w:rsidR="00287E57">
        <w:rPr>
          <w:rFonts w:ascii="ArialMT" w:hAnsi="ArialMT"/>
          <w:color w:val="000000" w:themeColor="text1"/>
        </w:rPr>
        <w:t>’</w:t>
      </w:r>
      <w:r>
        <w:rPr>
          <w:rFonts w:ascii="ArialMT" w:hAnsi="ArialMT"/>
          <w:color w:val="000000" w:themeColor="text1"/>
        </w:rPr>
        <w:t>est heurté aux difficultés suivantes</w:t>
      </w:r>
      <w:r w:rsidR="00287E57">
        <w:rPr>
          <w:rFonts w:ascii="ArialMT" w:hAnsi="ArialMT"/>
          <w:color w:val="000000" w:themeColor="text1"/>
        </w:rPr>
        <w:t> :</w:t>
      </w:r>
    </w:p>
    <w:p w14:paraId="1769EF44" w14:textId="2E0CDBB8" w:rsidR="00287E57" w:rsidRDefault="00550AC2" w:rsidP="00362055">
      <w:pPr>
        <w:pStyle w:val="ListParagraph"/>
        <w:numPr>
          <w:ilvl w:val="0"/>
          <w:numId w:val="12"/>
        </w:numPr>
        <w:spacing w:before="288" w:line="245" w:lineRule="auto"/>
        <w:ind w:left="1134" w:right="144" w:hanging="567"/>
        <w:rPr>
          <w:rFonts w:ascii="ArialMT" w:hAnsi="ArialMT"/>
          <w:color w:val="000000" w:themeColor="text1"/>
        </w:rPr>
      </w:pPr>
      <w:r>
        <w:rPr>
          <w:rFonts w:ascii="ArialMT" w:hAnsi="ArialMT"/>
          <w:color w:val="000000" w:themeColor="text1"/>
        </w:rPr>
        <w:t>Il a été difficile de trouver le bon équilibre entre les compétences internes et externes nécessaires à la conception et à la mise en œuvre du système.  Cette dernière a nécessité une combinaison inhabituelle de connaissances approfondies en matière de données de propriété intellectuelle, d</w:t>
      </w:r>
      <w:r w:rsidR="00287E57">
        <w:rPr>
          <w:rFonts w:ascii="ArialMT" w:hAnsi="ArialMT"/>
          <w:color w:val="000000" w:themeColor="text1"/>
        </w:rPr>
        <w:t>’</w:t>
      </w:r>
      <w:r>
        <w:rPr>
          <w:rFonts w:ascii="ArialMT" w:hAnsi="ArialMT"/>
          <w:color w:val="000000" w:themeColor="text1"/>
        </w:rPr>
        <w:t>indicateurs de propriété intellectuelle et d</w:t>
      </w:r>
      <w:r w:rsidR="00287E57">
        <w:rPr>
          <w:rFonts w:ascii="ArialMT" w:hAnsi="ArialMT"/>
          <w:color w:val="000000" w:themeColor="text1"/>
        </w:rPr>
        <w:t>’</w:t>
      </w:r>
      <w:r>
        <w:rPr>
          <w:rFonts w:ascii="ArialMT" w:hAnsi="ArialMT"/>
          <w:color w:val="000000" w:themeColor="text1"/>
        </w:rPr>
        <w:t>innovation, et de programmation.  De même, l</w:t>
      </w:r>
      <w:r w:rsidR="00287E57">
        <w:rPr>
          <w:rFonts w:ascii="ArialMT" w:hAnsi="ArialMT"/>
          <w:color w:val="000000" w:themeColor="text1"/>
        </w:rPr>
        <w:t>’</w:t>
      </w:r>
      <w:r>
        <w:rPr>
          <w:rFonts w:ascii="ArialMT" w:hAnsi="ArialMT"/>
          <w:color w:val="000000" w:themeColor="text1"/>
        </w:rPr>
        <w:t>élaboration et la mise en œuvre de la stratégie de diffusion requièrent des compétences techniques supplémentaires.</w:t>
      </w:r>
    </w:p>
    <w:p w14:paraId="409CF43A" w14:textId="33FD7958" w:rsidR="00287E57" w:rsidRDefault="00550AC2" w:rsidP="00362055">
      <w:pPr>
        <w:pStyle w:val="ListParagraph"/>
        <w:numPr>
          <w:ilvl w:val="0"/>
          <w:numId w:val="12"/>
        </w:numPr>
        <w:spacing w:before="288" w:line="245" w:lineRule="auto"/>
        <w:ind w:left="1134" w:right="144" w:hanging="567"/>
        <w:rPr>
          <w:rFonts w:ascii="ArialMT" w:hAnsi="ArialMT"/>
          <w:color w:val="000000" w:themeColor="text1"/>
        </w:rPr>
      </w:pPr>
      <w:r>
        <w:rPr>
          <w:rFonts w:ascii="ArialMT" w:hAnsi="ArialMT"/>
          <w:color w:val="000000" w:themeColor="text1"/>
        </w:rPr>
        <w:t>L</w:t>
      </w:r>
      <w:r w:rsidR="00287E57">
        <w:rPr>
          <w:rFonts w:ascii="ArialMT" w:hAnsi="ArialMT"/>
          <w:color w:val="000000" w:themeColor="text1"/>
        </w:rPr>
        <w:t>’</w:t>
      </w:r>
      <w:r>
        <w:rPr>
          <w:rFonts w:ascii="ArialMT" w:hAnsi="ArialMT"/>
          <w:color w:val="000000" w:themeColor="text1"/>
        </w:rPr>
        <w:t>accès aux données a nécessité une coordination avec différents cadres institutionnels, tant dans le pays pilote participant qu</w:t>
      </w:r>
      <w:r w:rsidR="00287E57">
        <w:rPr>
          <w:rFonts w:ascii="ArialMT" w:hAnsi="ArialMT"/>
          <w:color w:val="000000" w:themeColor="text1"/>
        </w:rPr>
        <w:t>’</w:t>
      </w:r>
      <w:r>
        <w:rPr>
          <w:rFonts w:ascii="ArialMT" w:hAnsi="ArialMT"/>
          <w:color w:val="000000" w:themeColor="text1"/>
        </w:rPr>
        <w:t>au sein du Secrétariat.</w:t>
      </w:r>
    </w:p>
    <w:p w14:paraId="4DE3DB0A" w14:textId="092B4116" w:rsidR="00287E57" w:rsidRDefault="00550AC2" w:rsidP="00362055">
      <w:pPr>
        <w:pStyle w:val="ListParagraph"/>
        <w:numPr>
          <w:ilvl w:val="0"/>
          <w:numId w:val="12"/>
        </w:numPr>
        <w:spacing w:before="288" w:line="245" w:lineRule="auto"/>
        <w:ind w:left="1134" w:right="144" w:hanging="567"/>
        <w:rPr>
          <w:rFonts w:ascii="ArialMT" w:hAnsi="ArialMT"/>
          <w:color w:val="000000" w:themeColor="text1"/>
        </w:rPr>
      </w:pPr>
      <w:r>
        <w:rPr>
          <w:rFonts w:ascii="ArialMT" w:hAnsi="ArialMT"/>
          <w:color w:val="000000" w:themeColor="text1"/>
        </w:rPr>
        <w:t>L</w:t>
      </w:r>
      <w:r w:rsidR="00287E57">
        <w:rPr>
          <w:rFonts w:ascii="ArialMT" w:hAnsi="ArialMT"/>
          <w:color w:val="000000" w:themeColor="text1"/>
        </w:rPr>
        <w:t>’</w:t>
      </w:r>
      <w:r>
        <w:rPr>
          <w:rFonts w:ascii="ArialMT" w:hAnsi="ArialMT"/>
          <w:color w:val="000000" w:themeColor="text1"/>
        </w:rPr>
        <w:t>effort nécessaire pour rechercher et définir les éléments à inclure dans la première version a été considérable.</w:t>
      </w:r>
    </w:p>
    <w:p w14:paraId="542192A6" w14:textId="5BA17020" w:rsidR="00287E57" w:rsidRDefault="00550AC2" w:rsidP="00287E57">
      <w:pPr>
        <w:spacing w:before="288" w:line="245" w:lineRule="auto"/>
        <w:ind w:left="2" w:right="144"/>
        <w:rPr>
          <w:rFonts w:ascii="ArialMT" w:hAnsi="ArialMT" w:hint="eastAsia"/>
          <w:color w:val="000000" w:themeColor="text1"/>
        </w:rPr>
      </w:pPr>
      <w:r>
        <w:rPr>
          <w:rFonts w:ascii="ArialMT" w:hAnsi="ArialMT"/>
          <w:color w:val="000000" w:themeColor="text1"/>
        </w:rPr>
        <w:t>Cependant, ces difficultés ont permis de tirer des enseignements importants et ont mis en évidence l</w:t>
      </w:r>
      <w:r w:rsidR="00287E57">
        <w:rPr>
          <w:rFonts w:ascii="ArialMT" w:hAnsi="ArialMT"/>
          <w:color w:val="000000" w:themeColor="text1"/>
        </w:rPr>
        <w:t>’</w:t>
      </w:r>
      <w:r>
        <w:rPr>
          <w:rFonts w:ascii="ArialMT" w:hAnsi="ArialMT"/>
          <w:color w:val="000000" w:themeColor="text1"/>
        </w:rPr>
        <w:t>importance de l</w:t>
      </w:r>
      <w:r w:rsidR="00287E57">
        <w:rPr>
          <w:rFonts w:ascii="ArialMT" w:hAnsi="ArialMT"/>
          <w:color w:val="000000" w:themeColor="text1"/>
        </w:rPr>
        <w:t>’</w:t>
      </w:r>
      <w:r>
        <w:rPr>
          <w:rFonts w:ascii="ArialMT" w:hAnsi="ArialMT"/>
          <w:color w:val="000000" w:themeColor="text1"/>
        </w:rPr>
        <w:t>adaptabilité et de la résilience dans la mise en œuvre du projet.  Ces enseignements constitueront des éléments précieux pour les pays pilotes suivants.  Les prochaines étapes consisteront pour l</w:t>
      </w:r>
      <w:r w:rsidR="00287E57">
        <w:rPr>
          <w:rFonts w:ascii="ArialMT" w:hAnsi="ArialMT"/>
          <w:color w:val="000000" w:themeColor="text1"/>
        </w:rPr>
        <w:t>’</w:t>
      </w:r>
      <w:r>
        <w:rPr>
          <w:rFonts w:ascii="ArialMT" w:hAnsi="ArialMT"/>
          <w:color w:val="000000" w:themeColor="text1"/>
        </w:rPr>
        <w:t>OMPI à dispenser les formations dans le pays pilote 1 et à fournir les versions améliorées du système dans les pays pilotes 2 et 3.  Grâce à la mise en œuvre des enseignements tirés en amont et à la planification des prochaines étapes de manière collaborative, le projet demeure prêt à surmonter les difficultés et à réaliser des progrès durables tout au long de l</w:t>
      </w:r>
      <w:r w:rsidR="00287E57">
        <w:rPr>
          <w:rFonts w:ascii="ArialMT" w:hAnsi="ArialMT"/>
          <w:color w:val="000000" w:themeColor="text1"/>
        </w:rPr>
        <w:t>’</w:t>
      </w:r>
      <w:r>
        <w:rPr>
          <w:rFonts w:ascii="ArialMT" w:hAnsi="ArialMT"/>
          <w:color w:val="000000" w:themeColor="text1"/>
        </w:rPr>
        <w:t>élaboration de l</w:t>
      </w:r>
      <w:r w:rsidR="00287E57">
        <w:rPr>
          <w:rFonts w:ascii="ArialMT" w:hAnsi="ArialMT"/>
          <w:color w:val="000000" w:themeColor="text1"/>
        </w:rPr>
        <w:t>’</w:t>
      </w:r>
      <w:r>
        <w:rPr>
          <w:rFonts w:ascii="ArialMT" w:hAnsi="ArialMT"/>
          <w:color w:val="000000" w:themeColor="text1"/>
        </w:rPr>
        <w:t>ensemble des produits à livrer.</w:t>
      </w:r>
    </w:p>
    <w:p w14:paraId="169A7F32" w14:textId="4A60C7B5" w:rsidR="000F5E56" w:rsidRPr="00550AC2" w:rsidRDefault="00550AC2" w:rsidP="00287E57">
      <w:pPr>
        <w:pStyle w:val="Endofdocument-Annex"/>
        <w:spacing w:before="720"/>
        <w:ind w:left="5530"/>
        <w:rPr>
          <w:lang w:val="fr-FR"/>
        </w:rPr>
      </w:pPr>
      <w:r w:rsidRPr="00550AC2">
        <w:rPr>
          <w:lang w:val="fr-FR"/>
        </w:rPr>
        <w:t>[Fin de l</w:t>
      </w:r>
      <w:r w:rsidR="00287E57">
        <w:rPr>
          <w:lang w:val="fr-FR"/>
        </w:rPr>
        <w:t>’</w:t>
      </w:r>
      <w:r w:rsidRPr="00550AC2">
        <w:rPr>
          <w:lang w:val="fr-FR"/>
        </w:rPr>
        <w:t>annexe et du document]</w:t>
      </w:r>
    </w:p>
    <w:sectPr w:rsidR="000F5E56" w:rsidRPr="00550AC2" w:rsidSect="00287E57">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266A" w14:textId="77777777" w:rsidR="00550AC2" w:rsidRDefault="00550AC2">
      <w:r>
        <w:separator/>
      </w:r>
    </w:p>
  </w:endnote>
  <w:endnote w:type="continuationSeparator" w:id="0">
    <w:p w14:paraId="71DD95A4" w14:textId="77777777" w:rsidR="00550AC2" w:rsidRPr="009D30E6" w:rsidRDefault="00550AC2" w:rsidP="00D45252">
      <w:pPr>
        <w:rPr>
          <w:sz w:val="17"/>
          <w:szCs w:val="17"/>
        </w:rPr>
      </w:pPr>
      <w:r w:rsidRPr="009D30E6">
        <w:rPr>
          <w:sz w:val="17"/>
          <w:szCs w:val="17"/>
        </w:rPr>
        <w:separator/>
      </w:r>
    </w:p>
    <w:p w14:paraId="5CC2A797" w14:textId="77777777" w:rsidR="00550AC2" w:rsidRPr="009D30E6" w:rsidRDefault="00550AC2" w:rsidP="00D45252">
      <w:pPr>
        <w:spacing w:after="60"/>
        <w:rPr>
          <w:sz w:val="17"/>
          <w:szCs w:val="17"/>
        </w:rPr>
      </w:pPr>
      <w:r w:rsidRPr="009D30E6">
        <w:rPr>
          <w:sz w:val="17"/>
          <w:szCs w:val="17"/>
        </w:rPr>
        <w:t>[Suite de la note de la page précédente]</w:t>
      </w:r>
    </w:p>
  </w:endnote>
  <w:endnote w:type="continuationNotice" w:id="1">
    <w:p w14:paraId="62FE3904" w14:textId="77777777" w:rsidR="00550AC2" w:rsidRPr="009D30E6" w:rsidRDefault="00550AC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4112" w14:textId="77777777" w:rsidR="006D3BB1" w:rsidRDefault="006D3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8A67" w14:textId="77777777" w:rsidR="006D3BB1" w:rsidRDefault="006D3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5B2" w14:textId="77777777" w:rsidR="006D3BB1" w:rsidRDefault="006D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FA6D" w14:textId="77777777" w:rsidR="00550AC2" w:rsidRDefault="00550AC2">
      <w:r>
        <w:separator/>
      </w:r>
    </w:p>
  </w:footnote>
  <w:footnote w:type="continuationSeparator" w:id="0">
    <w:p w14:paraId="4928A69A" w14:textId="77777777" w:rsidR="00550AC2" w:rsidRDefault="00550AC2" w:rsidP="007461F1">
      <w:r>
        <w:separator/>
      </w:r>
    </w:p>
    <w:p w14:paraId="378C4E98" w14:textId="77777777" w:rsidR="00550AC2" w:rsidRPr="009D30E6" w:rsidRDefault="00550AC2" w:rsidP="007461F1">
      <w:pPr>
        <w:spacing w:after="60"/>
        <w:rPr>
          <w:sz w:val="17"/>
          <w:szCs w:val="17"/>
        </w:rPr>
      </w:pPr>
      <w:r w:rsidRPr="009D30E6">
        <w:rPr>
          <w:sz w:val="17"/>
          <w:szCs w:val="17"/>
        </w:rPr>
        <w:t>[Suite de la note de la page précédente]</w:t>
      </w:r>
    </w:p>
  </w:footnote>
  <w:footnote w:type="continuationNotice" w:id="1">
    <w:p w14:paraId="2213B540" w14:textId="77777777" w:rsidR="00550AC2" w:rsidRPr="009D30E6" w:rsidRDefault="00550AC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A030" w14:textId="77777777" w:rsidR="006D3BB1" w:rsidRDefault="006D3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D9F2" w14:textId="77777777" w:rsidR="00550AC2" w:rsidRPr="002326AB" w:rsidRDefault="00550AC2" w:rsidP="00477D6B">
    <w:pPr>
      <w:jc w:val="right"/>
      <w:rPr>
        <w:caps/>
      </w:rPr>
    </w:pPr>
    <w:r>
      <w:rPr>
        <w:caps/>
      </w:rPr>
      <w:t>CDIP/31/INF/2</w:t>
    </w:r>
  </w:p>
  <w:p w14:paraId="5AD35DB4" w14:textId="218917A6" w:rsidR="00550AC2" w:rsidRDefault="00550AC2" w:rsidP="00287E57">
    <w:pPr>
      <w:pStyle w:val="Header"/>
      <w:spacing w:after="480"/>
      <w:jc w:val="right"/>
    </w:pPr>
    <w:r>
      <w:t>Annexe, page</w:t>
    </w:r>
    <w:r w:rsidR="00287E57">
      <w:t> </w:t>
    </w:r>
    <w:r w:rsidR="00287E57">
      <w:fldChar w:fldCharType="begin"/>
    </w:r>
    <w:r w:rsidR="00287E57">
      <w:instrText>PAGE   \* MERGEFORMAT</w:instrText>
    </w:r>
    <w:r w:rsidR="00287E57">
      <w:fldChar w:fldCharType="separate"/>
    </w:r>
    <w:r w:rsidR="00287E57">
      <w:rPr>
        <w:lang w:val="fr-FR"/>
      </w:rPr>
      <w:t>1</w:t>
    </w:r>
    <w:r w:rsidR="00287E5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5DB4" w14:textId="77777777" w:rsidR="006D3BB1" w:rsidRDefault="006D3B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7ADE" w14:textId="77777777" w:rsidR="00287E57" w:rsidRDefault="00287E57" w:rsidP="00287E57">
    <w:pPr>
      <w:jc w:val="right"/>
      <w:rPr>
        <w:caps/>
      </w:rPr>
    </w:pPr>
    <w:r>
      <w:rPr>
        <w:caps/>
      </w:rPr>
      <w:t>CDIP/32/INF/2</w:t>
    </w:r>
  </w:p>
  <w:p w14:paraId="2D785CA2" w14:textId="77777777" w:rsidR="00287E57" w:rsidRPr="002326AB" w:rsidRDefault="00287E57" w:rsidP="00287E57">
    <w:pPr>
      <w:spacing w:after="480"/>
      <w:jc w:val="right"/>
      <w:rPr>
        <w:caps/>
      </w:rPr>
    </w:pPr>
    <w:r>
      <w:rPr>
        <w:caps/>
      </w:rPr>
      <w:t>ANNEXE</w:t>
    </w:r>
  </w:p>
  <w:p w14:paraId="7D867F5A" w14:textId="77777777" w:rsidR="00287E57" w:rsidRDefault="0028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33513C"/>
    <w:multiLevelType w:val="hybridMultilevel"/>
    <w:tmpl w:val="430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EF76E6"/>
    <w:multiLevelType w:val="hybridMultilevel"/>
    <w:tmpl w:val="5F94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D2B46"/>
    <w:multiLevelType w:val="hybridMultilevel"/>
    <w:tmpl w:val="767CD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231026"/>
    <w:multiLevelType w:val="hybridMultilevel"/>
    <w:tmpl w:val="EB8C0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3C51"/>
    <w:multiLevelType w:val="hybridMultilevel"/>
    <w:tmpl w:val="85A81424"/>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D4F3BA6"/>
    <w:multiLevelType w:val="hybridMultilevel"/>
    <w:tmpl w:val="5028774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3"/>
  </w:num>
  <w:num w:numId="2" w16cid:durableId="1514341178">
    <w:abstractNumId w:val="6"/>
  </w:num>
  <w:num w:numId="3" w16cid:durableId="1600137799">
    <w:abstractNumId w:val="0"/>
  </w:num>
  <w:num w:numId="4" w16cid:durableId="2007901379">
    <w:abstractNumId w:val="7"/>
  </w:num>
  <w:num w:numId="5" w16cid:durableId="1962764970">
    <w:abstractNumId w:val="1"/>
  </w:num>
  <w:num w:numId="6" w16cid:durableId="1856072525">
    <w:abstractNumId w:val="4"/>
  </w:num>
  <w:num w:numId="7" w16cid:durableId="1783844544">
    <w:abstractNumId w:val="10"/>
  </w:num>
  <w:num w:numId="8" w16cid:durableId="1545676875">
    <w:abstractNumId w:val="11"/>
  </w:num>
  <w:num w:numId="9" w16cid:durableId="112022390">
    <w:abstractNumId w:val="9"/>
  </w:num>
  <w:num w:numId="10" w16cid:durableId="553783196">
    <w:abstractNumId w:val="5"/>
  </w:num>
  <w:num w:numId="11" w16cid:durableId="84963655">
    <w:abstractNumId w:val="2"/>
  </w:num>
  <w:num w:numId="12" w16cid:durableId="159278019">
    <w:abstractNumId w:val="8"/>
  </w:num>
  <w:num w:numId="13" w16cid:durableId="808936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C2"/>
    <w:rsid w:val="00011B7D"/>
    <w:rsid w:val="00020C7E"/>
    <w:rsid w:val="00075432"/>
    <w:rsid w:val="000760CD"/>
    <w:rsid w:val="0009458A"/>
    <w:rsid w:val="000D5D76"/>
    <w:rsid w:val="000F5E56"/>
    <w:rsid w:val="001060FF"/>
    <w:rsid w:val="001362EE"/>
    <w:rsid w:val="001832A6"/>
    <w:rsid w:val="00195C6E"/>
    <w:rsid w:val="001B266A"/>
    <w:rsid w:val="001B488E"/>
    <w:rsid w:val="001C6508"/>
    <w:rsid w:val="001D3D56"/>
    <w:rsid w:val="00240654"/>
    <w:rsid w:val="002634C4"/>
    <w:rsid w:val="00273F99"/>
    <w:rsid w:val="00287E57"/>
    <w:rsid w:val="002956DE"/>
    <w:rsid w:val="002E4D1A"/>
    <w:rsid w:val="002F16BC"/>
    <w:rsid w:val="002F4E68"/>
    <w:rsid w:val="00322C0B"/>
    <w:rsid w:val="00362055"/>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0AC2"/>
    <w:rsid w:val="00554FA5"/>
    <w:rsid w:val="00567A4C"/>
    <w:rsid w:val="00574036"/>
    <w:rsid w:val="00595F07"/>
    <w:rsid w:val="005E6516"/>
    <w:rsid w:val="00605827"/>
    <w:rsid w:val="00616671"/>
    <w:rsid w:val="00667B95"/>
    <w:rsid w:val="006B0DB5"/>
    <w:rsid w:val="006D3BB1"/>
    <w:rsid w:val="006E1EC4"/>
    <w:rsid w:val="007461F1"/>
    <w:rsid w:val="007A14B4"/>
    <w:rsid w:val="007D6961"/>
    <w:rsid w:val="007F07CB"/>
    <w:rsid w:val="00807C77"/>
    <w:rsid w:val="00810CEF"/>
    <w:rsid w:val="0081208D"/>
    <w:rsid w:val="00822C5D"/>
    <w:rsid w:val="00897816"/>
    <w:rsid w:val="008B2CC1"/>
    <w:rsid w:val="008E7930"/>
    <w:rsid w:val="0090731E"/>
    <w:rsid w:val="00966A22"/>
    <w:rsid w:val="00974CD6"/>
    <w:rsid w:val="009D30E6"/>
    <w:rsid w:val="009E3F6F"/>
    <w:rsid w:val="009F499F"/>
    <w:rsid w:val="00A11D74"/>
    <w:rsid w:val="00AC0AE4"/>
    <w:rsid w:val="00AD61DB"/>
    <w:rsid w:val="00AE47C0"/>
    <w:rsid w:val="00B1090C"/>
    <w:rsid w:val="00B35AF5"/>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C8E41"/>
  <w15:docId w15:val="{5F32F891-7949-4B4A-BC6D-4CB27B79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50AC2"/>
    <w:pPr>
      <w:ind w:left="720"/>
    </w:pPr>
    <w:rPr>
      <w:rFonts w:ascii="Calibri" w:eastAsiaTheme="minorEastAsia" w:hAnsi="Calibri" w:cs="Calibri"/>
      <w:szCs w:val="22"/>
      <w:lang w:val="fr-FR" w:eastAsia="en-US"/>
    </w:rPr>
  </w:style>
  <w:style w:type="character" w:styleId="Hyperlink">
    <w:name w:val="Hyperlink"/>
    <w:basedOn w:val="DefaultParagraphFont"/>
    <w:unhideWhenUsed/>
    <w:rsid w:val="00550AC2"/>
    <w:rPr>
      <w:color w:val="0000FF" w:themeColor="hyperlink"/>
      <w:u w:val="single"/>
    </w:rPr>
  </w:style>
  <w:style w:type="character" w:customStyle="1" w:styleId="Endofdocument-AnnexChar">
    <w:name w:val="[End of document - Annex] Char"/>
    <w:link w:val="Endofdocument-Annex"/>
    <w:rsid w:val="00550AC2"/>
    <w:rPr>
      <w:rFonts w:ascii="Arial" w:eastAsia="SimSun" w:hAnsi="Arial" w:cs="Arial"/>
      <w:sz w:val="22"/>
      <w:lang w:val="en-US" w:eastAsia="zh-CN"/>
    </w:rPr>
  </w:style>
  <w:style w:type="character" w:customStyle="1" w:styleId="HeaderChar">
    <w:name w:val="Header Char"/>
    <w:basedOn w:val="DefaultParagraphFont"/>
    <w:link w:val="Header"/>
    <w:rsid w:val="00550AC2"/>
    <w:rPr>
      <w:rFonts w:ascii="Arial" w:eastAsia="SimSun" w:hAnsi="Arial" w:cs="Arial"/>
      <w:sz w:val="22"/>
      <w:lang w:eastAsia="zh-CN"/>
    </w:rPr>
  </w:style>
  <w:style w:type="character" w:styleId="FollowedHyperlink">
    <w:name w:val="FollowedHyperlink"/>
    <w:basedOn w:val="DefaultParagraphFont"/>
    <w:semiHidden/>
    <w:unhideWhenUsed/>
    <w:rsid w:val="00287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fr/doc_details.jsp?doc_id=53905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1</TotalTime>
  <Pages>5</Pages>
  <Words>2042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CDIP/32/INF/2</vt:lpstr>
    </vt:vector>
  </TitlesOfParts>
  <Company>WIPO</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CDIP/32/INF/2</dc:title>
  <dc:creator>LE GUEN Haude</dc:creator>
  <cp:keywords>FOR OFFICIAL USE ONLY</cp:keywords>
  <cp:lastModifiedBy>PANAKAL Joseph Lazar</cp:lastModifiedBy>
  <cp:revision>2</cp:revision>
  <cp:lastPrinted>2011-05-19T12:37:00Z</cp:lastPrinted>
  <dcterms:created xsi:type="dcterms:W3CDTF">2024-03-11T13:38:00Z</dcterms:created>
  <dcterms:modified xsi:type="dcterms:W3CDTF">2024-03-11T13:38:00Z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