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8AAC" w14:textId="1FA5D9E4" w:rsidR="008B2CC1" w:rsidRPr="008B2CC1" w:rsidRDefault="000F7485" w:rsidP="00F11D94">
      <w:pPr>
        <w:spacing w:after="120"/>
        <w:jc w:val="right"/>
      </w:pPr>
      <w:r w:rsidRPr="0042194C">
        <w:rPr>
          <w:noProof/>
        </w:rPr>
        <w:drawing>
          <wp:inline distT="0" distB="0" distL="0" distR="0" wp14:anchorId="77F5508B" wp14:editId="191FEF6A">
            <wp:extent cx="3246120" cy="1630680"/>
            <wp:effectExtent l="0" t="0" r="0" b="7620"/>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r w:rsidR="00873EE5">
        <w:rPr>
          <w:rFonts w:ascii="Arial Black" w:hAnsi="Arial Black"/>
          <w:caps/>
          <w:noProof/>
          <w:sz w:val="15"/>
        </w:rPr>
        <mc:AlternateContent>
          <mc:Choice Requires="wps">
            <w:drawing>
              <wp:inline distT="0" distB="0" distL="0" distR="0" wp14:anchorId="397BFE72" wp14:editId="38A4BB06">
                <wp:extent cx="5935980" cy="0"/>
                <wp:effectExtent l="0" t="0" r="26670" b="19050"/>
                <wp:docPr id="2" name="Straight Connector 2" descr="Горизонтальная линия"/>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641E2F7" id="Straight Connector 2" o:spid="_x0000_s1026" alt="Горизонтальная линия"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532CBBBB" w14:textId="77777777" w:rsidR="008B2CC1" w:rsidRPr="001024FE" w:rsidRDefault="00E90B8B" w:rsidP="001024FE">
      <w:pPr>
        <w:jc w:val="right"/>
        <w:rPr>
          <w:rFonts w:ascii="Arial Black" w:hAnsi="Arial Black"/>
          <w:caps/>
          <w:sz w:val="15"/>
          <w:szCs w:val="15"/>
        </w:rPr>
      </w:pPr>
      <w:r>
        <w:rPr>
          <w:rFonts w:ascii="Arial Black" w:hAnsi="Arial Black"/>
          <w:caps/>
          <w:sz w:val="15"/>
        </w:rPr>
        <w:t>PCT/WG/17/</w:t>
      </w:r>
      <w:bookmarkStart w:id="0" w:name="Code"/>
      <w:bookmarkEnd w:id="0"/>
      <w:r>
        <w:rPr>
          <w:rFonts w:ascii="Arial Black" w:hAnsi="Arial Black"/>
          <w:caps/>
          <w:sz w:val="15"/>
        </w:rPr>
        <w:t>14</w:t>
      </w:r>
    </w:p>
    <w:p w14:paraId="762AC734" w14:textId="77777777" w:rsidR="00CE65D4" w:rsidRPr="00CE65D4" w:rsidRDefault="00CE65D4" w:rsidP="00CE65D4">
      <w:pPr>
        <w:jc w:val="right"/>
        <w:rPr>
          <w:rFonts w:ascii="Arial Black" w:hAnsi="Arial Black"/>
          <w:caps/>
          <w:sz w:val="15"/>
          <w:szCs w:val="15"/>
        </w:rPr>
      </w:pPr>
      <w:r>
        <w:rPr>
          <w:rFonts w:ascii="Arial Black" w:hAnsi="Arial Black"/>
          <w:caps/>
          <w:sz w:val="15"/>
        </w:rPr>
        <w:t xml:space="preserve">ОРИГИНАЛ: </w:t>
      </w:r>
      <w:bookmarkStart w:id="1" w:name="Original"/>
      <w:r>
        <w:rPr>
          <w:rFonts w:ascii="Arial Black" w:hAnsi="Arial Black"/>
          <w:caps/>
          <w:sz w:val="15"/>
        </w:rPr>
        <w:t>АНГЛИЙСКИЙ</w:t>
      </w:r>
    </w:p>
    <w:bookmarkEnd w:id="1"/>
    <w:p w14:paraId="622900A9" w14:textId="77777777" w:rsidR="008B2CC1" w:rsidRPr="00CE65D4" w:rsidRDefault="00CE65D4" w:rsidP="00CE65D4">
      <w:pPr>
        <w:spacing w:after="1200"/>
        <w:jc w:val="right"/>
        <w:rPr>
          <w:rFonts w:ascii="Arial Black" w:hAnsi="Arial Black"/>
          <w:caps/>
          <w:sz w:val="15"/>
          <w:szCs w:val="15"/>
        </w:rPr>
      </w:pPr>
      <w:r>
        <w:rPr>
          <w:rFonts w:ascii="Arial Black" w:hAnsi="Arial Black"/>
          <w:caps/>
          <w:sz w:val="15"/>
        </w:rPr>
        <w:t xml:space="preserve">ДАТА: </w:t>
      </w:r>
      <w:bookmarkStart w:id="2" w:name="Date"/>
      <w:r>
        <w:rPr>
          <w:rFonts w:ascii="Arial Black" w:hAnsi="Arial Black"/>
          <w:caps/>
          <w:sz w:val="15"/>
        </w:rPr>
        <w:t>26 января 2024 года</w:t>
      </w:r>
    </w:p>
    <w:bookmarkEnd w:id="2"/>
    <w:p w14:paraId="5A0B4D74" w14:textId="77777777" w:rsidR="008B2CC1" w:rsidRPr="003845C1" w:rsidRDefault="00E90B8B" w:rsidP="00A26A28">
      <w:pPr>
        <w:spacing w:after="720"/>
        <w:rPr>
          <w:b/>
          <w:sz w:val="28"/>
          <w:szCs w:val="28"/>
        </w:rPr>
      </w:pPr>
      <w:r>
        <w:rPr>
          <w:b/>
          <w:sz w:val="28"/>
        </w:rPr>
        <w:t>Рабочая группа по Договору о патентной кооперации (PCT)</w:t>
      </w:r>
    </w:p>
    <w:p w14:paraId="7EA730DB" w14:textId="77777777" w:rsidR="008B2CC1" w:rsidRPr="003845C1" w:rsidRDefault="003F4C9E" w:rsidP="008B2CC1">
      <w:pPr>
        <w:rPr>
          <w:b/>
          <w:sz w:val="24"/>
          <w:szCs w:val="24"/>
        </w:rPr>
      </w:pPr>
      <w:r>
        <w:rPr>
          <w:b/>
          <w:sz w:val="24"/>
        </w:rPr>
        <w:t>Семнадцатая сессия</w:t>
      </w:r>
    </w:p>
    <w:p w14:paraId="6F0A39F7" w14:textId="77777777" w:rsidR="008B2CC1" w:rsidRPr="009F3BF9" w:rsidRDefault="00E90B8B" w:rsidP="00CE65D4">
      <w:pPr>
        <w:spacing w:after="720"/>
      </w:pPr>
      <w:r>
        <w:rPr>
          <w:b/>
          <w:sz w:val="24"/>
        </w:rPr>
        <w:t>Женева, 19–21 февраля 2024 года</w:t>
      </w:r>
    </w:p>
    <w:p w14:paraId="765EB509" w14:textId="77777777" w:rsidR="008B2CC1" w:rsidRPr="009F3BF9" w:rsidRDefault="00002E1D" w:rsidP="00CE65D4">
      <w:pPr>
        <w:spacing w:after="360"/>
        <w:rPr>
          <w:caps/>
          <w:sz w:val="24"/>
        </w:rPr>
      </w:pPr>
      <w:bookmarkStart w:id="3" w:name="TitleOfDoc"/>
      <w:r>
        <w:rPr>
          <w:caps/>
          <w:sz w:val="24"/>
        </w:rPr>
        <w:t>Опрос о стратегиях проведения поиска</w:t>
      </w:r>
    </w:p>
    <w:p w14:paraId="2A54014C" w14:textId="77777777" w:rsidR="008B2CC1" w:rsidRPr="004D39C4" w:rsidRDefault="00002E1D" w:rsidP="00CE65D4">
      <w:pPr>
        <w:spacing w:after="960"/>
        <w:rPr>
          <w:i/>
        </w:rPr>
      </w:pPr>
      <w:bookmarkStart w:id="4" w:name="Prepared"/>
      <w:bookmarkEnd w:id="3"/>
      <w:r>
        <w:rPr>
          <w:i/>
        </w:rPr>
        <w:t>Документ подготовлен Международным бюро</w:t>
      </w:r>
    </w:p>
    <w:bookmarkEnd w:id="4"/>
    <w:p w14:paraId="73C29128" w14:textId="00335A1E" w:rsidR="002928D3" w:rsidRDefault="00002E1D" w:rsidP="00002E1D">
      <w:pPr>
        <w:pStyle w:val="Heading1"/>
      </w:pPr>
      <w:r>
        <w:t>История вопроса</w:t>
      </w:r>
    </w:p>
    <w:p w14:paraId="0219C2B4" w14:textId="7B3B5EBE" w:rsidR="00002E1D" w:rsidRDefault="00002E1D" w:rsidP="00002E1D">
      <w:pPr>
        <w:pStyle w:val="ONUME"/>
      </w:pPr>
      <w:r>
        <w:t>На тринадцатой неофициальной встрече Подгруппы обеспечения качества в рамках Заседания международных органов (далее — «Подгруппа обеспечения качества»), состоявшейся 30 и 31 октября 2023 года, Подгруппа обсудила результаты двух опросов о стратегиях проведения поиска, проведенных на основании циркулярного письма C. PCT 1653 от 3 мая 2023 года.  Первый опрос предназначался для ведомств ИС, и в циркулярном письме была указана ссылка на платформу Alchemer</w:t>
      </w:r>
      <w:r w:rsidR="00D63CF7" w:rsidRPr="00D63CF7">
        <w:t xml:space="preserve"> </w:t>
      </w:r>
      <w:hyperlink r:id="rId9" w:history="1">
        <w:r w:rsidR="00D63CF7" w:rsidRPr="00561974">
          <w:rPr>
            <w:rStyle w:val="Hyperlink"/>
          </w:rPr>
          <w:t>(www.alchemer.com)</w:t>
        </w:r>
      </w:hyperlink>
      <w:r>
        <w:t>, на которой ведомства ИС могли представить свои ответы.  Второй опрос был предназначен для пользователей патентной системы.  Для проведения опроса пользователей Международное бюро направило ссылку каждому Международному поисковому органу для отправки своим пользователям на тот случай, если этот орган был заинтересован в получении в рамках опроса их отзывов.  Опросы были призваны обеспечить возможность собрать информацию от пользователей поисковых стратегий, которую Органы могли бы обдумать индивидуально с учетом специфики своей работы и использования ее результатов другими ведомствами, заявителями и третьими лицами.</w:t>
      </w:r>
    </w:p>
    <w:p w14:paraId="314F13D6" w14:textId="77777777" w:rsidR="00002E1D" w:rsidRDefault="00002E1D" w:rsidP="00002E1D">
      <w:pPr>
        <w:pStyle w:val="ONUME"/>
      </w:pPr>
      <w:r>
        <w:t>Резюме обсуждений, состоявшихся в ходе тринадцатого неофициального заседания Подгруппы обеспечения качества, приводятся в пунктах 7–10 приложения II к документу PCT/MIA/30/10 «Резюме Председателя» тринадцатой сессии Заседания международных органов в рамках РСТ.  Данный документ приводится в качестве приложения к документу PCT/WG/17/2.</w:t>
      </w:r>
    </w:p>
    <w:p w14:paraId="41B8C52C" w14:textId="77777777" w:rsidR="00002E1D" w:rsidRDefault="00002E1D" w:rsidP="00002E1D">
      <w:pPr>
        <w:pStyle w:val="ONUME"/>
      </w:pPr>
      <w:r>
        <w:lastRenderedPageBreak/>
        <w:t xml:space="preserve">Международные органы пришли к заключению, что для изучения результатов необходимо больше времени, и они пока не готовы предпринимать какие-либо дальнейшие активные шаги в этой области.  Что касается представления результатов опроса Рабочей группе PCT в кратком изложении, в пункте 10 приложения II к документу PCT/MIA/30/10 приводится резюме согласованных действий по итогам обсуждений в ходе совещания Подгруппы обеспечения качества. </w:t>
      </w:r>
    </w:p>
    <w:p w14:paraId="6870FDF3" w14:textId="77777777" w:rsidR="00002E1D" w:rsidRDefault="00002E1D" w:rsidP="00002E1D">
      <w:pPr>
        <w:pStyle w:val="ONUME"/>
        <w:numPr>
          <w:ilvl w:val="0"/>
          <w:numId w:val="0"/>
        </w:numPr>
        <w:ind w:left="567"/>
      </w:pPr>
      <w:r>
        <w:t>«10.</w:t>
      </w:r>
      <w:r>
        <w:tab/>
        <w:t xml:space="preserve">Подгруппа решила, что Международному бюро следует подготовить проект документа для обсуждения на Wiki, что позволит достичь консенсуса относительно оптимальных форм отчетности о результатах опросов, отвечающих интересам Органов и учитывающих их проблемы.» </w:t>
      </w:r>
    </w:p>
    <w:p w14:paraId="51CB52BB" w14:textId="77777777" w:rsidR="00002E1D" w:rsidRDefault="00002E1D" w:rsidP="00002E1D">
      <w:pPr>
        <w:pStyle w:val="ONUME"/>
      </w:pPr>
      <w:r>
        <w:t>В приложении к настоящему документу содержится отчет о проведении опросов о стратегиях проведения поиска после обсуждения на wiki-форуме Подгруппы обеспечения качества между Международными органами после ее тринадцатого неофициального заседания.</w:t>
      </w:r>
    </w:p>
    <w:p w14:paraId="0031A8A7" w14:textId="77777777" w:rsidR="00002E1D" w:rsidRDefault="00002E1D" w:rsidP="00002E1D">
      <w:pPr>
        <w:pStyle w:val="ONUME"/>
        <w:ind w:left="5533"/>
        <w:rPr>
          <w:i/>
        </w:rPr>
      </w:pPr>
      <w:r>
        <w:rPr>
          <w:i/>
        </w:rPr>
        <w:t>Рабочей группе предлагается принять к сведению результаты опросов о стратегиях проведения поиска, содержащиеся в приложении к настоящему документу.</w:t>
      </w:r>
    </w:p>
    <w:p w14:paraId="7DCFAD09" w14:textId="77777777" w:rsidR="005028D5" w:rsidRDefault="005028D5" w:rsidP="00002E1D">
      <w:pPr>
        <w:pStyle w:val="Endofdocument-Annex"/>
      </w:pPr>
    </w:p>
    <w:p w14:paraId="4D14DEC1" w14:textId="11DA4682" w:rsidR="00002E1D" w:rsidRDefault="00002E1D" w:rsidP="00002E1D">
      <w:pPr>
        <w:pStyle w:val="Endofdocument-Annex"/>
      </w:pPr>
      <w:r>
        <w:t>[Приложение следует]</w:t>
      </w:r>
    </w:p>
    <w:p w14:paraId="26014F47" w14:textId="77777777" w:rsidR="005028D5" w:rsidRDefault="005028D5" w:rsidP="005028D5">
      <w:pPr>
        <w:pStyle w:val="Endofdocument-Annex"/>
        <w:ind w:left="0"/>
        <w:sectPr w:rsidR="005028D5" w:rsidSect="00002E1D">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14:paraId="1F3CF2A9" w14:textId="283C1A83" w:rsidR="005028D5" w:rsidRDefault="005028D5" w:rsidP="005028D5">
      <w:pPr>
        <w:pStyle w:val="Heading1"/>
      </w:pPr>
      <w:r>
        <w:lastRenderedPageBreak/>
        <w:t>Опрос о стратегиях проведения поиска</w:t>
      </w:r>
    </w:p>
    <w:p w14:paraId="24D1C917" w14:textId="719C1C4B" w:rsidR="005028D5" w:rsidRDefault="005028D5" w:rsidP="005028D5">
      <w:pPr>
        <w:pStyle w:val="Heading2"/>
      </w:pPr>
      <w:r>
        <w:t>Введение</w:t>
      </w:r>
    </w:p>
    <w:p w14:paraId="04FA532B" w14:textId="3D84C350" w:rsidR="005028D5" w:rsidRDefault="005028D5" w:rsidP="005028D5">
      <w:pPr>
        <w:pStyle w:val="ONUME"/>
        <w:keepNext/>
        <w:keepLines/>
        <w:numPr>
          <w:ilvl w:val="0"/>
          <w:numId w:val="7"/>
        </w:numPr>
      </w:pPr>
      <w:r>
        <w:t>Третьего мая 2023 года Международное бюро разослало циркулярное письмо C. PCT 1653 в целях организации двух опросов о стратегиях проведения поиска, один из которых Международное бюро направило ведомствам, а другой Международным органам для рассылки их пользователям.  Опросы были доступны на десяти языках публикации в рамках PCT.  В циркулярном письме содержалась ссылка на платформу Alchemer</w:t>
      </w:r>
      <w:r w:rsidR="00D63CF7" w:rsidRPr="00D63CF7">
        <w:t xml:space="preserve"> </w:t>
      </w:r>
      <w:hyperlink r:id="rId16" w:history="1">
        <w:r w:rsidR="00D63CF7" w:rsidRPr="00561974">
          <w:rPr>
            <w:rStyle w:val="Hyperlink"/>
          </w:rPr>
          <w:t>(www.alchemer.com)</w:t>
        </w:r>
      </w:hyperlink>
      <w:r>
        <w:t>, чтобы ведомства ИС могли представить свои ответы в рамках опроса, а Международное бюро направило ее каждому Международному органу для последующей рассылки пользователям.</w:t>
      </w:r>
    </w:p>
    <w:p w14:paraId="12555B76" w14:textId="77777777" w:rsidR="005028D5" w:rsidRDefault="005028D5" w:rsidP="005028D5">
      <w:pPr>
        <w:pStyle w:val="ONUME"/>
      </w:pPr>
      <w:r>
        <w:t xml:space="preserve">Опрос для ведомств ИС прошло 52 ведомства, 25 из которых выполняют функции международного поиска либо в качестве Международного поискового органа (МП), либо от имени Патентного института стран Северной Европы или Вышеградского патентного института.  В пользовательском опросе приняло участие 184 пользователя, из которых 131 заполнил анкету полностью, а 53 — частично: они дали ответы на все вопросы анкеты, но не представили запрашиваемой личной информации.  В 93 процентах полных ответов на опрос для пользователей было указано, что ссылка была получена от одного из пяти Международных органов.  Однако точное число Международных органов, которые передали ссылку своим пользователям, неизвестно, поскольку ссылка, которую получали пользователи, не была уникальной для каждого отдельного Органа.  </w:t>
      </w:r>
    </w:p>
    <w:p w14:paraId="6FA2723D" w14:textId="77777777" w:rsidR="005028D5" w:rsidRDefault="005028D5" w:rsidP="005028D5">
      <w:pPr>
        <w:pStyle w:val="Heading2"/>
      </w:pPr>
      <w:r>
        <w:t>Опрос о стратегиях проведения поиска в патентных заявках для ведомств ИС</w:t>
      </w:r>
    </w:p>
    <w:p w14:paraId="46058D17" w14:textId="77777777" w:rsidR="005028D5" w:rsidRDefault="005028D5" w:rsidP="005028D5">
      <w:pPr>
        <w:pStyle w:val="ONUME"/>
      </w:pPr>
      <w:r>
        <w:t>Цель опроса для ведомств состояла в том, чтобы определить, как ведомства ИС применяют стратегии поиска в качестве Международного поискового органа и Органа международной предварительной экспертизы, а также в качестве Указанного/Выбранного ведомства, и выявить наиболее важную для ведомств информацию.</w:t>
      </w:r>
    </w:p>
    <w:p w14:paraId="5E0279CE" w14:textId="77777777" w:rsidR="005028D5" w:rsidRDefault="005028D5" w:rsidP="005028D5">
      <w:pPr>
        <w:pStyle w:val="Heading3"/>
      </w:pPr>
      <w:r>
        <w:t>Ответы Международных поисковых органов</w:t>
      </w:r>
    </w:p>
    <w:p w14:paraId="2007B47F" w14:textId="77777777" w:rsidR="005028D5" w:rsidRDefault="005028D5" w:rsidP="005028D5">
      <w:pPr>
        <w:pStyle w:val="ONUME"/>
      </w:pPr>
      <w:r>
        <w:t>Из 25 ведомств, проводящих международный поиск, при принятии решения о стратегии поиска в ходе международного поиска 17 ведомств использовали предыдущие стратегии поиска по смежным патентным заявкам, например по предшествующим заявкам, причем пять из этих ведомств полностью доверяются предшествующему поиску.  Почти все бюро, использовавшие стратегии на основе предшествующего поиска, сочли полезной информацию о ключевых словах, поисковых строках, классификации и базах данных, в которых проводился поиск.  Такие данные, как число совпадений при поиске, какой поисковый запрос позволил найти конкретную цитату и уровень поиска по полному поисковому запросу, полезными сочли менее половины из 17 ведомств.</w:t>
      </w:r>
    </w:p>
    <w:p w14:paraId="62A42BC0" w14:textId="361B234B" w:rsidR="005028D5" w:rsidRDefault="00FC42D3" w:rsidP="005028D5">
      <w:pPr>
        <w:pStyle w:val="ONUME"/>
        <w:numPr>
          <w:ilvl w:val="0"/>
          <w:numId w:val="0"/>
        </w:numPr>
      </w:pPr>
      <w:r w:rsidRPr="00FC42D3">
        <w:rPr>
          <w:noProof/>
        </w:rPr>
        <w:lastRenderedPageBreak/>
        <w:drawing>
          <wp:inline distT="0" distB="0" distL="0" distR="0" wp14:anchorId="0A6C2CC7" wp14:editId="2F660327">
            <wp:extent cx="5940425" cy="3509645"/>
            <wp:effectExtent l="0" t="0" r="3175" b="0"/>
            <wp:docPr id="6" name="Picture 6" descr="На этом рисунке представлено содержание стратегии поиска, предоставляемой Международными поисковыми органами.  В большинстве стратегий применяются данные о классификации, об использованных в поиске базах данных и ключевых словах, однако в менее чем десяти случаях отмечено применение информации о поисковых запросах и менее чем в пяти случаях — указания на то, где были найдены цитаты, или на уровень поиска в запро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На этом рисунке представлено содержание стратегии поиска, предоставляемой Международными поисковыми органами.  В большинстве стратегий применяются данные о классификации, об использованных в поиске базах данных и ключевых словах, однако в менее чем десяти случаях отмечено применение информации о поисковых запросах и менее чем в пяти случаях — указания на то, где были найдены цитаты, или на уровень поиска в запрос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3509645"/>
                    </a:xfrm>
                    <a:prstGeom prst="rect">
                      <a:avLst/>
                    </a:prstGeom>
                    <a:noFill/>
                    <a:ln>
                      <a:noFill/>
                    </a:ln>
                  </pic:spPr>
                </pic:pic>
              </a:graphicData>
            </a:graphic>
          </wp:inline>
        </w:drawing>
      </w:r>
    </w:p>
    <w:p w14:paraId="4F2F46C1" w14:textId="77777777" w:rsidR="005028D5" w:rsidRDefault="005028D5" w:rsidP="005028D5">
      <w:pPr>
        <w:pStyle w:val="ONUME"/>
        <w:numPr>
          <w:ilvl w:val="0"/>
          <w:numId w:val="0"/>
        </w:numPr>
        <w:jc w:val="center"/>
      </w:pPr>
      <w:r>
        <w:t>Рис. 1: Содержание стратегии поиска, представленное Международным поисковым органом</w:t>
      </w:r>
    </w:p>
    <w:p w14:paraId="63BA4A6E" w14:textId="77777777" w:rsidR="005028D5" w:rsidRDefault="005028D5" w:rsidP="005028D5">
      <w:pPr>
        <w:pStyle w:val="ONUME"/>
      </w:pPr>
      <w:r>
        <w:t xml:space="preserve">На рис. 1 показано содержание стратегий поиска, предоставляемых МПО, которые указываются либо в разделе «Области поиска» второго листа бланка PCT/ISA/210, либо в виде отдельного документа, предоставляемого вместе с отчетом о международном поиске.  Информация о стратегии поиска всегда включает сведения о классификационных индексах и базах данных, по которым проводился поиск, а большинство стратегий включают также ключевые слова, использованные для целей поиска.  Менее половины МПО предоставляют информацию о поисковых запросах, данные о том, какие поисковые запросы позволили найти цитату или какие документы из конкретного поискового запроса были просмотрены экспертом. </w:t>
      </w:r>
    </w:p>
    <w:p w14:paraId="7CC64283" w14:textId="77777777" w:rsidR="005028D5" w:rsidRDefault="005028D5" w:rsidP="005028D5">
      <w:pPr>
        <w:pStyle w:val="Heading3"/>
      </w:pPr>
      <w:r>
        <w:t>Ответы Указанных ведомств</w:t>
      </w:r>
    </w:p>
    <w:p w14:paraId="5CF292A6" w14:textId="77777777" w:rsidR="005028D5" w:rsidRDefault="005028D5" w:rsidP="005028D5">
      <w:pPr>
        <w:pStyle w:val="ONUME"/>
      </w:pPr>
      <w:r>
        <w:t>В качестве Указанных ведомств опрос прошли 52 ведомства.  Почти три четверти (73 %) таких ведомств рассматривают стратегию поиска МПО.  На рис. 2 показана полезность каждого элемента стратегии поиска для этих Указанных ведомств.  Ключевые слова в рамках стратегии поиска полезны примерно 95 процентам Указанных ведомств (около 36 ведомств), а добавление логических операторов/операторов близости является чрезвычайно полезным для 75 процентов ведомств.  Информация о базах данных, в которых проводился поиск, полезна около 90 процентам ведомств (приблизительно 34 ведомства).  Информация о том, где была найдена поисковая строка и/или область классификации, в которой была найдена цитата, а также уровень поиска, проведенного в отношении поискового запроса, была полезна около 60 процентам респондентов (примерно 23 ведомства).  Информация об областях классификации, в которых проводился поиск, была полезна 100 процентам ведомств.</w:t>
      </w:r>
    </w:p>
    <w:p w14:paraId="60F0DC45" w14:textId="189F77BF" w:rsidR="005028D5" w:rsidRDefault="00FC42D3" w:rsidP="005028D5">
      <w:pPr>
        <w:pStyle w:val="ONUME"/>
        <w:numPr>
          <w:ilvl w:val="0"/>
          <w:numId w:val="0"/>
        </w:numPr>
      </w:pPr>
      <w:r w:rsidRPr="00FC42D3">
        <w:rPr>
          <w:noProof/>
        </w:rPr>
        <w:lastRenderedPageBreak/>
        <w:drawing>
          <wp:inline distT="0" distB="0" distL="0" distR="0" wp14:anchorId="6F73F261" wp14:editId="7A34732C">
            <wp:extent cx="5940425" cy="3641090"/>
            <wp:effectExtent l="0" t="0" r="3175" b="0"/>
            <wp:docPr id="4" name="Picture 4" descr="В данной таблице показано, насколько полезны Указанным ведомствам те или иные элементы стратегии пои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В данной таблице показано, насколько полезны Указанным ведомствам те или иные элементы стратегии поиска."/>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0425" cy="3641090"/>
                    </a:xfrm>
                    <a:prstGeom prst="rect">
                      <a:avLst/>
                    </a:prstGeom>
                    <a:noFill/>
                    <a:ln>
                      <a:noFill/>
                    </a:ln>
                  </pic:spPr>
                </pic:pic>
              </a:graphicData>
            </a:graphic>
          </wp:inline>
        </w:drawing>
      </w:r>
    </w:p>
    <w:p w14:paraId="133F2779" w14:textId="77777777" w:rsidR="005028D5" w:rsidRDefault="005028D5" w:rsidP="005028D5">
      <w:pPr>
        <w:pStyle w:val="ONUME"/>
        <w:numPr>
          <w:ilvl w:val="0"/>
          <w:numId w:val="0"/>
        </w:numPr>
        <w:jc w:val="center"/>
      </w:pPr>
      <w:r>
        <w:t>Рис. 2 Полезность элементов стратегии поиска для Указанных ведомств</w:t>
      </w:r>
    </w:p>
    <w:p w14:paraId="78DA0FB7" w14:textId="77777777" w:rsidR="005028D5" w:rsidRPr="00DC3040" w:rsidRDefault="005028D5" w:rsidP="005028D5">
      <w:pPr>
        <w:pStyle w:val="Heading3"/>
      </w:pPr>
      <w:r>
        <w:t>Дополнительные замечания ведомств ИС</w:t>
      </w:r>
    </w:p>
    <w:p w14:paraId="6099D99D" w14:textId="77777777" w:rsidR="005028D5" w:rsidRDefault="005028D5" w:rsidP="005028D5">
      <w:pPr>
        <w:pStyle w:val="ONUME"/>
      </w:pPr>
      <w:r>
        <w:t>Один из Международных поисковых органов сообщил, что регистрирует все данные в рамках стратегии поиска в отдельном внутреннем бланке, в том числе ключевые слова, используемые при текстовом поиске, и логические операторы/операторы близости.  Эта стратегия применяется для целей контроля качества, однако не предоставляется пользователям.  Другой Орган отметил, что степень использования им поисковых стратегий варьируется в зависимости от области техники.  Например, ключевые слова в каких-то областях оказались более полезными, чем в других, и в своем ответе в рамках опросника Орган выбрал среднее значение.  Третий Орган заявил, что его эксперты приветствовали бы предоставление большей информации, связанной с поиском, в досье заявки, поскольку результаты поиска являются отправной точкой для последующей экспертизы и поиска.  Стратегия поиска также позволила бы экспертам пересмотреть свою стратегию и либо заново проводить поиск, либо проводить более целенаправленный поиск.  Этот Орган определил особую пользу стратегий поиска как обучение новых и не имеющих опыта экспертов навыкам проведения поиска.</w:t>
      </w:r>
    </w:p>
    <w:p w14:paraId="093E38E0" w14:textId="77777777" w:rsidR="005028D5" w:rsidRDefault="005028D5" w:rsidP="005028D5">
      <w:pPr>
        <w:pStyle w:val="Heading2"/>
      </w:pPr>
      <w:r>
        <w:t xml:space="preserve">Опрос о стратегиях проведения поиска в международных патентных заявках для пользователей патентной системы </w:t>
      </w:r>
    </w:p>
    <w:p w14:paraId="33189EE0" w14:textId="77777777" w:rsidR="005028D5" w:rsidRDefault="005028D5" w:rsidP="005028D5">
      <w:pPr>
        <w:pStyle w:val="ONUME"/>
      </w:pPr>
      <w:r>
        <w:t>Цель опроса пользователей патентной системы состояла в том, чтобы определить, как они применяют стратегию поиска при международном поиске, и выяснить, какая информация, касающаяся стратегий поиска, наиболее важна для этих пользователей.  Международным органам, желающим получить обратную связь на основе опроса, было предложено направить ссылку, полученную от Международного бюро, своим пользователям для целей опроса.  Международное бюро отправило результаты отдельных пользователей соответствующим Международным органам, которые предоставили им ссылку.</w:t>
      </w:r>
    </w:p>
    <w:p w14:paraId="5293C560" w14:textId="6D347CE2" w:rsidR="005028D5" w:rsidRDefault="005028D5" w:rsidP="005028D5">
      <w:pPr>
        <w:pStyle w:val="ONUME"/>
      </w:pPr>
      <w:r>
        <w:t xml:space="preserve">На опрос было получено 184 ответа от пользователей патентной системы, из которых 131 ответ был полным с указанием имен, принадлежности и Международного </w:t>
      </w:r>
      <w:r>
        <w:lastRenderedPageBreak/>
        <w:t>органа, который направил им ссылку для прохождения опроса.  Полные ответы от пользователей были получены в основном по ссылкам, переданным пятью Международными органами.  Что касается деятельности пользователей, то около 80 процентов из них занимаются патентным делопроизводством, приблизительно 40 процентов предоставляют платные услуги в области определения патентоспособности или действительности, примерно 40 процентов ведут патентные тяжбы, и около 25 процентов являются поставщиками услуг в области патентной информации.  Семь процентов ответов поступило от научно-исследовательских институтов.</w:t>
      </w:r>
    </w:p>
    <w:p w14:paraId="0A07D117" w14:textId="3D93E13C" w:rsidR="005028D5" w:rsidRDefault="005028D5" w:rsidP="005028D5">
      <w:pPr>
        <w:pStyle w:val="ONUME"/>
      </w:pPr>
      <w:r>
        <w:t>Восемьдесят два процента пользователей анализируют документы о стратегиях поиска.  Характер того, какие аспекты стратегий проведения поиска были признаны полезными пользователями, отличался от такового, обозначенного ведомствами, с меньшей вариативностью между различными элементами.  Причинами отказа от пересмотра стратегии поиска были неосведомленность, нехватка времени у клиента (клиент не желал платить за такой пересмотр), незнание того, как можно пересмотреть такую стратегию, или мнение, что такой пересмотр не нужен.</w:t>
      </w:r>
    </w:p>
    <w:p w14:paraId="68ED1155" w14:textId="118C2AAA" w:rsidR="005028D5" w:rsidRDefault="005028D5" w:rsidP="005028D5">
      <w:pPr>
        <w:pStyle w:val="ONUME"/>
      </w:pPr>
      <w:r>
        <w:t>Сорок четыре процента пользователей отметили, что они стали бы чаще применять стратегии проведения поиска, если бы у них было больше информации.  Некоторые из этих пользователей привели примеры того, какая дополнительная информация могла бы еще больше повысить уровень использования стратегий: информация об объеме баз данных, более подробное раскрытие стратегии поиска, более четкая информация о том, где проводился поиск химических структур, предоставление данных поиска в текстовом формате, наличие переводов, а также более подробная информация о патентных документах, цитируемых в отчете о поиске.</w:t>
      </w:r>
    </w:p>
    <w:p w14:paraId="703A9104" w14:textId="77777777" w:rsidR="005028D5" w:rsidRDefault="005028D5" w:rsidP="005028D5">
      <w:pPr>
        <w:pStyle w:val="Endofdocument-Annex"/>
      </w:pPr>
    </w:p>
    <w:p w14:paraId="0CF66AF3" w14:textId="17D8B8E9" w:rsidR="005028D5" w:rsidRPr="005028D5" w:rsidRDefault="005028D5" w:rsidP="005028D5">
      <w:pPr>
        <w:pStyle w:val="Endofdocument-Annex"/>
      </w:pPr>
      <w:r>
        <w:t>[Конец приложения и документа]</w:t>
      </w:r>
    </w:p>
    <w:sectPr w:rsidR="005028D5" w:rsidRPr="005028D5" w:rsidSect="005028D5">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9C11" w14:textId="77777777" w:rsidR="00002E1D" w:rsidRDefault="00002E1D">
      <w:r>
        <w:separator/>
      </w:r>
    </w:p>
  </w:endnote>
  <w:endnote w:type="continuationSeparator" w:id="0">
    <w:p w14:paraId="1BF629F3" w14:textId="77777777" w:rsidR="00002E1D" w:rsidRDefault="00002E1D" w:rsidP="003B38C1">
      <w:r>
        <w:separator/>
      </w:r>
    </w:p>
    <w:p w14:paraId="4DB40D9E" w14:textId="77777777" w:rsidR="00002E1D" w:rsidRPr="00D63CF7" w:rsidRDefault="00002E1D" w:rsidP="003B38C1">
      <w:pPr>
        <w:spacing w:after="60"/>
        <w:rPr>
          <w:sz w:val="17"/>
          <w:lang w:val="en-US"/>
        </w:rPr>
      </w:pPr>
      <w:r w:rsidRPr="00D63CF7">
        <w:rPr>
          <w:sz w:val="17"/>
          <w:lang w:val="en-US"/>
        </w:rPr>
        <w:t>[Endnote continued from previous page]</w:t>
      </w:r>
    </w:p>
  </w:endnote>
  <w:endnote w:type="continuationNotice" w:id="1">
    <w:p w14:paraId="07142D8F" w14:textId="77777777" w:rsidR="00002E1D" w:rsidRPr="00D63CF7" w:rsidRDefault="00002E1D" w:rsidP="003B38C1">
      <w:pPr>
        <w:spacing w:before="60"/>
        <w:jc w:val="right"/>
        <w:rPr>
          <w:sz w:val="17"/>
          <w:szCs w:val="17"/>
          <w:lang w:val="en-US"/>
        </w:rPr>
      </w:pPr>
      <w:r w:rsidRPr="00D63CF7">
        <w:rPr>
          <w:sz w:val="17"/>
          <w:szCs w:val="17"/>
          <w:lang w:val="en-US"/>
        </w:rPr>
        <w:t xml:space="preserve">[Endnote </w:t>
      </w:r>
      <w:proofErr w:type="gramStart"/>
      <w:r w:rsidRPr="00D63CF7">
        <w:rPr>
          <w:sz w:val="17"/>
          <w:szCs w:val="17"/>
          <w:lang w:val="en-US"/>
        </w:rPr>
        <w:t>continued on</w:t>
      </w:r>
      <w:proofErr w:type="gramEnd"/>
      <w:r w:rsidRPr="00D63CF7">
        <w:rPr>
          <w:sz w:val="17"/>
          <w:szCs w:val="17"/>
          <w:lang w:val="en-US"/>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F6B1" w14:textId="77777777" w:rsidR="00D63CF7" w:rsidRDefault="00D6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E292" w14:textId="77777777" w:rsidR="00D63CF7" w:rsidRDefault="00D63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98B" w14:textId="77777777" w:rsidR="00D63CF7" w:rsidRDefault="00D63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5E1E" w14:textId="77777777" w:rsidR="00002E1D" w:rsidRDefault="00002E1D">
      <w:r>
        <w:separator/>
      </w:r>
    </w:p>
  </w:footnote>
  <w:footnote w:type="continuationSeparator" w:id="0">
    <w:p w14:paraId="2CB999B6" w14:textId="77777777" w:rsidR="00002E1D" w:rsidRDefault="00002E1D" w:rsidP="008B60B2">
      <w:r>
        <w:separator/>
      </w:r>
    </w:p>
    <w:p w14:paraId="674A93E9" w14:textId="77777777" w:rsidR="00002E1D" w:rsidRPr="00D63CF7" w:rsidRDefault="00002E1D" w:rsidP="008B60B2">
      <w:pPr>
        <w:spacing w:after="60"/>
        <w:rPr>
          <w:sz w:val="17"/>
          <w:szCs w:val="17"/>
          <w:lang w:val="en-US"/>
        </w:rPr>
      </w:pPr>
      <w:r w:rsidRPr="00D63CF7">
        <w:rPr>
          <w:sz w:val="17"/>
          <w:szCs w:val="17"/>
          <w:lang w:val="en-US"/>
        </w:rPr>
        <w:t>[Footnote continued from previous page]</w:t>
      </w:r>
    </w:p>
  </w:footnote>
  <w:footnote w:type="continuationNotice" w:id="1">
    <w:p w14:paraId="6B941874" w14:textId="77777777" w:rsidR="00002E1D" w:rsidRPr="00D63CF7" w:rsidRDefault="00002E1D" w:rsidP="008B60B2">
      <w:pPr>
        <w:spacing w:before="60"/>
        <w:jc w:val="right"/>
        <w:rPr>
          <w:sz w:val="17"/>
          <w:szCs w:val="17"/>
          <w:lang w:val="en-US"/>
        </w:rPr>
      </w:pPr>
      <w:r w:rsidRPr="00D63CF7">
        <w:rPr>
          <w:sz w:val="17"/>
          <w:szCs w:val="17"/>
          <w:lang w:val="en-US"/>
        </w:rPr>
        <w:t xml:space="preserve">[Footnote </w:t>
      </w:r>
      <w:proofErr w:type="gramStart"/>
      <w:r w:rsidRPr="00D63CF7">
        <w:rPr>
          <w:sz w:val="17"/>
          <w:szCs w:val="17"/>
          <w:lang w:val="en-US"/>
        </w:rPr>
        <w:t>continued on</w:t>
      </w:r>
      <w:proofErr w:type="gramEnd"/>
      <w:r w:rsidRPr="00D63CF7">
        <w:rPr>
          <w:sz w:val="17"/>
          <w:szCs w:val="17"/>
          <w:lang w:val="en-US"/>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7896" w14:textId="77777777" w:rsidR="00D63CF7" w:rsidRDefault="00D6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031C6" w14:textId="77777777" w:rsidR="00EC4E49" w:rsidRDefault="00002E1D" w:rsidP="00477D6B">
    <w:pPr>
      <w:jc w:val="right"/>
    </w:pPr>
    <w:bookmarkStart w:id="5" w:name="Code2"/>
    <w:bookmarkEnd w:id="5"/>
    <w:r>
      <w:t>PCT/WG/17/14</w:t>
    </w:r>
  </w:p>
  <w:p w14:paraId="6122231D" w14:textId="77777777" w:rsidR="00EC4E49" w:rsidRDefault="00EC4E49" w:rsidP="00477D6B">
    <w:pPr>
      <w:jc w:val="right"/>
    </w:pPr>
    <w:r>
      <w:t xml:space="preserve">стр. </w:t>
    </w:r>
    <w:r>
      <w:fldChar w:fldCharType="begin"/>
    </w:r>
    <w:r>
      <w:instrText xml:space="preserve"> PAGE  \* MERGEFORMAT </w:instrText>
    </w:r>
    <w:r>
      <w:fldChar w:fldCharType="separate"/>
    </w:r>
    <w:r w:rsidR="00E671A6">
      <w:t>2</w:t>
    </w:r>
    <w:r>
      <w:fldChar w:fldCharType="end"/>
    </w:r>
  </w:p>
  <w:p w14:paraId="75A9F37D" w14:textId="77777777" w:rsidR="00EC4E49" w:rsidRDefault="00EC4E49" w:rsidP="00477D6B">
    <w:pPr>
      <w:jc w:val="right"/>
    </w:pPr>
  </w:p>
  <w:p w14:paraId="13EEE817"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F92E" w14:textId="77777777" w:rsidR="00D63CF7" w:rsidRDefault="00D63C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2268" w14:textId="77777777" w:rsidR="005028D5" w:rsidRDefault="005028D5" w:rsidP="00477D6B">
    <w:pPr>
      <w:jc w:val="right"/>
    </w:pPr>
    <w:r>
      <w:t>PCT/WG/17/14</w:t>
    </w:r>
  </w:p>
  <w:p w14:paraId="6FD2A401" w14:textId="61EAD8AE" w:rsidR="005028D5" w:rsidRDefault="005028D5" w:rsidP="00477D6B">
    <w:pPr>
      <w:jc w:val="right"/>
    </w:pPr>
    <w:r>
      <w:t xml:space="preserve">Приложение, стр. </w:t>
    </w:r>
    <w:r>
      <w:fldChar w:fldCharType="begin"/>
    </w:r>
    <w:r>
      <w:instrText xml:space="preserve"> PAGE  \* MERGEFORMAT </w:instrText>
    </w:r>
    <w:r>
      <w:fldChar w:fldCharType="separate"/>
    </w:r>
    <w:r>
      <w:t>2</w:t>
    </w:r>
    <w:r>
      <w:fldChar w:fldCharType="end"/>
    </w:r>
  </w:p>
  <w:p w14:paraId="7EEAAB5A" w14:textId="77777777" w:rsidR="005028D5" w:rsidRDefault="005028D5" w:rsidP="00477D6B">
    <w:pPr>
      <w:jc w:val="right"/>
    </w:pPr>
  </w:p>
  <w:p w14:paraId="0BBC989B" w14:textId="77777777" w:rsidR="005028D5" w:rsidRDefault="005028D5"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50CA" w14:textId="75A6A56C" w:rsidR="005028D5" w:rsidRDefault="00D63CF7" w:rsidP="005028D5">
    <w:pPr>
      <w:pStyle w:val="Header"/>
      <w:jc w:val="right"/>
    </w:pPr>
    <w:r w:rsidRPr="00D63CF7">
      <w:t>PCT/WG/17/14</w:t>
    </w:r>
    <w:r w:rsidR="005028D5">
      <w:br/>
      <w:t>ПРИЛОЖЕНИЕ</w:t>
    </w:r>
  </w:p>
  <w:p w14:paraId="4AA47894" w14:textId="77777777" w:rsidR="005028D5" w:rsidRDefault="0050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838653">
    <w:abstractNumId w:val="2"/>
  </w:num>
  <w:num w:numId="2" w16cid:durableId="1159539219">
    <w:abstractNumId w:val="4"/>
  </w:num>
  <w:num w:numId="3" w16cid:durableId="76558780">
    <w:abstractNumId w:val="0"/>
  </w:num>
  <w:num w:numId="4" w16cid:durableId="1331255219">
    <w:abstractNumId w:val="5"/>
  </w:num>
  <w:num w:numId="5" w16cid:durableId="1001860684">
    <w:abstractNumId w:val="1"/>
  </w:num>
  <w:num w:numId="6" w16cid:durableId="970937653">
    <w:abstractNumId w:val="3"/>
  </w:num>
  <w:num w:numId="7" w16cid:durableId="1296719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1D"/>
    <w:rsid w:val="00002E1D"/>
    <w:rsid w:val="0001647B"/>
    <w:rsid w:val="00043CAA"/>
    <w:rsid w:val="000444D0"/>
    <w:rsid w:val="00075432"/>
    <w:rsid w:val="000968ED"/>
    <w:rsid w:val="000F5E56"/>
    <w:rsid w:val="000F7485"/>
    <w:rsid w:val="001024FE"/>
    <w:rsid w:val="001362EE"/>
    <w:rsid w:val="00142868"/>
    <w:rsid w:val="001832A6"/>
    <w:rsid w:val="001C6808"/>
    <w:rsid w:val="002121FA"/>
    <w:rsid w:val="002634C4"/>
    <w:rsid w:val="002928D3"/>
    <w:rsid w:val="002A7F7B"/>
    <w:rsid w:val="002F1FE6"/>
    <w:rsid w:val="002F4E68"/>
    <w:rsid w:val="00312F7F"/>
    <w:rsid w:val="003228B7"/>
    <w:rsid w:val="003508A3"/>
    <w:rsid w:val="003673CF"/>
    <w:rsid w:val="003845C1"/>
    <w:rsid w:val="003A6F89"/>
    <w:rsid w:val="003B38C1"/>
    <w:rsid w:val="003D352A"/>
    <w:rsid w:val="003F4C9E"/>
    <w:rsid w:val="003F51D4"/>
    <w:rsid w:val="00423E3E"/>
    <w:rsid w:val="00427AF4"/>
    <w:rsid w:val="004400E2"/>
    <w:rsid w:val="00461632"/>
    <w:rsid w:val="004647DA"/>
    <w:rsid w:val="00471C25"/>
    <w:rsid w:val="00474062"/>
    <w:rsid w:val="00477D6B"/>
    <w:rsid w:val="00497C1B"/>
    <w:rsid w:val="004D39C4"/>
    <w:rsid w:val="005028D5"/>
    <w:rsid w:val="0053057A"/>
    <w:rsid w:val="00543927"/>
    <w:rsid w:val="00560A29"/>
    <w:rsid w:val="00594D27"/>
    <w:rsid w:val="00601760"/>
    <w:rsid w:val="00605827"/>
    <w:rsid w:val="00646050"/>
    <w:rsid w:val="006713CA"/>
    <w:rsid w:val="00676C5C"/>
    <w:rsid w:val="00695558"/>
    <w:rsid w:val="006D5E0F"/>
    <w:rsid w:val="007058FB"/>
    <w:rsid w:val="007442BC"/>
    <w:rsid w:val="00744C06"/>
    <w:rsid w:val="007B6A58"/>
    <w:rsid w:val="007D1613"/>
    <w:rsid w:val="00873EE5"/>
    <w:rsid w:val="008B2CC1"/>
    <w:rsid w:val="008B4B5E"/>
    <w:rsid w:val="008B60B2"/>
    <w:rsid w:val="0090731E"/>
    <w:rsid w:val="00916EE2"/>
    <w:rsid w:val="00966A22"/>
    <w:rsid w:val="0096722F"/>
    <w:rsid w:val="0097428D"/>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CD9"/>
    <w:rsid w:val="00B9734B"/>
    <w:rsid w:val="00BF2415"/>
    <w:rsid w:val="00C11BFE"/>
    <w:rsid w:val="00C91AB4"/>
    <w:rsid w:val="00C94629"/>
    <w:rsid w:val="00CE65D4"/>
    <w:rsid w:val="00D45252"/>
    <w:rsid w:val="00D63CF7"/>
    <w:rsid w:val="00D71B4D"/>
    <w:rsid w:val="00D93D55"/>
    <w:rsid w:val="00E070BF"/>
    <w:rsid w:val="00E161A2"/>
    <w:rsid w:val="00E335FE"/>
    <w:rsid w:val="00E5021F"/>
    <w:rsid w:val="00E671A6"/>
    <w:rsid w:val="00E90B8B"/>
    <w:rsid w:val="00EC4E49"/>
    <w:rsid w:val="00ED77FB"/>
    <w:rsid w:val="00F021A6"/>
    <w:rsid w:val="00F11D94"/>
    <w:rsid w:val="00F66152"/>
    <w:rsid w:val="00FC42D3"/>
    <w:rsid w:val="00FC438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70292"/>
  <w15:docId w15:val="{8DFDDB5D-4C9B-4ED4-A0AD-1191B898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002E1D"/>
    <w:rPr>
      <w:color w:val="0000FF"/>
      <w:u w:val="single"/>
    </w:rPr>
  </w:style>
  <w:style w:type="character" w:styleId="UnresolvedMention">
    <w:name w:val="Unresolved Mention"/>
    <w:basedOn w:val="DefaultParagraphFont"/>
    <w:uiPriority w:val="99"/>
    <w:semiHidden/>
    <w:unhideWhenUsed/>
    <w:rsid w:val="00D6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alchemer.co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alchemer.com)"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A8AE-CDC3-40C9-A01B-D84F67AD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1402</Words>
  <Characters>9555</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PCT/WG/17/14</vt:lpstr>
    </vt:vector>
  </TitlesOfParts>
  <Company>WIPO</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PCT/WG/17/14</dc:title>
  <dc:subject>Report of Survey on Search Strategies</dc:subject>
  <dc:creator>MARLOW Thomas</dc:creator>
  <cp:keywords>PUBLIC</cp:keywords>
  <cp:lastModifiedBy>MARLOW Thomas</cp:lastModifiedBy>
  <cp:revision>3</cp:revision>
  <cp:lastPrinted>2024-02-09T09:53:00Z</cp:lastPrinted>
  <dcterms:created xsi:type="dcterms:W3CDTF">2024-02-09T09:53:00Z</dcterms:created>
  <dcterms:modified xsi:type="dcterms:W3CDTF">2024-02-09T09:53:00Z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2023-12-13T09:48:21Z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0bf27739-8b3d-4d7e-ba90-ef8e3b8e5134</vt:lpwstr>
  </property>
  <property fmtid="{D5CDD505-2E9C-101B-9397-08002B2CF9AE}" pid="14" name="MSIP_Label_20773ee6-353b-4fb9-a59d-0b94c8c67bea_ContentBits">
    <vt:lpwstr>0</vt:lpwstr>
  </property>
</Properties>
</file>