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0C4" w:rsidRPr="004F507A" w:rsidRDefault="0048418A" w:rsidP="006F5476">
      <w:pPr>
        <w:ind w:left="-360"/>
        <w:jc w:val="center"/>
        <w:rPr>
          <w:rFonts w:ascii="Arial" w:hAnsi="Arial" w:cs="Arial"/>
          <w:b/>
          <w:sz w:val="22"/>
          <w:szCs w:val="22"/>
          <w:lang w:val="fr-FR"/>
        </w:rPr>
      </w:pPr>
      <w:bookmarkStart w:id="0" w:name="_GoBack"/>
      <w:bookmarkEnd w:id="0"/>
      <w:r w:rsidRPr="004F507A">
        <w:rPr>
          <w:rFonts w:ascii="Arial" w:hAnsi="Arial" w:cs="Arial"/>
          <w:b/>
          <w:color w:val="000000"/>
          <w:sz w:val="22"/>
          <w:szCs w:val="22"/>
          <w:lang w:val="fr-FR"/>
        </w:rPr>
        <w:t>Note d</w:t>
      </w:r>
      <w:r w:rsidR="006D7B02" w:rsidRPr="004F507A">
        <w:rPr>
          <w:rFonts w:ascii="Arial" w:hAnsi="Arial" w:cs="Arial"/>
          <w:b/>
          <w:color w:val="000000"/>
          <w:sz w:val="22"/>
          <w:szCs w:val="22"/>
          <w:lang w:val="fr-FR"/>
        </w:rPr>
        <w:t>’</w:t>
      </w:r>
      <w:r w:rsidRPr="004F507A">
        <w:rPr>
          <w:rFonts w:ascii="Arial" w:hAnsi="Arial" w:cs="Arial"/>
          <w:b/>
          <w:color w:val="000000"/>
          <w:sz w:val="22"/>
          <w:szCs w:val="22"/>
          <w:lang w:val="fr-FR"/>
        </w:rPr>
        <w:t>information</w:t>
      </w:r>
      <w:r w:rsidR="008641ED">
        <w:rPr>
          <w:rStyle w:val="FootnoteReference"/>
          <w:rFonts w:ascii="Arial" w:hAnsi="Arial" w:cs="Arial"/>
          <w:b/>
          <w:color w:val="000000"/>
          <w:sz w:val="22"/>
          <w:szCs w:val="22"/>
          <w:lang w:val="fr-FR"/>
        </w:rPr>
        <w:footnoteReference w:customMarkFollows="1" w:id="2"/>
        <w:t>*</w:t>
      </w:r>
    </w:p>
    <w:p w:rsidR="004F60C4" w:rsidRPr="004F507A" w:rsidRDefault="004F60C4" w:rsidP="006F5476">
      <w:pPr>
        <w:ind w:left="-360"/>
        <w:jc w:val="center"/>
        <w:rPr>
          <w:rFonts w:ascii="Arial" w:hAnsi="Arial" w:cs="Arial"/>
          <w:b/>
          <w:sz w:val="22"/>
          <w:szCs w:val="22"/>
          <w:lang w:val="fr-FR"/>
        </w:rPr>
      </w:pPr>
    </w:p>
    <w:p w:rsidR="004F60C4" w:rsidRPr="004F507A" w:rsidRDefault="00B7341E" w:rsidP="006F5476">
      <w:pPr>
        <w:ind w:left="-360"/>
        <w:jc w:val="center"/>
        <w:rPr>
          <w:rFonts w:ascii="Arial" w:hAnsi="Arial" w:cs="Arial"/>
          <w:b/>
          <w:sz w:val="22"/>
          <w:szCs w:val="22"/>
          <w:lang w:val="fr-FR"/>
        </w:rPr>
      </w:pPr>
      <w:proofErr w:type="gramStart"/>
      <w:r w:rsidRPr="004F507A">
        <w:rPr>
          <w:rFonts w:ascii="Arial" w:hAnsi="Arial" w:cs="Arial"/>
          <w:b/>
          <w:color w:val="000000"/>
          <w:sz w:val="22"/>
          <w:szCs w:val="22"/>
          <w:lang w:val="fr-FR"/>
        </w:rPr>
        <w:t>en</w:t>
      </w:r>
      <w:proofErr w:type="gramEnd"/>
      <w:r w:rsidRPr="004F507A">
        <w:rPr>
          <w:rFonts w:ascii="Arial" w:hAnsi="Arial" w:cs="Arial"/>
          <w:b/>
          <w:color w:val="000000"/>
          <w:sz w:val="22"/>
          <w:szCs w:val="22"/>
          <w:lang w:val="fr-FR"/>
        </w:rPr>
        <w:t xml:space="preserve"> vue</w:t>
      </w:r>
      <w:r w:rsidR="0048418A" w:rsidRPr="004F507A">
        <w:rPr>
          <w:rFonts w:ascii="Arial" w:hAnsi="Arial" w:cs="Arial"/>
          <w:b/>
          <w:color w:val="000000"/>
          <w:sz w:val="22"/>
          <w:szCs w:val="22"/>
          <w:lang w:val="fr-FR"/>
        </w:rPr>
        <w:t xml:space="preserve"> de la trente</w:t>
      </w:r>
      <w:r w:rsidR="000E59D1" w:rsidRPr="004F507A">
        <w:rPr>
          <w:rFonts w:ascii="Arial" w:hAnsi="Arial" w:cs="Arial"/>
          <w:b/>
          <w:color w:val="000000"/>
          <w:sz w:val="22"/>
          <w:szCs w:val="22"/>
          <w:lang w:val="fr-FR"/>
        </w:rPr>
        <w:t> </w:t>
      </w:r>
      <w:r w:rsidR="0048418A" w:rsidRPr="004F507A">
        <w:rPr>
          <w:rFonts w:ascii="Arial" w:hAnsi="Arial" w:cs="Arial"/>
          <w:b/>
          <w:color w:val="000000"/>
          <w:sz w:val="22"/>
          <w:szCs w:val="22"/>
          <w:lang w:val="fr-FR"/>
        </w:rPr>
        <w:t>et</w:t>
      </w:r>
      <w:r w:rsidR="000E59D1" w:rsidRPr="004F507A">
        <w:rPr>
          <w:rFonts w:ascii="Arial" w:hAnsi="Arial" w:cs="Arial"/>
          <w:b/>
          <w:color w:val="000000"/>
          <w:sz w:val="22"/>
          <w:szCs w:val="22"/>
          <w:lang w:val="fr-FR"/>
        </w:rPr>
        <w:t> </w:t>
      </w:r>
      <w:r w:rsidR="0048418A" w:rsidRPr="004F507A">
        <w:rPr>
          <w:rFonts w:ascii="Arial" w:hAnsi="Arial" w:cs="Arial"/>
          <w:b/>
          <w:color w:val="000000"/>
          <w:sz w:val="22"/>
          <w:szCs w:val="22"/>
          <w:lang w:val="fr-FR"/>
        </w:rPr>
        <w:t>unième</w:t>
      </w:r>
      <w:r w:rsidR="000E59D1" w:rsidRPr="004F507A">
        <w:rPr>
          <w:rFonts w:ascii="Arial" w:hAnsi="Arial" w:cs="Arial"/>
          <w:b/>
          <w:color w:val="000000"/>
          <w:sz w:val="22"/>
          <w:szCs w:val="22"/>
          <w:lang w:val="fr-FR"/>
        </w:rPr>
        <w:t> </w:t>
      </w:r>
      <w:r w:rsidR="0048418A" w:rsidRPr="004F507A">
        <w:rPr>
          <w:rFonts w:ascii="Arial" w:hAnsi="Arial" w:cs="Arial"/>
          <w:b/>
          <w:color w:val="000000"/>
          <w:sz w:val="22"/>
          <w:szCs w:val="22"/>
          <w:lang w:val="fr-FR"/>
        </w:rPr>
        <w:t>session de l</w:t>
      </w:r>
      <w:r w:rsidR="006D7B02" w:rsidRPr="004F507A">
        <w:rPr>
          <w:rFonts w:ascii="Arial" w:hAnsi="Arial" w:cs="Arial"/>
          <w:b/>
          <w:color w:val="000000"/>
          <w:sz w:val="22"/>
          <w:szCs w:val="22"/>
          <w:lang w:val="fr-FR"/>
        </w:rPr>
        <w:t>’</w:t>
      </w:r>
      <w:r w:rsidR="0048418A" w:rsidRPr="004F507A">
        <w:rPr>
          <w:rFonts w:ascii="Arial" w:hAnsi="Arial" w:cs="Arial"/>
          <w:b/>
          <w:color w:val="000000"/>
          <w:sz w:val="22"/>
          <w:szCs w:val="22"/>
          <w:lang w:val="fr-FR"/>
        </w:rPr>
        <w:t>IGC</w:t>
      </w:r>
    </w:p>
    <w:p w:rsidR="004F60C4" w:rsidRPr="004F507A" w:rsidRDefault="004F60C4" w:rsidP="006F5476">
      <w:pPr>
        <w:ind w:left="-360"/>
        <w:jc w:val="center"/>
        <w:rPr>
          <w:rFonts w:ascii="Arial" w:hAnsi="Arial" w:cs="Arial"/>
          <w:sz w:val="22"/>
          <w:szCs w:val="22"/>
          <w:lang w:val="fr-FR"/>
        </w:rPr>
      </w:pPr>
    </w:p>
    <w:p w:rsidR="004F60C4" w:rsidRPr="004F507A" w:rsidRDefault="0048418A" w:rsidP="006F5476">
      <w:pPr>
        <w:ind w:left="-360"/>
        <w:jc w:val="center"/>
        <w:rPr>
          <w:rFonts w:ascii="Arial" w:hAnsi="Arial" w:cs="Arial"/>
          <w:sz w:val="22"/>
          <w:szCs w:val="22"/>
          <w:lang w:val="fr-FR"/>
        </w:rPr>
      </w:pPr>
      <w:r w:rsidRPr="004F507A">
        <w:rPr>
          <w:rFonts w:ascii="Arial" w:hAnsi="Arial" w:cs="Arial"/>
          <w:color w:val="000000"/>
          <w:sz w:val="22"/>
          <w:szCs w:val="22"/>
          <w:lang w:val="fr-FR"/>
        </w:rPr>
        <w:t>Établie par M.</w:t>
      </w:r>
      <w:r w:rsidR="000E59D1" w:rsidRPr="004F507A">
        <w:rPr>
          <w:rFonts w:ascii="Arial" w:hAnsi="Arial" w:cs="Arial"/>
          <w:color w:val="000000"/>
          <w:sz w:val="22"/>
          <w:szCs w:val="22"/>
          <w:lang w:val="fr-FR"/>
        </w:rPr>
        <w:t> </w:t>
      </w:r>
      <w:r w:rsidRPr="004F507A">
        <w:rPr>
          <w:rFonts w:ascii="Arial" w:hAnsi="Arial" w:cs="Arial"/>
          <w:color w:val="000000"/>
          <w:sz w:val="22"/>
          <w:szCs w:val="22"/>
          <w:lang w:val="fr-FR"/>
        </w:rPr>
        <w:t>Ian</w:t>
      </w:r>
      <w:r w:rsidR="004F507A" w:rsidRPr="004F507A">
        <w:rPr>
          <w:rFonts w:ascii="Arial" w:hAnsi="Arial" w:cs="Arial"/>
          <w:color w:val="000000"/>
          <w:sz w:val="22"/>
          <w:szCs w:val="22"/>
          <w:lang w:val="fr-FR"/>
        </w:rPr>
        <w:t> </w:t>
      </w:r>
      <w:r w:rsidRPr="004F507A">
        <w:rPr>
          <w:rFonts w:ascii="Arial" w:hAnsi="Arial" w:cs="Arial"/>
          <w:color w:val="000000"/>
          <w:sz w:val="22"/>
          <w:szCs w:val="22"/>
          <w:lang w:val="fr-FR"/>
        </w:rPr>
        <w:t>Goss, président de l</w:t>
      </w:r>
      <w:r w:rsidR="006D7B02" w:rsidRPr="004F507A">
        <w:rPr>
          <w:rFonts w:ascii="Arial" w:hAnsi="Arial" w:cs="Arial"/>
          <w:color w:val="000000"/>
          <w:sz w:val="22"/>
          <w:szCs w:val="22"/>
          <w:lang w:val="fr-FR"/>
        </w:rPr>
        <w:t>’</w:t>
      </w:r>
      <w:r w:rsidRPr="004F507A">
        <w:rPr>
          <w:rFonts w:ascii="Arial" w:hAnsi="Arial" w:cs="Arial"/>
          <w:color w:val="000000"/>
          <w:sz w:val="22"/>
          <w:szCs w:val="22"/>
          <w:lang w:val="fr-FR"/>
        </w:rPr>
        <w:t>IGC</w:t>
      </w:r>
    </w:p>
    <w:p w:rsidR="004F60C4" w:rsidRPr="004F507A" w:rsidRDefault="004F60C4" w:rsidP="006F5476">
      <w:pPr>
        <w:ind w:left="-360"/>
        <w:rPr>
          <w:rFonts w:ascii="Arial" w:hAnsi="Arial" w:cs="Arial"/>
          <w:sz w:val="22"/>
          <w:szCs w:val="22"/>
          <w:lang w:val="fr-FR"/>
        </w:rPr>
      </w:pPr>
    </w:p>
    <w:p w:rsidR="004F60C4" w:rsidRPr="004F507A" w:rsidRDefault="004F60C4" w:rsidP="006F5476">
      <w:pPr>
        <w:ind w:left="-360"/>
        <w:rPr>
          <w:rFonts w:ascii="Arial" w:hAnsi="Arial" w:cs="Arial"/>
          <w:sz w:val="22"/>
          <w:szCs w:val="22"/>
          <w:lang w:val="fr-FR"/>
        </w:rPr>
      </w:pPr>
    </w:p>
    <w:p w:rsidR="004F60C4" w:rsidRPr="004F507A" w:rsidRDefault="0048418A" w:rsidP="001740EF">
      <w:pPr>
        <w:spacing w:after="240"/>
        <w:rPr>
          <w:rFonts w:ascii="Arial" w:hAnsi="Arial" w:cs="Arial"/>
          <w:b/>
          <w:sz w:val="22"/>
          <w:szCs w:val="22"/>
          <w:lang w:val="fr-FR"/>
        </w:rPr>
      </w:pPr>
      <w:r w:rsidRPr="004F507A">
        <w:rPr>
          <w:rFonts w:ascii="Arial" w:hAnsi="Arial" w:cs="Arial"/>
          <w:b/>
          <w:sz w:val="22"/>
          <w:szCs w:val="22"/>
          <w:lang w:val="fr-FR"/>
        </w:rPr>
        <w:t>Introduction</w:t>
      </w:r>
    </w:p>
    <w:p w:rsidR="006D7B02" w:rsidRPr="004F507A" w:rsidRDefault="007E26AD" w:rsidP="002B5624">
      <w:pPr>
        <w:tabs>
          <w:tab w:val="left" w:pos="567"/>
        </w:tabs>
        <w:spacing w:after="240"/>
        <w:rPr>
          <w:rFonts w:ascii="Arial" w:hAnsi="Arial" w:cs="Arial"/>
          <w:color w:val="000000"/>
          <w:sz w:val="22"/>
          <w:szCs w:val="22"/>
          <w:lang w:val="fr-FR"/>
        </w:rPr>
      </w:pPr>
      <w:r w:rsidRPr="004F507A">
        <w:rPr>
          <w:rFonts w:ascii="Arial" w:hAnsi="Arial" w:cs="Arial"/>
          <w:sz w:val="22"/>
          <w:szCs w:val="22"/>
          <w:lang w:val="fr-FR"/>
        </w:rPr>
        <w:fldChar w:fldCharType="begin"/>
      </w:r>
      <w:r w:rsidRPr="004F507A">
        <w:rPr>
          <w:rFonts w:ascii="Arial" w:hAnsi="Arial" w:cs="Arial"/>
          <w:sz w:val="22"/>
          <w:szCs w:val="22"/>
          <w:lang w:val="fr-FR"/>
        </w:rPr>
        <w:instrText xml:space="preserve"> AUTONUM  </w:instrText>
      </w:r>
      <w:r w:rsidRPr="004F507A">
        <w:rPr>
          <w:rFonts w:ascii="Arial" w:hAnsi="Arial" w:cs="Arial"/>
          <w:sz w:val="22"/>
          <w:szCs w:val="22"/>
          <w:lang w:val="fr-FR"/>
        </w:rPr>
        <w:fldChar w:fldCharType="end"/>
      </w:r>
      <w:r w:rsidRPr="004F507A">
        <w:rPr>
          <w:rFonts w:ascii="Arial" w:hAnsi="Arial" w:cs="Arial"/>
          <w:sz w:val="22"/>
          <w:szCs w:val="22"/>
          <w:lang w:val="fr-FR"/>
        </w:rPr>
        <w:tab/>
      </w:r>
      <w:r w:rsidR="006B5158" w:rsidRPr="004F507A">
        <w:rPr>
          <w:rFonts w:ascii="Arial" w:hAnsi="Arial" w:cs="Arial"/>
          <w:color w:val="000000"/>
          <w:sz w:val="22"/>
          <w:szCs w:val="22"/>
          <w:lang w:val="fr-FR"/>
        </w:rPr>
        <w:t>Cela fait plus de deux</w:t>
      </w:r>
      <w:r w:rsidR="000E59D1" w:rsidRPr="004F507A">
        <w:rPr>
          <w:rFonts w:ascii="Arial" w:hAnsi="Arial" w:cs="Arial"/>
          <w:color w:val="000000"/>
          <w:sz w:val="22"/>
          <w:szCs w:val="22"/>
          <w:lang w:val="fr-FR"/>
        </w:rPr>
        <w:t> </w:t>
      </w:r>
      <w:r w:rsidR="006B5158" w:rsidRPr="004F507A">
        <w:rPr>
          <w:rFonts w:ascii="Arial" w:hAnsi="Arial" w:cs="Arial"/>
          <w:color w:val="000000"/>
          <w:sz w:val="22"/>
          <w:szCs w:val="22"/>
          <w:lang w:val="fr-FR"/>
        </w:rPr>
        <w:t>ans que l</w:t>
      </w:r>
      <w:r w:rsidR="006D7B02" w:rsidRPr="004F507A">
        <w:rPr>
          <w:rFonts w:ascii="Arial" w:hAnsi="Arial" w:cs="Arial"/>
          <w:color w:val="000000"/>
          <w:sz w:val="22"/>
          <w:szCs w:val="22"/>
          <w:lang w:val="fr-FR"/>
        </w:rPr>
        <w:t>’</w:t>
      </w:r>
      <w:r w:rsidR="006B5158" w:rsidRPr="004F507A">
        <w:rPr>
          <w:rFonts w:ascii="Arial" w:hAnsi="Arial" w:cs="Arial"/>
          <w:color w:val="000000"/>
          <w:sz w:val="22"/>
          <w:szCs w:val="22"/>
          <w:lang w:val="fr-FR"/>
        </w:rPr>
        <w:t xml:space="preserve">IGC </w:t>
      </w:r>
      <w:r w:rsidR="00B7341E" w:rsidRPr="004F507A">
        <w:rPr>
          <w:rFonts w:ascii="Arial" w:hAnsi="Arial" w:cs="Arial"/>
          <w:color w:val="000000"/>
          <w:sz w:val="22"/>
          <w:szCs w:val="22"/>
          <w:lang w:val="fr-FR"/>
        </w:rPr>
        <w:t>n</w:t>
      </w:r>
      <w:r w:rsidR="006D7B02" w:rsidRPr="004F507A">
        <w:rPr>
          <w:rFonts w:ascii="Arial" w:hAnsi="Arial" w:cs="Arial"/>
          <w:color w:val="000000"/>
          <w:sz w:val="22"/>
          <w:szCs w:val="22"/>
          <w:lang w:val="fr-FR"/>
        </w:rPr>
        <w:t>’</w:t>
      </w:r>
      <w:r w:rsidR="00B7341E" w:rsidRPr="004F507A">
        <w:rPr>
          <w:rFonts w:ascii="Arial" w:hAnsi="Arial" w:cs="Arial"/>
          <w:color w:val="000000"/>
          <w:sz w:val="22"/>
          <w:szCs w:val="22"/>
          <w:lang w:val="fr-FR"/>
        </w:rPr>
        <w:t>a pas abordé le thème</w:t>
      </w:r>
      <w:r w:rsidR="006B5158" w:rsidRPr="004F507A">
        <w:rPr>
          <w:rFonts w:ascii="Arial" w:hAnsi="Arial" w:cs="Arial"/>
          <w:color w:val="000000"/>
          <w:sz w:val="22"/>
          <w:szCs w:val="22"/>
          <w:lang w:val="fr-FR"/>
        </w:rPr>
        <w:t xml:space="preserve"> des savoirs traditionnels, la dernière réunion officielle </w:t>
      </w:r>
      <w:r w:rsidR="00B7341E" w:rsidRPr="004F507A">
        <w:rPr>
          <w:rFonts w:ascii="Arial" w:hAnsi="Arial" w:cs="Arial"/>
          <w:color w:val="000000"/>
          <w:sz w:val="22"/>
          <w:szCs w:val="22"/>
          <w:lang w:val="fr-FR"/>
        </w:rPr>
        <w:t xml:space="preserve">qui leur a été </w:t>
      </w:r>
      <w:r w:rsidR="006B5158" w:rsidRPr="004F507A">
        <w:rPr>
          <w:rFonts w:ascii="Arial" w:hAnsi="Arial" w:cs="Arial"/>
          <w:color w:val="000000"/>
          <w:sz w:val="22"/>
          <w:szCs w:val="22"/>
          <w:lang w:val="fr-FR"/>
        </w:rPr>
        <w:t>consacrée (</w:t>
      </w:r>
      <w:r w:rsidR="00BF2078" w:rsidRPr="004F507A">
        <w:rPr>
          <w:rFonts w:ascii="Arial" w:hAnsi="Arial" w:cs="Arial"/>
          <w:color w:val="000000"/>
          <w:sz w:val="22"/>
          <w:szCs w:val="22"/>
          <w:lang w:val="fr-FR"/>
        </w:rPr>
        <w:t>vingt</w:t>
      </w:r>
      <w:r w:rsidR="00525EB9">
        <w:rPr>
          <w:rFonts w:ascii="Arial" w:hAnsi="Arial" w:cs="Arial"/>
          <w:color w:val="000000"/>
          <w:sz w:val="22"/>
          <w:szCs w:val="22"/>
          <w:lang w:val="fr-FR"/>
        </w:rPr>
        <w:noBreakHyphen/>
      </w:r>
      <w:r w:rsidR="00BF2078" w:rsidRPr="004F507A">
        <w:rPr>
          <w:rFonts w:ascii="Arial" w:hAnsi="Arial" w:cs="Arial"/>
          <w:color w:val="000000"/>
          <w:sz w:val="22"/>
          <w:szCs w:val="22"/>
          <w:lang w:val="fr-FR"/>
        </w:rPr>
        <w:t>septième</w:t>
      </w:r>
      <w:r w:rsidR="000E59D1" w:rsidRPr="004F507A">
        <w:rPr>
          <w:rFonts w:ascii="Arial" w:hAnsi="Arial" w:cs="Arial"/>
          <w:color w:val="000000"/>
          <w:sz w:val="22"/>
          <w:szCs w:val="22"/>
          <w:lang w:val="fr-FR"/>
        </w:rPr>
        <w:t> </w:t>
      </w:r>
      <w:r w:rsidR="006B5158" w:rsidRPr="004F507A">
        <w:rPr>
          <w:rFonts w:ascii="Arial" w:hAnsi="Arial" w:cs="Arial"/>
          <w:color w:val="000000"/>
          <w:sz w:val="22"/>
          <w:szCs w:val="22"/>
          <w:lang w:val="fr-FR"/>
        </w:rPr>
        <w:t>session de l</w:t>
      </w:r>
      <w:r w:rsidR="006D7B02" w:rsidRPr="004F507A">
        <w:rPr>
          <w:rFonts w:ascii="Arial" w:hAnsi="Arial" w:cs="Arial"/>
          <w:color w:val="000000"/>
          <w:sz w:val="22"/>
          <w:szCs w:val="22"/>
          <w:lang w:val="fr-FR"/>
        </w:rPr>
        <w:t>’</w:t>
      </w:r>
      <w:r w:rsidR="006B5158" w:rsidRPr="004F507A">
        <w:rPr>
          <w:rFonts w:ascii="Arial" w:hAnsi="Arial" w:cs="Arial"/>
          <w:color w:val="000000"/>
          <w:sz w:val="22"/>
          <w:szCs w:val="22"/>
          <w:lang w:val="fr-FR"/>
        </w:rPr>
        <w:t>IGC) ayant eu lieu en mars/</w:t>
      </w:r>
      <w:r w:rsidR="006D7B02" w:rsidRPr="004F507A">
        <w:rPr>
          <w:rFonts w:ascii="Arial" w:hAnsi="Arial" w:cs="Arial"/>
          <w:color w:val="000000"/>
          <w:sz w:val="22"/>
          <w:szCs w:val="22"/>
          <w:lang w:val="fr-FR"/>
        </w:rPr>
        <w:t>avril 20</w:t>
      </w:r>
      <w:r w:rsidR="006B5158" w:rsidRPr="004F507A">
        <w:rPr>
          <w:rFonts w:ascii="Arial" w:hAnsi="Arial" w:cs="Arial"/>
          <w:color w:val="000000"/>
          <w:sz w:val="22"/>
          <w:szCs w:val="22"/>
          <w:lang w:val="fr-FR"/>
        </w:rPr>
        <w:t>14.</w:t>
      </w:r>
      <w:r w:rsidR="000F75BA" w:rsidRPr="004F507A">
        <w:rPr>
          <w:rFonts w:ascii="Arial" w:hAnsi="Arial"/>
          <w:color w:val="000000"/>
          <w:sz w:val="22"/>
          <w:lang w:val="fr-FR"/>
        </w:rPr>
        <w:t xml:space="preserve">  </w:t>
      </w:r>
      <w:r w:rsidR="00B7341E" w:rsidRPr="004F507A">
        <w:rPr>
          <w:rFonts w:ascii="Arial" w:hAnsi="Arial" w:cs="Arial"/>
          <w:sz w:val="22"/>
          <w:szCs w:val="22"/>
          <w:lang w:val="fr-FR"/>
        </w:rPr>
        <w:t xml:space="preserve">Le </w:t>
      </w:r>
      <w:r w:rsidR="00B7341E" w:rsidRPr="004F507A">
        <w:rPr>
          <w:rFonts w:ascii="Arial" w:hAnsi="Arial" w:cs="Arial"/>
          <w:color w:val="000000"/>
          <w:sz w:val="22"/>
          <w:szCs w:val="22"/>
          <w:lang w:val="fr-FR"/>
        </w:rPr>
        <w:t>programme de travail actuel du comité prévoit d</w:t>
      </w:r>
      <w:r w:rsidR="00BF2078" w:rsidRPr="004F507A">
        <w:rPr>
          <w:rFonts w:ascii="Arial" w:hAnsi="Arial" w:cs="Arial"/>
          <w:color w:val="000000"/>
          <w:sz w:val="22"/>
          <w:szCs w:val="22"/>
          <w:lang w:val="fr-FR"/>
        </w:rPr>
        <w:t>eux</w:t>
      </w:r>
      <w:r w:rsidR="000E59D1" w:rsidRPr="004F507A">
        <w:rPr>
          <w:rFonts w:ascii="Arial" w:hAnsi="Arial" w:cs="Arial"/>
          <w:color w:val="000000"/>
          <w:sz w:val="22"/>
          <w:szCs w:val="22"/>
          <w:lang w:val="fr-FR"/>
        </w:rPr>
        <w:t> </w:t>
      </w:r>
      <w:r w:rsidR="00BF2078" w:rsidRPr="004F507A">
        <w:rPr>
          <w:rFonts w:ascii="Arial" w:hAnsi="Arial" w:cs="Arial"/>
          <w:color w:val="000000"/>
          <w:sz w:val="22"/>
          <w:szCs w:val="22"/>
          <w:lang w:val="fr-FR"/>
        </w:rPr>
        <w:t>session</w:t>
      </w:r>
      <w:r w:rsidR="00B7341E" w:rsidRPr="004F507A">
        <w:rPr>
          <w:rFonts w:ascii="Arial" w:hAnsi="Arial" w:cs="Arial"/>
          <w:color w:val="000000"/>
          <w:sz w:val="22"/>
          <w:szCs w:val="22"/>
          <w:lang w:val="fr-FR"/>
        </w:rPr>
        <w:t>s sur les savoirs traditionnels</w:t>
      </w:r>
      <w:r w:rsidR="000E59D1" w:rsidRPr="004F507A">
        <w:rPr>
          <w:rFonts w:ascii="Arial" w:hAnsi="Arial" w:cs="Arial"/>
          <w:color w:val="000000"/>
          <w:sz w:val="22"/>
          <w:szCs w:val="22"/>
          <w:lang w:val="fr-FR"/>
        </w:rPr>
        <w:t> </w:t>
      </w:r>
      <w:r w:rsidR="00B7341E" w:rsidRPr="004F507A">
        <w:rPr>
          <w:rFonts w:ascii="Arial" w:hAnsi="Arial" w:cs="Arial"/>
          <w:color w:val="000000"/>
          <w:sz w:val="22"/>
          <w:szCs w:val="22"/>
          <w:lang w:val="fr-FR"/>
        </w:rPr>
        <w:t xml:space="preserve">: </w:t>
      </w:r>
      <w:proofErr w:type="gramStart"/>
      <w:r w:rsidR="00BF2078" w:rsidRPr="004F507A">
        <w:rPr>
          <w:rFonts w:ascii="Arial" w:hAnsi="Arial" w:cs="Arial"/>
          <w:color w:val="000000"/>
          <w:sz w:val="22"/>
          <w:szCs w:val="22"/>
          <w:lang w:val="fr-FR"/>
        </w:rPr>
        <w:t>les trente</w:t>
      </w:r>
      <w:r w:rsidR="000E59D1" w:rsidRPr="004F507A">
        <w:rPr>
          <w:rFonts w:ascii="Arial" w:hAnsi="Arial" w:cs="Arial"/>
          <w:color w:val="000000"/>
          <w:sz w:val="22"/>
          <w:szCs w:val="22"/>
          <w:lang w:val="fr-FR"/>
        </w:rPr>
        <w:t> </w:t>
      </w:r>
      <w:r w:rsidR="00BF2078" w:rsidRPr="004F507A">
        <w:rPr>
          <w:rFonts w:ascii="Arial" w:hAnsi="Arial" w:cs="Arial"/>
          <w:color w:val="000000"/>
          <w:sz w:val="22"/>
          <w:szCs w:val="22"/>
          <w:lang w:val="fr-FR"/>
        </w:rPr>
        <w:t>et</w:t>
      </w:r>
      <w:r w:rsidR="000E59D1" w:rsidRPr="004F507A">
        <w:rPr>
          <w:rFonts w:ascii="Arial" w:hAnsi="Arial" w:cs="Arial"/>
          <w:color w:val="000000"/>
          <w:sz w:val="22"/>
          <w:szCs w:val="22"/>
          <w:lang w:val="fr-FR"/>
        </w:rPr>
        <w:t> </w:t>
      </w:r>
      <w:r w:rsidR="00BF2078" w:rsidRPr="004F507A">
        <w:rPr>
          <w:rFonts w:ascii="Arial" w:hAnsi="Arial" w:cs="Arial"/>
          <w:color w:val="000000"/>
          <w:sz w:val="22"/>
          <w:szCs w:val="22"/>
          <w:lang w:val="fr-FR"/>
        </w:rPr>
        <w:t>unième et trente</w:t>
      </w:r>
      <w:r w:rsidR="00525EB9">
        <w:rPr>
          <w:rFonts w:ascii="Arial" w:hAnsi="Arial" w:cs="Arial"/>
          <w:color w:val="000000"/>
          <w:sz w:val="22"/>
          <w:szCs w:val="22"/>
          <w:lang w:val="fr-FR"/>
        </w:rPr>
        <w:noBreakHyphen/>
      </w:r>
      <w:r w:rsidR="00BF2078" w:rsidRPr="004F507A">
        <w:rPr>
          <w:rFonts w:ascii="Arial" w:hAnsi="Arial" w:cs="Arial"/>
          <w:color w:val="000000"/>
          <w:sz w:val="22"/>
          <w:szCs w:val="22"/>
          <w:lang w:val="fr-FR"/>
        </w:rPr>
        <w:t>deuxième</w:t>
      </w:r>
      <w:r w:rsidR="000E59D1" w:rsidRPr="004F507A">
        <w:rPr>
          <w:rFonts w:ascii="Arial" w:hAnsi="Arial" w:cs="Arial"/>
          <w:color w:val="000000"/>
          <w:sz w:val="22"/>
          <w:szCs w:val="22"/>
          <w:lang w:val="fr-FR"/>
        </w:rPr>
        <w:t> </w:t>
      </w:r>
      <w:r w:rsidR="00BF2078" w:rsidRPr="004F507A">
        <w:rPr>
          <w:rFonts w:ascii="Arial" w:hAnsi="Arial" w:cs="Arial"/>
          <w:color w:val="000000"/>
          <w:sz w:val="22"/>
          <w:szCs w:val="22"/>
          <w:lang w:val="fr-FR"/>
        </w:rPr>
        <w:t>ses</w:t>
      </w:r>
      <w:r w:rsidR="00354DC2" w:rsidRPr="004F507A">
        <w:rPr>
          <w:rFonts w:ascii="Arial" w:hAnsi="Arial" w:cs="Arial"/>
          <w:color w:val="000000"/>
          <w:sz w:val="22"/>
          <w:szCs w:val="22"/>
          <w:lang w:val="fr-FR"/>
        </w:rPr>
        <w:t>sio</w:t>
      </w:r>
      <w:r w:rsidR="004F507A" w:rsidRPr="004F507A">
        <w:rPr>
          <w:rFonts w:ascii="Arial" w:hAnsi="Arial" w:cs="Arial"/>
          <w:color w:val="000000"/>
          <w:sz w:val="22"/>
          <w:szCs w:val="22"/>
          <w:lang w:val="fr-FR"/>
        </w:rPr>
        <w:t>ns</w:t>
      </w:r>
      <w:proofErr w:type="gramEnd"/>
      <w:r w:rsidR="004F507A" w:rsidRPr="004F507A">
        <w:rPr>
          <w:rFonts w:ascii="Arial" w:hAnsi="Arial" w:cs="Arial"/>
          <w:color w:val="000000"/>
          <w:sz w:val="22"/>
          <w:szCs w:val="22"/>
          <w:lang w:val="fr-FR"/>
        </w:rPr>
        <w:t>.  Af</w:t>
      </w:r>
      <w:r w:rsidR="00354DC2" w:rsidRPr="004F507A">
        <w:rPr>
          <w:rFonts w:ascii="Arial" w:hAnsi="Arial" w:cs="Arial"/>
          <w:color w:val="000000"/>
          <w:sz w:val="22"/>
          <w:szCs w:val="22"/>
          <w:lang w:val="fr-FR"/>
        </w:rPr>
        <w:t>in d</w:t>
      </w:r>
      <w:r w:rsidR="006D7B02" w:rsidRPr="004F507A">
        <w:rPr>
          <w:rFonts w:ascii="Arial" w:hAnsi="Arial" w:cs="Arial"/>
          <w:color w:val="000000"/>
          <w:sz w:val="22"/>
          <w:szCs w:val="22"/>
          <w:lang w:val="fr-FR"/>
        </w:rPr>
        <w:t>’</w:t>
      </w:r>
      <w:r w:rsidR="00354DC2" w:rsidRPr="004F507A">
        <w:rPr>
          <w:rFonts w:ascii="Arial" w:hAnsi="Arial" w:cs="Arial"/>
          <w:color w:val="000000"/>
          <w:sz w:val="22"/>
          <w:szCs w:val="22"/>
          <w:lang w:val="fr-FR"/>
        </w:rPr>
        <w:t>aider les États m</w:t>
      </w:r>
      <w:r w:rsidR="00BF2078" w:rsidRPr="004F507A">
        <w:rPr>
          <w:rFonts w:ascii="Arial" w:hAnsi="Arial" w:cs="Arial"/>
          <w:color w:val="000000"/>
          <w:sz w:val="22"/>
          <w:szCs w:val="22"/>
          <w:lang w:val="fr-FR"/>
        </w:rPr>
        <w:t>embres à préparer la trente</w:t>
      </w:r>
      <w:r w:rsidR="000E59D1" w:rsidRPr="004F507A">
        <w:rPr>
          <w:rFonts w:ascii="Arial" w:hAnsi="Arial" w:cs="Arial"/>
          <w:color w:val="000000"/>
          <w:sz w:val="22"/>
          <w:szCs w:val="22"/>
          <w:lang w:val="fr-FR"/>
        </w:rPr>
        <w:t> </w:t>
      </w:r>
      <w:r w:rsidR="00BF2078" w:rsidRPr="004F507A">
        <w:rPr>
          <w:rFonts w:ascii="Arial" w:hAnsi="Arial" w:cs="Arial"/>
          <w:color w:val="000000"/>
          <w:sz w:val="22"/>
          <w:szCs w:val="22"/>
          <w:lang w:val="fr-FR"/>
        </w:rPr>
        <w:t>et</w:t>
      </w:r>
      <w:r w:rsidR="000E59D1" w:rsidRPr="004F507A">
        <w:rPr>
          <w:rFonts w:ascii="Arial" w:hAnsi="Arial" w:cs="Arial"/>
          <w:color w:val="000000"/>
          <w:sz w:val="22"/>
          <w:szCs w:val="22"/>
          <w:lang w:val="fr-FR"/>
        </w:rPr>
        <w:t> </w:t>
      </w:r>
      <w:r w:rsidR="00BF2078" w:rsidRPr="004F507A">
        <w:rPr>
          <w:rFonts w:ascii="Arial" w:hAnsi="Arial" w:cs="Arial"/>
          <w:color w:val="000000"/>
          <w:sz w:val="22"/>
          <w:szCs w:val="22"/>
          <w:lang w:val="fr-FR"/>
        </w:rPr>
        <w:t>unième</w:t>
      </w:r>
      <w:r w:rsidR="000E59D1" w:rsidRPr="004F507A">
        <w:rPr>
          <w:rFonts w:ascii="Arial" w:hAnsi="Arial" w:cs="Arial"/>
          <w:color w:val="000000"/>
          <w:sz w:val="22"/>
          <w:szCs w:val="22"/>
          <w:lang w:val="fr-FR"/>
        </w:rPr>
        <w:t> </w:t>
      </w:r>
      <w:r w:rsidR="00BF2078" w:rsidRPr="004F507A">
        <w:rPr>
          <w:rFonts w:ascii="Arial" w:hAnsi="Arial" w:cs="Arial"/>
          <w:color w:val="000000"/>
          <w:sz w:val="22"/>
          <w:szCs w:val="22"/>
          <w:lang w:val="fr-FR"/>
        </w:rPr>
        <w:t>session de l</w:t>
      </w:r>
      <w:r w:rsidR="006D7B02" w:rsidRPr="004F507A">
        <w:rPr>
          <w:rFonts w:ascii="Arial" w:hAnsi="Arial" w:cs="Arial"/>
          <w:color w:val="000000"/>
          <w:sz w:val="22"/>
          <w:szCs w:val="22"/>
          <w:lang w:val="fr-FR"/>
        </w:rPr>
        <w:t>’</w:t>
      </w:r>
      <w:r w:rsidR="00BF2078" w:rsidRPr="004F507A">
        <w:rPr>
          <w:rFonts w:ascii="Arial" w:hAnsi="Arial" w:cs="Arial"/>
          <w:color w:val="000000"/>
          <w:sz w:val="22"/>
          <w:szCs w:val="22"/>
          <w:lang w:val="fr-FR"/>
        </w:rPr>
        <w:t>IGC, compte tenu du laps de temps important écoulé depuis la dernière session portant sur ce sujet, j</w:t>
      </w:r>
      <w:r w:rsidR="006D7B02" w:rsidRPr="004F507A">
        <w:rPr>
          <w:rFonts w:ascii="Arial" w:hAnsi="Arial" w:cs="Arial"/>
          <w:color w:val="000000"/>
          <w:sz w:val="22"/>
          <w:szCs w:val="22"/>
          <w:lang w:val="fr-FR"/>
        </w:rPr>
        <w:t>’</w:t>
      </w:r>
      <w:r w:rsidR="00BF2078" w:rsidRPr="004F507A">
        <w:rPr>
          <w:rFonts w:ascii="Arial" w:hAnsi="Arial" w:cs="Arial"/>
          <w:color w:val="000000"/>
          <w:sz w:val="22"/>
          <w:szCs w:val="22"/>
          <w:lang w:val="fr-FR"/>
        </w:rPr>
        <w:t>ai établi la courte note d</w:t>
      </w:r>
      <w:r w:rsidR="006D7B02" w:rsidRPr="004F507A">
        <w:rPr>
          <w:rFonts w:ascii="Arial" w:hAnsi="Arial" w:cs="Arial"/>
          <w:color w:val="000000"/>
          <w:sz w:val="22"/>
          <w:szCs w:val="22"/>
          <w:lang w:val="fr-FR"/>
        </w:rPr>
        <w:t>’</w:t>
      </w:r>
      <w:r w:rsidR="00BF2078" w:rsidRPr="004F507A">
        <w:rPr>
          <w:rFonts w:ascii="Arial" w:hAnsi="Arial" w:cs="Arial"/>
          <w:color w:val="000000"/>
          <w:sz w:val="22"/>
          <w:szCs w:val="22"/>
          <w:lang w:val="fr-FR"/>
        </w:rPr>
        <w:t>information suivante, qui comprend</w:t>
      </w:r>
      <w:r w:rsidR="000E59D1" w:rsidRPr="004F507A">
        <w:rPr>
          <w:rFonts w:ascii="Arial" w:hAnsi="Arial" w:cs="Arial"/>
          <w:color w:val="000000"/>
          <w:sz w:val="22"/>
          <w:szCs w:val="22"/>
          <w:lang w:val="fr-FR"/>
        </w:rPr>
        <w:t> </w:t>
      </w:r>
      <w:r w:rsidR="00BF2078" w:rsidRPr="004F507A">
        <w:rPr>
          <w:rFonts w:ascii="Arial" w:hAnsi="Arial" w:cs="Arial"/>
          <w:color w:val="000000"/>
          <w:sz w:val="22"/>
          <w:szCs w:val="22"/>
          <w:lang w:val="fr-FR"/>
        </w:rPr>
        <w:t>:</w:t>
      </w:r>
    </w:p>
    <w:p w:rsidR="004F60C4" w:rsidRPr="004F507A" w:rsidRDefault="004F507A" w:rsidP="002B5624">
      <w:pPr>
        <w:numPr>
          <w:ilvl w:val="0"/>
          <w:numId w:val="13"/>
        </w:numPr>
        <w:ind w:left="1134" w:hanging="567"/>
        <w:rPr>
          <w:rFonts w:ascii="Arial" w:hAnsi="Arial" w:cs="Arial"/>
          <w:sz w:val="22"/>
          <w:szCs w:val="22"/>
          <w:lang w:val="fr-FR"/>
        </w:rPr>
      </w:pPr>
      <w:r>
        <w:rPr>
          <w:rFonts w:ascii="Arial" w:hAnsi="Arial" w:cs="Arial"/>
          <w:color w:val="000000"/>
          <w:sz w:val="22"/>
          <w:szCs w:val="22"/>
          <w:lang w:val="fr-FR"/>
        </w:rPr>
        <w:t>u</w:t>
      </w:r>
      <w:r w:rsidR="00BF2078" w:rsidRPr="004F507A">
        <w:rPr>
          <w:rFonts w:ascii="Arial" w:hAnsi="Arial" w:cs="Arial"/>
          <w:color w:val="000000"/>
          <w:sz w:val="22"/>
          <w:szCs w:val="22"/>
          <w:lang w:val="fr-FR"/>
        </w:rPr>
        <w:t>n résumé des travaux menés par l</w:t>
      </w:r>
      <w:r w:rsidR="006D7B02" w:rsidRPr="004F507A">
        <w:rPr>
          <w:rFonts w:ascii="Arial" w:hAnsi="Arial" w:cs="Arial"/>
          <w:color w:val="000000"/>
          <w:sz w:val="22"/>
          <w:szCs w:val="22"/>
          <w:lang w:val="fr-FR"/>
        </w:rPr>
        <w:t>’</w:t>
      </w:r>
      <w:r w:rsidR="00BF2078" w:rsidRPr="004F507A">
        <w:rPr>
          <w:rFonts w:ascii="Arial" w:hAnsi="Arial" w:cs="Arial"/>
          <w:color w:val="000000"/>
          <w:sz w:val="22"/>
          <w:szCs w:val="22"/>
          <w:lang w:val="fr-FR"/>
        </w:rPr>
        <w:t>IGC concernant les savoirs traditionnels depuis le début des négociations sur la base d</w:t>
      </w:r>
      <w:r w:rsidR="006D7B02" w:rsidRPr="004F507A">
        <w:rPr>
          <w:rFonts w:ascii="Arial" w:hAnsi="Arial" w:cs="Arial"/>
          <w:color w:val="000000"/>
          <w:sz w:val="22"/>
          <w:szCs w:val="22"/>
          <w:lang w:val="fr-FR"/>
        </w:rPr>
        <w:t>’</w:t>
      </w:r>
      <w:r w:rsidR="00BF2078" w:rsidRPr="004F507A">
        <w:rPr>
          <w:rFonts w:ascii="Arial" w:hAnsi="Arial" w:cs="Arial"/>
          <w:color w:val="000000"/>
          <w:sz w:val="22"/>
          <w:szCs w:val="22"/>
          <w:lang w:val="fr-FR"/>
        </w:rPr>
        <w:t>un texte en</w:t>
      </w:r>
      <w:r w:rsidR="000E59D1" w:rsidRPr="004F507A">
        <w:rPr>
          <w:rFonts w:ascii="Arial" w:hAnsi="Arial" w:cs="Arial"/>
          <w:color w:val="000000"/>
          <w:sz w:val="22"/>
          <w:szCs w:val="22"/>
          <w:lang w:val="fr-FR"/>
        </w:rPr>
        <w:t> </w:t>
      </w:r>
      <w:r w:rsidR="00BF2078" w:rsidRPr="004F507A">
        <w:rPr>
          <w:rFonts w:ascii="Arial" w:hAnsi="Arial" w:cs="Arial"/>
          <w:color w:val="000000"/>
          <w:sz w:val="22"/>
          <w:szCs w:val="22"/>
          <w:lang w:val="fr-FR"/>
        </w:rPr>
        <w:t>2010;</w:t>
      </w:r>
    </w:p>
    <w:p w:rsidR="004F60C4" w:rsidRPr="004F507A" w:rsidRDefault="004F507A" w:rsidP="002B5624">
      <w:pPr>
        <w:numPr>
          <w:ilvl w:val="0"/>
          <w:numId w:val="13"/>
        </w:numPr>
        <w:ind w:left="1134" w:hanging="567"/>
        <w:rPr>
          <w:rFonts w:ascii="Arial" w:hAnsi="Arial" w:cs="Arial"/>
          <w:sz w:val="22"/>
          <w:szCs w:val="22"/>
          <w:lang w:val="fr-FR"/>
        </w:rPr>
      </w:pPr>
      <w:r>
        <w:rPr>
          <w:rFonts w:ascii="Arial" w:hAnsi="Arial" w:cs="Arial"/>
          <w:color w:val="000000"/>
          <w:sz w:val="22"/>
          <w:szCs w:val="22"/>
          <w:lang w:val="fr-FR"/>
        </w:rPr>
        <w:t>l</w:t>
      </w:r>
      <w:r w:rsidR="00BF2078" w:rsidRPr="004F507A">
        <w:rPr>
          <w:rFonts w:ascii="Arial" w:hAnsi="Arial" w:cs="Arial"/>
          <w:color w:val="000000"/>
          <w:sz w:val="22"/>
          <w:szCs w:val="22"/>
          <w:lang w:val="fr-FR"/>
        </w:rPr>
        <w:t>es éléments clés du mandat de l</w:t>
      </w:r>
      <w:r w:rsidR="006D7B02" w:rsidRPr="004F507A">
        <w:rPr>
          <w:rFonts w:ascii="Arial" w:hAnsi="Arial" w:cs="Arial"/>
          <w:color w:val="000000"/>
          <w:sz w:val="22"/>
          <w:szCs w:val="22"/>
          <w:lang w:val="fr-FR"/>
        </w:rPr>
        <w:t>’</w:t>
      </w:r>
      <w:r w:rsidR="00BF2078" w:rsidRPr="004F507A">
        <w:rPr>
          <w:rFonts w:ascii="Arial" w:hAnsi="Arial" w:cs="Arial"/>
          <w:color w:val="000000"/>
          <w:sz w:val="22"/>
          <w:szCs w:val="22"/>
          <w:lang w:val="fr-FR"/>
        </w:rPr>
        <w:t>IGC pour</w:t>
      </w:r>
      <w:r w:rsidR="000E59D1" w:rsidRPr="004F507A">
        <w:rPr>
          <w:rFonts w:ascii="Arial" w:hAnsi="Arial" w:cs="Arial"/>
          <w:color w:val="000000"/>
          <w:sz w:val="22"/>
          <w:szCs w:val="22"/>
          <w:lang w:val="fr-FR"/>
        </w:rPr>
        <w:t> </w:t>
      </w:r>
      <w:r w:rsidR="00B7341E" w:rsidRPr="004F507A">
        <w:rPr>
          <w:rFonts w:ascii="Arial" w:hAnsi="Arial" w:cs="Arial"/>
          <w:color w:val="000000"/>
          <w:sz w:val="22"/>
          <w:szCs w:val="22"/>
          <w:lang w:val="fr-FR"/>
        </w:rPr>
        <w:t>2016/</w:t>
      </w:r>
      <w:r w:rsidR="00BF2078" w:rsidRPr="004F507A">
        <w:rPr>
          <w:rFonts w:ascii="Arial" w:hAnsi="Arial" w:cs="Arial"/>
          <w:color w:val="000000"/>
          <w:sz w:val="22"/>
          <w:szCs w:val="22"/>
          <w:lang w:val="fr-FR"/>
        </w:rPr>
        <w:t>2017;</w:t>
      </w:r>
    </w:p>
    <w:p w:rsidR="004F60C4" w:rsidRPr="004F507A" w:rsidRDefault="004F507A" w:rsidP="002B5624">
      <w:pPr>
        <w:numPr>
          <w:ilvl w:val="0"/>
          <w:numId w:val="13"/>
        </w:numPr>
        <w:ind w:left="1134" w:hanging="567"/>
        <w:rPr>
          <w:rFonts w:ascii="Arial" w:hAnsi="Arial" w:cs="Arial"/>
          <w:sz w:val="22"/>
          <w:szCs w:val="22"/>
          <w:lang w:val="fr-FR"/>
        </w:rPr>
      </w:pPr>
      <w:r>
        <w:rPr>
          <w:rFonts w:ascii="Arial" w:hAnsi="Arial" w:cs="Arial"/>
          <w:color w:val="000000"/>
          <w:sz w:val="22"/>
          <w:szCs w:val="22"/>
          <w:lang w:val="fr-FR"/>
        </w:rPr>
        <w:t>u</w:t>
      </w:r>
      <w:r w:rsidR="00BF2078" w:rsidRPr="004F507A">
        <w:rPr>
          <w:rFonts w:ascii="Arial" w:hAnsi="Arial" w:cs="Arial"/>
          <w:color w:val="000000"/>
          <w:sz w:val="22"/>
          <w:szCs w:val="22"/>
          <w:lang w:val="fr-FR"/>
        </w:rPr>
        <w:t xml:space="preserve">n résumé des questions essentielles que les États </w:t>
      </w:r>
      <w:r w:rsidR="000E59D1" w:rsidRPr="004F507A">
        <w:rPr>
          <w:rFonts w:ascii="Arial" w:hAnsi="Arial" w:cs="Arial"/>
          <w:color w:val="000000"/>
          <w:sz w:val="22"/>
          <w:szCs w:val="22"/>
          <w:lang w:val="fr-FR"/>
        </w:rPr>
        <w:t>membres</w:t>
      </w:r>
      <w:r w:rsidR="00BF2078" w:rsidRPr="004F507A">
        <w:rPr>
          <w:rFonts w:ascii="Arial" w:hAnsi="Arial" w:cs="Arial"/>
          <w:color w:val="000000"/>
          <w:sz w:val="22"/>
          <w:szCs w:val="22"/>
          <w:lang w:val="fr-FR"/>
        </w:rPr>
        <w:t xml:space="preserve"> devraient, selon moi, examiner lors de la trente</w:t>
      </w:r>
      <w:r w:rsidR="000E59D1" w:rsidRPr="004F507A">
        <w:rPr>
          <w:rFonts w:ascii="Arial" w:hAnsi="Arial" w:cs="Arial"/>
          <w:color w:val="000000"/>
          <w:sz w:val="22"/>
          <w:szCs w:val="22"/>
          <w:lang w:val="fr-FR"/>
        </w:rPr>
        <w:t> </w:t>
      </w:r>
      <w:r w:rsidR="00BF2078" w:rsidRPr="004F507A">
        <w:rPr>
          <w:rFonts w:ascii="Arial" w:hAnsi="Arial" w:cs="Arial"/>
          <w:color w:val="000000"/>
          <w:sz w:val="22"/>
          <w:szCs w:val="22"/>
          <w:lang w:val="fr-FR"/>
        </w:rPr>
        <w:t>et</w:t>
      </w:r>
      <w:r w:rsidR="000E59D1" w:rsidRPr="004F507A">
        <w:rPr>
          <w:rFonts w:ascii="Arial" w:hAnsi="Arial" w:cs="Arial"/>
          <w:color w:val="000000"/>
          <w:sz w:val="22"/>
          <w:szCs w:val="22"/>
          <w:lang w:val="fr-FR"/>
        </w:rPr>
        <w:t> </w:t>
      </w:r>
      <w:r w:rsidR="00BF2078" w:rsidRPr="004F507A">
        <w:rPr>
          <w:rFonts w:ascii="Arial" w:hAnsi="Arial" w:cs="Arial"/>
          <w:color w:val="000000"/>
          <w:sz w:val="22"/>
          <w:szCs w:val="22"/>
          <w:lang w:val="fr-FR"/>
        </w:rPr>
        <w:t>unième</w:t>
      </w:r>
      <w:r w:rsidR="000E59D1" w:rsidRPr="004F507A">
        <w:rPr>
          <w:rFonts w:ascii="Arial" w:hAnsi="Arial" w:cs="Arial"/>
          <w:color w:val="000000"/>
          <w:sz w:val="22"/>
          <w:szCs w:val="22"/>
          <w:lang w:val="fr-FR"/>
        </w:rPr>
        <w:t> </w:t>
      </w:r>
      <w:r w:rsidR="00BF2078" w:rsidRPr="004F507A">
        <w:rPr>
          <w:rFonts w:ascii="Arial" w:hAnsi="Arial" w:cs="Arial"/>
          <w:color w:val="000000"/>
          <w:sz w:val="22"/>
          <w:szCs w:val="22"/>
          <w:lang w:val="fr-FR"/>
        </w:rPr>
        <w:t>session de l</w:t>
      </w:r>
      <w:r w:rsidR="006D7B02" w:rsidRPr="004F507A">
        <w:rPr>
          <w:rFonts w:ascii="Arial" w:hAnsi="Arial" w:cs="Arial"/>
          <w:color w:val="000000"/>
          <w:sz w:val="22"/>
          <w:szCs w:val="22"/>
          <w:lang w:val="fr-FR"/>
        </w:rPr>
        <w:t>’</w:t>
      </w:r>
      <w:r w:rsidR="00BF2078" w:rsidRPr="004F507A">
        <w:rPr>
          <w:rFonts w:ascii="Arial" w:hAnsi="Arial" w:cs="Arial"/>
          <w:color w:val="000000"/>
          <w:sz w:val="22"/>
          <w:szCs w:val="22"/>
          <w:lang w:val="fr-FR"/>
        </w:rPr>
        <w:t xml:space="preserve">IGC; </w:t>
      </w:r>
      <w:r w:rsidR="000E59D1" w:rsidRPr="004F507A">
        <w:rPr>
          <w:rFonts w:ascii="Arial" w:hAnsi="Arial" w:cs="Arial"/>
          <w:color w:val="000000"/>
          <w:sz w:val="22"/>
          <w:szCs w:val="22"/>
          <w:lang w:val="fr-FR"/>
        </w:rPr>
        <w:t xml:space="preserve"> </w:t>
      </w:r>
      <w:r w:rsidR="00BF2078" w:rsidRPr="004F507A">
        <w:rPr>
          <w:rFonts w:ascii="Arial" w:hAnsi="Arial" w:cs="Arial"/>
          <w:color w:val="000000"/>
          <w:sz w:val="22"/>
          <w:szCs w:val="22"/>
          <w:lang w:val="fr-FR"/>
        </w:rPr>
        <w:t>et</w:t>
      </w:r>
    </w:p>
    <w:p w:rsidR="004F60C4" w:rsidRPr="004F507A" w:rsidRDefault="004F507A" w:rsidP="002B5624">
      <w:pPr>
        <w:numPr>
          <w:ilvl w:val="0"/>
          <w:numId w:val="13"/>
        </w:numPr>
        <w:spacing w:after="240"/>
        <w:ind w:left="1134" w:hanging="567"/>
        <w:rPr>
          <w:rFonts w:ascii="Arial" w:hAnsi="Arial" w:cs="Arial"/>
          <w:sz w:val="22"/>
          <w:szCs w:val="22"/>
          <w:lang w:val="fr-FR"/>
        </w:rPr>
      </w:pPr>
      <w:r>
        <w:rPr>
          <w:rFonts w:ascii="Arial" w:hAnsi="Arial" w:cs="Arial"/>
          <w:color w:val="000000"/>
          <w:sz w:val="22"/>
          <w:szCs w:val="22"/>
          <w:lang w:val="fr-FR"/>
        </w:rPr>
        <w:t>u</w:t>
      </w:r>
      <w:r w:rsidR="00BE1417" w:rsidRPr="004F507A">
        <w:rPr>
          <w:rFonts w:ascii="Arial" w:hAnsi="Arial" w:cs="Arial"/>
          <w:color w:val="000000"/>
          <w:sz w:val="22"/>
          <w:szCs w:val="22"/>
          <w:lang w:val="fr-FR"/>
        </w:rPr>
        <w:t xml:space="preserve">n résumé des autres questions qui pourraient être abordées lors de cette session, étant entendu que leur examen </w:t>
      </w:r>
      <w:r w:rsidR="00B7341E" w:rsidRPr="004F507A">
        <w:rPr>
          <w:rFonts w:ascii="Arial" w:hAnsi="Arial" w:cs="Arial"/>
          <w:color w:val="000000"/>
          <w:sz w:val="22"/>
          <w:szCs w:val="22"/>
          <w:lang w:val="fr-FR"/>
        </w:rPr>
        <w:t>est</w:t>
      </w:r>
      <w:r w:rsidR="00BE1417" w:rsidRPr="004F507A">
        <w:rPr>
          <w:rFonts w:ascii="Arial" w:hAnsi="Arial" w:cs="Arial"/>
          <w:color w:val="000000"/>
          <w:sz w:val="22"/>
          <w:szCs w:val="22"/>
          <w:lang w:val="fr-FR"/>
        </w:rPr>
        <w:t xml:space="preserve"> </w:t>
      </w:r>
      <w:r w:rsidR="00B7341E" w:rsidRPr="004F507A">
        <w:rPr>
          <w:rFonts w:ascii="Arial" w:hAnsi="Arial" w:cs="Arial"/>
          <w:color w:val="000000"/>
          <w:sz w:val="22"/>
          <w:szCs w:val="22"/>
          <w:lang w:val="fr-FR"/>
        </w:rPr>
        <w:t>d</w:t>
      </w:r>
      <w:r w:rsidR="006D7B02" w:rsidRPr="004F507A">
        <w:rPr>
          <w:rFonts w:ascii="Arial" w:hAnsi="Arial" w:cs="Arial"/>
          <w:color w:val="000000"/>
          <w:sz w:val="22"/>
          <w:szCs w:val="22"/>
          <w:lang w:val="fr-FR"/>
        </w:rPr>
        <w:t>’</w:t>
      </w:r>
      <w:r w:rsidR="00BE1417" w:rsidRPr="004F507A">
        <w:rPr>
          <w:rFonts w:ascii="Arial" w:hAnsi="Arial" w:cs="Arial"/>
          <w:color w:val="000000"/>
          <w:sz w:val="22"/>
          <w:szCs w:val="22"/>
          <w:lang w:val="fr-FR"/>
        </w:rPr>
        <w:t>importance secondaire par rapport à la résolution des questions essentielles.</w:t>
      </w:r>
    </w:p>
    <w:p w:rsidR="004F60C4" w:rsidRPr="004F507A" w:rsidRDefault="00D01330" w:rsidP="002B5624">
      <w:pPr>
        <w:tabs>
          <w:tab w:val="left" w:pos="567"/>
        </w:tabs>
        <w:spacing w:after="240"/>
        <w:rPr>
          <w:rFonts w:ascii="Arial" w:hAnsi="Arial" w:cs="Arial"/>
          <w:color w:val="000000"/>
          <w:sz w:val="22"/>
          <w:szCs w:val="22"/>
          <w:lang w:val="fr-FR"/>
        </w:rPr>
      </w:pPr>
      <w:r w:rsidRPr="004F507A">
        <w:rPr>
          <w:rFonts w:ascii="Arial" w:hAnsi="Arial" w:cs="Arial"/>
          <w:sz w:val="22"/>
          <w:szCs w:val="22"/>
          <w:lang w:val="fr-FR"/>
        </w:rPr>
        <w:fldChar w:fldCharType="begin"/>
      </w:r>
      <w:r w:rsidR="00BE1417" w:rsidRPr="004F507A">
        <w:rPr>
          <w:rFonts w:ascii="Arial" w:hAnsi="Arial" w:cs="Arial"/>
          <w:sz w:val="22"/>
          <w:szCs w:val="22"/>
          <w:lang w:val="fr-FR"/>
        </w:rPr>
        <w:instrText xml:space="preserve"> autonum  </w:instrText>
      </w:r>
      <w:r w:rsidRPr="004F507A">
        <w:rPr>
          <w:rFonts w:ascii="Arial" w:hAnsi="Arial" w:cs="Arial"/>
          <w:sz w:val="22"/>
          <w:szCs w:val="22"/>
          <w:lang w:val="fr-FR"/>
        </w:rPr>
        <w:fldChar w:fldCharType="end"/>
      </w:r>
      <w:r w:rsidRPr="004F507A">
        <w:rPr>
          <w:rFonts w:ascii="Arial" w:hAnsi="Arial" w:cs="Arial"/>
          <w:sz w:val="22"/>
          <w:szCs w:val="22"/>
          <w:lang w:val="fr-FR"/>
        </w:rPr>
        <w:tab/>
      </w:r>
      <w:r w:rsidR="00354DC2" w:rsidRPr="004F507A">
        <w:rPr>
          <w:rFonts w:ascii="Arial" w:hAnsi="Arial" w:cs="Arial"/>
          <w:color w:val="000000"/>
          <w:sz w:val="22"/>
          <w:szCs w:val="22"/>
          <w:lang w:val="fr-FR"/>
        </w:rPr>
        <w:t>La présente note est factuelle et informelle, et ne possède aucun statut</w:t>
      </w:r>
      <w:r w:rsidR="00192190" w:rsidRPr="004F507A">
        <w:rPr>
          <w:rFonts w:ascii="Arial" w:hAnsi="Arial" w:cs="Arial"/>
          <w:color w:val="000000"/>
          <w:sz w:val="22"/>
          <w:szCs w:val="22"/>
          <w:lang w:val="fr-FR"/>
        </w:rPr>
        <w:t xml:space="preserve"> </w:t>
      </w:r>
      <w:r w:rsidR="0053225E" w:rsidRPr="004F507A">
        <w:rPr>
          <w:rFonts w:ascii="Arial" w:hAnsi="Arial" w:cs="Arial"/>
          <w:color w:val="000000"/>
          <w:sz w:val="22"/>
          <w:szCs w:val="22"/>
          <w:lang w:val="fr-FR"/>
        </w:rPr>
        <w:t>particuli</w:t>
      </w:r>
      <w:r w:rsidR="004F507A" w:rsidRPr="004F507A">
        <w:rPr>
          <w:rFonts w:ascii="Arial" w:hAnsi="Arial" w:cs="Arial"/>
          <w:color w:val="000000"/>
          <w:sz w:val="22"/>
          <w:szCs w:val="22"/>
          <w:lang w:val="fr-FR"/>
        </w:rPr>
        <w:t xml:space="preserve">er.  </w:t>
      </w:r>
      <w:r w:rsidR="004F507A" w:rsidRPr="004F507A">
        <w:rPr>
          <w:rFonts w:ascii="Arial" w:hAnsi="Arial" w:cs="Arial"/>
          <w:b/>
          <w:color w:val="000000"/>
          <w:sz w:val="22"/>
          <w:szCs w:val="22"/>
          <w:lang w:val="fr-FR"/>
        </w:rPr>
        <w:t>Je</w:t>
      </w:r>
      <w:r w:rsidR="00354DC2" w:rsidRPr="004F507A">
        <w:rPr>
          <w:rFonts w:ascii="Arial" w:hAnsi="Arial" w:cs="Arial"/>
          <w:b/>
          <w:color w:val="000000"/>
          <w:sz w:val="22"/>
          <w:szCs w:val="22"/>
          <w:lang w:val="fr-FR"/>
        </w:rPr>
        <w:t xml:space="preserve"> souligne que toutes les </w:t>
      </w:r>
      <w:r w:rsidR="00431402" w:rsidRPr="004F507A">
        <w:rPr>
          <w:rFonts w:ascii="Arial" w:hAnsi="Arial" w:cs="Arial"/>
          <w:b/>
          <w:color w:val="000000"/>
          <w:sz w:val="22"/>
          <w:szCs w:val="22"/>
          <w:lang w:val="fr-FR"/>
        </w:rPr>
        <w:t>vue</w:t>
      </w:r>
      <w:r w:rsidR="00192190" w:rsidRPr="004F507A">
        <w:rPr>
          <w:rFonts w:ascii="Arial" w:hAnsi="Arial" w:cs="Arial"/>
          <w:b/>
          <w:color w:val="000000"/>
          <w:sz w:val="22"/>
          <w:szCs w:val="22"/>
          <w:lang w:val="fr-FR"/>
        </w:rPr>
        <w:t>s</w:t>
      </w:r>
      <w:r w:rsidR="00354DC2" w:rsidRPr="004F507A">
        <w:rPr>
          <w:rFonts w:ascii="Arial" w:hAnsi="Arial" w:cs="Arial"/>
          <w:b/>
          <w:color w:val="000000"/>
          <w:sz w:val="22"/>
          <w:szCs w:val="22"/>
          <w:lang w:val="fr-FR"/>
        </w:rPr>
        <w:t xml:space="preserve"> qui peuvent y être exprimées sont uniquement les miennes</w:t>
      </w:r>
      <w:r w:rsidR="00727D5C" w:rsidRPr="004F507A">
        <w:rPr>
          <w:rFonts w:ascii="Arial" w:hAnsi="Arial" w:cs="Arial"/>
          <w:b/>
          <w:color w:val="000000"/>
          <w:sz w:val="22"/>
          <w:szCs w:val="22"/>
          <w:lang w:val="fr-FR"/>
        </w:rPr>
        <w:t>,</w:t>
      </w:r>
      <w:r w:rsidR="00354DC2" w:rsidRPr="004F507A">
        <w:rPr>
          <w:rFonts w:ascii="Arial" w:hAnsi="Arial" w:cs="Arial"/>
          <w:b/>
          <w:color w:val="000000"/>
          <w:sz w:val="22"/>
          <w:szCs w:val="22"/>
          <w:lang w:val="fr-FR"/>
        </w:rPr>
        <w:t xml:space="preserve"> </w:t>
      </w:r>
      <w:r w:rsidR="00727D5C" w:rsidRPr="004F507A">
        <w:rPr>
          <w:rFonts w:ascii="Arial" w:hAnsi="Arial" w:cs="Arial"/>
          <w:b/>
          <w:color w:val="000000"/>
          <w:sz w:val="22"/>
          <w:szCs w:val="22"/>
          <w:lang w:val="fr-FR"/>
        </w:rPr>
        <w:t>sans préjudice des</w:t>
      </w:r>
      <w:r w:rsidR="00431402" w:rsidRPr="004F507A">
        <w:rPr>
          <w:rFonts w:ascii="Arial" w:hAnsi="Arial" w:cs="Arial"/>
          <w:b/>
          <w:color w:val="000000"/>
          <w:sz w:val="22"/>
          <w:szCs w:val="22"/>
          <w:lang w:val="fr-FR"/>
        </w:rPr>
        <w:t xml:space="preserve"> positions </w:t>
      </w:r>
      <w:r w:rsidR="0053225E" w:rsidRPr="004F507A">
        <w:rPr>
          <w:rFonts w:ascii="Arial" w:hAnsi="Arial" w:cs="Arial"/>
          <w:b/>
          <w:color w:val="000000"/>
          <w:sz w:val="22"/>
          <w:szCs w:val="22"/>
          <w:lang w:val="fr-FR"/>
        </w:rPr>
        <w:t xml:space="preserve">éventuelles </w:t>
      </w:r>
      <w:r w:rsidR="00431402" w:rsidRPr="004F507A">
        <w:rPr>
          <w:rFonts w:ascii="Arial" w:hAnsi="Arial" w:cs="Arial"/>
          <w:b/>
          <w:color w:val="000000"/>
          <w:sz w:val="22"/>
          <w:szCs w:val="22"/>
          <w:lang w:val="fr-FR"/>
        </w:rPr>
        <w:t>des</w:t>
      </w:r>
      <w:r w:rsidR="00354DC2" w:rsidRPr="004F507A">
        <w:rPr>
          <w:rFonts w:ascii="Arial" w:hAnsi="Arial" w:cs="Arial"/>
          <w:b/>
          <w:color w:val="000000"/>
          <w:sz w:val="22"/>
          <w:szCs w:val="22"/>
          <w:lang w:val="fr-FR"/>
        </w:rPr>
        <w:t xml:space="preserve"> États membres sur les questions considérées.</w:t>
      </w:r>
    </w:p>
    <w:p w:rsidR="004F60C4" w:rsidRPr="004F507A" w:rsidRDefault="00431402" w:rsidP="002B5624">
      <w:pPr>
        <w:tabs>
          <w:tab w:val="left" w:pos="567"/>
        </w:tabs>
        <w:spacing w:after="240"/>
        <w:rPr>
          <w:rFonts w:ascii="Arial" w:hAnsi="Arial" w:cs="Arial"/>
          <w:b/>
          <w:sz w:val="22"/>
          <w:szCs w:val="22"/>
          <w:lang w:val="fr-FR"/>
        </w:rPr>
      </w:pPr>
      <w:r w:rsidRPr="004F507A">
        <w:rPr>
          <w:rFonts w:ascii="Arial" w:hAnsi="Arial" w:cs="Arial"/>
          <w:b/>
          <w:color w:val="000000"/>
          <w:sz w:val="22"/>
          <w:szCs w:val="22"/>
          <w:lang w:val="fr-FR"/>
        </w:rPr>
        <w:t>Négociations sur la base d</w:t>
      </w:r>
      <w:r w:rsidR="006D7B02" w:rsidRPr="004F507A">
        <w:rPr>
          <w:rFonts w:ascii="Arial" w:hAnsi="Arial" w:cs="Arial"/>
          <w:b/>
          <w:color w:val="000000"/>
          <w:sz w:val="22"/>
          <w:szCs w:val="22"/>
          <w:lang w:val="fr-FR"/>
        </w:rPr>
        <w:t>’</w:t>
      </w:r>
      <w:r w:rsidRPr="004F507A">
        <w:rPr>
          <w:rFonts w:ascii="Arial" w:hAnsi="Arial" w:cs="Arial"/>
          <w:b/>
          <w:color w:val="000000"/>
          <w:sz w:val="22"/>
          <w:szCs w:val="22"/>
          <w:lang w:val="fr-FR"/>
        </w:rPr>
        <w:t>un texte concernant les savoirs traditionnels</w:t>
      </w:r>
    </w:p>
    <w:p w:rsidR="004F60C4" w:rsidRPr="004F507A" w:rsidRDefault="007E26AD" w:rsidP="002B5624">
      <w:pPr>
        <w:tabs>
          <w:tab w:val="left" w:pos="567"/>
        </w:tabs>
        <w:spacing w:after="240"/>
        <w:rPr>
          <w:rFonts w:ascii="Arial" w:hAnsi="Arial" w:cs="Arial"/>
          <w:sz w:val="22"/>
          <w:szCs w:val="22"/>
          <w:lang w:val="fr-FR"/>
        </w:rPr>
      </w:pPr>
      <w:r w:rsidRPr="004F507A">
        <w:rPr>
          <w:rFonts w:ascii="Arial" w:hAnsi="Arial" w:cs="Arial"/>
          <w:sz w:val="22"/>
          <w:szCs w:val="22"/>
          <w:lang w:val="fr-FR"/>
        </w:rPr>
        <w:fldChar w:fldCharType="begin"/>
      </w:r>
      <w:r w:rsidRPr="004F507A">
        <w:rPr>
          <w:rFonts w:ascii="Arial" w:hAnsi="Arial" w:cs="Arial"/>
          <w:sz w:val="22"/>
          <w:szCs w:val="22"/>
          <w:lang w:val="fr-FR"/>
        </w:rPr>
        <w:instrText xml:space="preserve"> AUTONUM  </w:instrText>
      </w:r>
      <w:r w:rsidRPr="004F507A">
        <w:rPr>
          <w:rFonts w:ascii="Arial" w:hAnsi="Arial" w:cs="Arial"/>
          <w:sz w:val="22"/>
          <w:szCs w:val="22"/>
          <w:lang w:val="fr-FR"/>
        </w:rPr>
        <w:fldChar w:fldCharType="end"/>
      </w:r>
      <w:r w:rsidRPr="004F507A">
        <w:rPr>
          <w:rFonts w:ascii="Arial" w:hAnsi="Arial" w:cs="Arial"/>
          <w:sz w:val="22"/>
          <w:szCs w:val="22"/>
          <w:lang w:val="fr-FR"/>
        </w:rPr>
        <w:tab/>
      </w:r>
      <w:r w:rsidR="00431402" w:rsidRPr="004F507A">
        <w:rPr>
          <w:rFonts w:ascii="Arial" w:hAnsi="Arial" w:cs="Arial"/>
          <w:color w:val="000000"/>
          <w:sz w:val="22"/>
          <w:szCs w:val="22"/>
          <w:lang w:val="fr-FR"/>
        </w:rPr>
        <w:t>Depuis</w:t>
      </w:r>
      <w:r w:rsidR="000E59D1" w:rsidRPr="004F507A">
        <w:rPr>
          <w:rFonts w:ascii="Arial" w:hAnsi="Arial" w:cs="Arial"/>
          <w:color w:val="000000"/>
          <w:sz w:val="22"/>
          <w:szCs w:val="22"/>
          <w:lang w:val="fr-FR"/>
        </w:rPr>
        <w:t> </w:t>
      </w:r>
      <w:r w:rsidR="00431402" w:rsidRPr="004F507A">
        <w:rPr>
          <w:rFonts w:ascii="Arial" w:hAnsi="Arial" w:cs="Arial"/>
          <w:color w:val="000000"/>
          <w:sz w:val="22"/>
          <w:szCs w:val="22"/>
          <w:lang w:val="fr-FR"/>
        </w:rPr>
        <w:t>2010, l</w:t>
      </w:r>
      <w:r w:rsidR="006D7B02" w:rsidRPr="004F507A">
        <w:rPr>
          <w:rFonts w:ascii="Arial" w:hAnsi="Arial" w:cs="Arial"/>
          <w:color w:val="000000"/>
          <w:sz w:val="22"/>
          <w:szCs w:val="22"/>
          <w:lang w:val="fr-FR"/>
        </w:rPr>
        <w:t>’</w:t>
      </w:r>
      <w:r w:rsidR="00431402" w:rsidRPr="004F507A">
        <w:rPr>
          <w:rFonts w:ascii="Arial" w:hAnsi="Arial" w:cs="Arial"/>
          <w:color w:val="000000"/>
          <w:sz w:val="22"/>
          <w:szCs w:val="22"/>
          <w:lang w:val="fr-FR"/>
        </w:rPr>
        <w:t>IGC mène des négociations sur la base d</w:t>
      </w:r>
      <w:r w:rsidR="006D7B02" w:rsidRPr="004F507A">
        <w:rPr>
          <w:rFonts w:ascii="Arial" w:hAnsi="Arial" w:cs="Arial"/>
          <w:color w:val="000000"/>
          <w:sz w:val="22"/>
          <w:szCs w:val="22"/>
          <w:lang w:val="fr-FR"/>
        </w:rPr>
        <w:t>’</w:t>
      </w:r>
      <w:r w:rsidR="00431402" w:rsidRPr="004F507A">
        <w:rPr>
          <w:rFonts w:ascii="Arial" w:hAnsi="Arial" w:cs="Arial"/>
          <w:color w:val="000000"/>
          <w:sz w:val="22"/>
          <w:szCs w:val="22"/>
          <w:lang w:val="fr-FR"/>
        </w:rPr>
        <w:t>un texte</w:t>
      </w:r>
      <w:r w:rsidR="0017760B" w:rsidRPr="004F507A">
        <w:rPr>
          <w:rFonts w:ascii="Arial" w:hAnsi="Arial" w:cs="Arial"/>
          <w:color w:val="000000"/>
          <w:sz w:val="22"/>
          <w:szCs w:val="22"/>
          <w:lang w:val="fr-FR"/>
        </w:rPr>
        <w:t>,</w:t>
      </w:r>
      <w:r w:rsidR="00431402" w:rsidRPr="004F507A">
        <w:rPr>
          <w:rFonts w:ascii="Arial" w:hAnsi="Arial" w:cs="Arial"/>
          <w:color w:val="000000"/>
          <w:sz w:val="22"/>
          <w:szCs w:val="22"/>
          <w:lang w:val="fr-FR"/>
        </w:rPr>
        <w:t xml:space="preserve"> </w:t>
      </w:r>
      <w:r w:rsidR="00727D5C" w:rsidRPr="004F507A">
        <w:rPr>
          <w:rFonts w:ascii="Arial" w:hAnsi="Arial" w:cs="Arial"/>
          <w:color w:val="000000"/>
          <w:sz w:val="22"/>
          <w:szCs w:val="22"/>
          <w:lang w:val="fr-FR"/>
        </w:rPr>
        <w:t>afin</w:t>
      </w:r>
      <w:r w:rsidR="00431402" w:rsidRPr="004F507A">
        <w:rPr>
          <w:rFonts w:ascii="Arial" w:hAnsi="Arial" w:cs="Arial"/>
          <w:color w:val="000000"/>
          <w:sz w:val="22"/>
          <w:szCs w:val="22"/>
          <w:lang w:val="fr-FR"/>
        </w:rPr>
        <w:t xml:space="preserve"> de parvenir à un accord sur le texte d</w:t>
      </w:r>
      <w:r w:rsidR="006D7B02" w:rsidRPr="004F507A">
        <w:rPr>
          <w:rFonts w:ascii="Arial" w:hAnsi="Arial" w:cs="Arial"/>
          <w:color w:val="000000"/>
          <w:sz w:val="22"/>
          <w:szCs w:val="22"/>
          <w:lang w:val="fr-FR"/>
        </w:rPr>
        <w:t>’</w:t>
      </w:r>
      <w:r w:rsidR="00431402" w:rsidRPr="004F507A">
        <w:rPr>
          <w:rFonts w:ascii="Arial" w:hAnsi="Arial" w:cs="Arial"/>
          <w:color w:val="000000"/>
          <w:sz w:val="22"/>
          <w:szCs w:val="22"/>
          <w:lang w:val="fr-FR"/>
        </w:rPr>
        <w:t xml:space="preserve">un ou plusieurs instruments juridiques internationaux </w:t>
      </w:r>
      <w:r w:rsidR="00727D5C" w:rsidRPr="004F507A">
        <w:rPr>
          <w:rFonts w:ascii="Arial" w:hAnsi="Arial" w:cs="Arial"/>
          <w:color w:val="000000"/>
          <w:sz w:val="22"/>
          <w:szCs w:val="22"/>
          <w:lang w:val="fr-FR"/>
        </w:rPr>
        <w:t>propre</w:t>
      </w:r>
      <w:r w:rsidR="00431402" w:rsidRPr="004F507A">
        <w:rPr>
          <w:rFonts w:ascii="Arial" w:hAnsi="Arial" w:cs="Arial"/>
          <w:color w:val="000000"/>
          <w:sz w:val="22"/>
          <w:szCs w:val="22"/>
          <w:lang w:val="fr-FR"/>
        </w:rPr>
        <w:t xml:space="preserve">s à garantir une protection </w:t>
      </w:r>
      <w:r w:rsidR="00727D5C" w:rsidRPr="004F507A">
        <w:rPr>
          <w:rFonts w:ascii="Arial" w:hAnsi="Arial" w:cs="Arial"/>
          <w:color w:val="000000"/>
          <w:sz w:val="22"/>
          <w:szCs w:val="22"/>
          <w:lang w:val="fr-FR"/>
        </w:rPr>
        <w:t>effective</w:t>
      </w:r>
      <w:r w:rsidR="00431402" w:rsidRPr="004F507A">
        <w:rPr>
          <w:rFonts w:ascii="Arial" w:hAnsi="Arial" w:cs="Arial"/>
          <w:color w:val="000000"/>
          <w:sz w:val="22"/>
          <w:szCs w:val="22"/>
          <w:lang w:val="fr-FR"/>
        </w:rPr>
        <w:t xml:space="preserve"> des savoirs traditionnels (ainsi que des ressources génétiques et des expressions culturelles traditionnelles).</w:t>
      </w:r>
    </w:p>
    <w:p w:rsidR="004F60C4" w:rsidRPr="004F507A" w:rsidRDefault="007E26AD" w:rsidP="002B5624">
      <w:pPr>
        <w:tabs>
          <w:tab w:val="left" w:pos="567"/>
        </w:tabs>
        <w:spacing w:after="240"/>
        <w:rPr>
          <w:rFonts w:ascii="Arial" w:hAnsi="Arial" w:cs="Arial"/>
          <w:color w:val="000000"/>
          <w:sz w:val="22"/>
          <w:szCs w:val="22"/>
          <w:lang w:val="fr-FR"/>
        </w:rPr>
      </w:pPr>
      <w:r w:rsidRPr="004F507A">
        <w:rPr>
          <w:rFonts w:ascii="Arial" w:hAnsi="Arial" w:cs="Arial"/>
          <w:sz w:val="22"/>
          <w:szCs w:val="22"/>
          <w:lang w:val="fr-FR"/>
        </w:rPr>
        <w:fldChar w:fldCharType="begin"/>
      </w:r>
      <w:r w:rsidRPr="004F507A">
        <w:rPr>
          <w:rFonts w:ascii="Arial" w:hAnsi="Arial" w:cs="Arial"/>
          <w:sz w:val="22"/>
          <w:szCs w:val="22"/>
          <w:lang w:val="fr-FR"/>
        </w:rPr>
        <w:instrText xml:space="preserve"> AUTONUM  </w:instrText>
      </w:r>
      <w:r w:rsidRPr="004F507A">
        <w:rPr>
          <w:rFonts w:ascii="Arial" w:hAnsi="Arial" w:cs="Arial"/>
          <w:sz w:val="22"/>
          <w:szCs w:val="22"/>
          <w:lang w:val="fr-FR"/>
        </w:rPr>
        <w:fldChar w:fldCharType="end"/>
      </w:r>
      <w:r w:rsidRPr="004F507A">
        <w:rPr>
          <w:rFonts w:ascii="Arial" w:hAnsi="Arial" w:cs="Arial"/>
          <w:sz w:val="22"/>
          <w:szCs w:val="22"/>
          <w:lang w:val="fr-FR"/>
        </w:rPr>
        <w:tab/>
      </w:r>
      <w:r w:rsidR="00D304C4" w:rsidRPr="004F507A">
        <w:rPr>
          <w:rFonts w:ascii="Arial" w:hAnsi="Arial" w:cs="Arial"/>
          <w:color w:val="000000"/>
          <w:sz w:val="22"/>
          <w:szCs w:val="22"/>
          <w:lang w:val="fr-FR"/>
        </w:rPr>
        <w:t>Au cours</w:t>
      </w:r>
      <w:r w:rsidR="00727D5C" w:rsidRPr="004F507A">
        <w:rPr>
          <w:rFonts w:ascii="Arial" w:hAnsi="Arial" w:cs="Arial"/>
          <w:color w:val="000000"/>
          <w:sz w:val="22"/>
          <w:szCs w:val="22"/>
          <w:lang w:val="fr-FR"/>
        </w:rPr>
        <w:t xml:space="preserve"> de l</w:t>
      </w:r>
      <w:r w:rsidR="006D7B02" w:rsidRPr="004F507A">
        <w:rPr>
          <w:rFonts w:ascii="Arial" w:hAnsi="Arial" w:cs="Arial"/>
          <w:color w:val="000000"/>
          <w:sz w:val="22"/>
          <w:szCs w:val="22"/>
          <w:lang w:val="fr-FR"/>
        </w:rPr>
        <w:t>’</w:t>
      </w:r>
      <w:r w:rsidR="00727D5C" w:rsidRPr="004F507A">
        <w:rPr>
          <w:rFonts w:ascii="Arial" w:hAnsi="Arial" w:cs="Arial"/>
          <w:color w:val="000000"/>
          <w:sz w:val="22"/>
          <w:szCs w:val="22"/>
          <w:lang w:val="fr-FR"/>
        </w:rPr>
        <w:t>exercice biennal</w:t>
      </w:r>
      <w:r w:rsidR="000E59D1" w:rsidRPr="004F507A">
        <w:rPr>
          <w:rFonts w:ascii="Arial" w:hAnsi="Arial" w:cs="Arial"/>
          <w:color w:val="000000"/>
          <w:sz w:val="22"/>
          <w:szCs w:val="22"/>
          <w:lang w:val="fr-FR"/>
        </w:rPr>
        <w:t> </w:t>
      </w:r>
      <w:r w:rsidR="00727D5C" w:rsidRPr="004F507A">
        <w:rPr>
          <w:rFonts w:ascii="Arial" w:hAnsi="Arial" w:cs="Arial"/>
          <w:color w:val="000000"/>
          <w:sz w:val="22"/>
          <w:szCs w:val="22"/>
          <w:lang w:val="fr-FR"/>
        </w:rPr>
        <w:t>2010/</w:t>
      </w:r>
      <w:r w:rsidR="00A521D1" w:rsidRPr="004F507A">
        <w:rPr>
          <w:rFonts w:ascii="Arial" w:hAnsi="Arial" w:cs="Arial"/>
          <w:color w:val="000000"/>
          <w:sz w:val="22"/>
          <w:szCs w:val="22"/>
          <w:lang w:val="fr-FR"/>
        </w:rPr>
        <w:t>2011, qui s</w:t>
      </w:r>
      <w:r w:rsidR="006D7B02" w:rsidRPr="004F507A">
        <w:rPr>
          <w:rFonts w:ascii="Arial" w:hAnsi="Arial" w:cs="Arial"/>
          <w:color w:val="000000"/>
          <w:sz w:val="22"/>
          <w:szCs w:val="22"/>
          <w:lang w:val="fr-FR"/>
        </w:rPr>
        <w:t>’</w:t>
      </w:r>
      <w:r w:rsidR="00A521D1" w:rsidRPr="004F507A">
        <w:rPr>
          <w:rFonts w:ascii="Arial" w:hAnsi="Arial" w:cs="Arial"/>
          <w:color w:val="000000"/>
          <w:sz w:val="22"/>
          <w:szCs w:val="22"/>
          <w:lang w:val="fr-FR"/>
        </w:rPr>
        <w:t>est ouvert par la seizième</w:t>
      </w:r>
      <w:r w:rsidR="000E59D1" w:rsidRPr="004F507A">
        <w:rPr>
          <w:rFonts w:ascii="Arial" w:hAnsi="Arial" w:cs="Arial"/>
          <w:color w:val="000000"/>
          <w:sz w:val="22"/>
          <w:szCs w:val="22"/>
          <w:lang w:val="fr-FR"/>
        </w:rPr>
        <w:t> </w:t>
      </w:r>
      <w:r w:rsidR="00C92A99" w:rsidRPr="004F507A">
        <w:rPr>
          <w:rFonts w:ascii="Arial" w:hAnsi="Arial" w:cs="Arial"/>
          <w:color w:val="000000"/>
          <w:sz w:val="22"/>
          <w:szCs w:val="22"/>
          <w:lang w:val="fr-FR"/>
        </w:rPr>
        <w:t>session de l</w:t>
      </w:r>
      <w:r w:rsidR="006D7B02" w:rsidRPr="004F507A">
        <w:rPr>
          <w:rFonts w:ascii="Arial" w:hAnsi="Arial" w:cs="Arial"/>
          <w:color w:val="000000"/>
          <w:sz w:val="22"/>
          <w:szCs w:val="22"/>
          <w:lang w:val="fr-FR"/>
        </w:rPr>
        <w:t>’</w:t>
      </w:r>
      <w:r w:rsidR="00C92A99" w:rsidRPr="004F507A">
        <w:rPr>
          <w:rFonts w:ascii="Arial" w:hAnsi="Arial" w:cs="Arial"/>
          <w:color w:val="000000"/>
          <w:sz w:val="22"/>
          <w:szCs w:val="22"/>
          <w:lang w:val="fr-FR"/>
        </w:rPr>
        <w:t xml:space="preserve">IGC, </w:t>
      </w:r>
      <w:r w:rsidR="00727D5C" w:rsidRPr="004F507A">
        <w:rPr>
          <w:rFonts w:ascii="Arial" w:hAnsi="Arial" w:cs="Arial"/>
          <w:color w:val="000000"/>
          <w:sz w:val="22"/>
          <w:szCs w:val="22"/>
          <w:lang w:val="fr-FR"/>
        </w:rPr>
        <w:t>le comité</w:t>
      </w:r>
      <w:r w:rsidR="00D304C4" w:rsidRPr="004F507A">
        <w:rPr>
          <w:rFonts w:ascii="Arial" w:hAnsi="Arial" w:cs="Arial"/>
          <w:color w:val="000000"/>
          <w:sz w:val="22"/>
          <w:szCs w:val="22"/>
          <w:lang w:val="fr-FR"/>
        </w:rPr>
        <w:t xml:space="preserve"> s</w:t>
      </w:r>
      <w:r w:rsidR="006D7B02" w:rsidRPr="004F507A">
        <w:rPr>
          <w:rFonts w:ascii="Arial" w:hAnsi="Arial" w:cs="Arial"/>
          <w:color w:val="000000"/>
          <w:sz w:val="22"/>
          <w:szCs w:val="22"/>
          <w:lang w:val="fr-FR"/>
        </w:rPr>
        <w:t>’</w:t>
      </w:r>
      <w:r w:rsidR="00D304C4" w:rsidRPr="004F507A">
        <w:rPr>
          <w:rFonts w:ascii="Arial" w:hAnsi="Arial" w:cs="Arial"/>
          <w:color w:val="000000"/>
          <w:sz w:val="22"/>
          <w:szCs w:val="22"/>
          <w:lang w:val="fr-FR"/>
        </w:rPr>
        <w:t>est appuyé</w:t>
      </w:r>
      <w:r w:rsidR="00A521D1" w:rsidRPr="004F507A">
        <w:rPr>
          <w:rFonts w:ascii="Arial" w:hAnsi="Arial" w:cs="Arial"/>
          <w:color w:val="000000"/>
          <w:sz w:val="22"/>
          <w:szCs w:val="22"/>
          <w:lang w:val="fr-FR"/>
        </w:rPr>
        <w:t xml:space="preserve"> sur les </w:t>
      </w:r>
      <w:r w:rsidR="00727D5C" w:rsidRPr="004F507A">
        <w:rPr>
          <w:rFonts w:ascii="Arial" w:hAnsi="Arial" w:cs="Arial"/>
          <w:color w:val="000000"/>
          <w:sz w:val="22"/>
          <w:szCs w:val="22"/>
          <w:lang w:val="fr-FR"/>
        </w:rPr>
        <w:t>activité</w:t>
      </w:r>
      <w:r w:rsidR="00C92A99" w:rsidRPr="004F507A">
        <w:rPr>
          <w:rFonts w:ascii="Arial" w:hAnsi="Arial" w:cs="Arial"/>
          <w:color w:val="000000"/>
          <w:sz w:val="22"/>
          <w:szCs w:val="22"/>
          <w:lang w:val="fr-FR"/>
        </w:rPr>
        <w:t>s</w:t>
      </w:r>
      <w:r w:rsidR="00A521D1" w:rsidRPr="004F507A">
        <w:rPr>
          <w:rFonts w:ascii="Arial" w:hAnsi="Arial" w:cs="Arial"/>
          <w:color w:val="000000"/>
          <w:sz w:val="22"/>
          <w:szCs w:val="22"/>
          <w:lang w:val="fr-FR"/>
        </w:rPr>
        <w:t xml:space="preserve"> </w:t>
      </w:r>
      <w:r w:rsidR="00D304C4" w:rsidRPr="004F507A">
        <w:rPr>
          <w:rFonts w:ascii="Arial" w:hAnsi="Arial" w:cs="Arial"/>
          <w:color w:val="000000"/>
          <w:sz w:val="22"/>
          <w:szCs w:val="22"/>
          <w:lang w:val="fr-FR"/>
        </w:rPr>
        <w:t>qu</w:t>
      </w:r>
      <w:r w:rsidR="006D7B02" w:rsidRPr="004F507A">
        <w:rPr>
          <w:rFonts w:ascii="Arial" w:hAnsi="Arial" w:cs="Arial"/>
          <w:color w:val="000000"/>
          <w:sz w:val="22"/>
          <w:szCs w:val="22"/>
          <w:lang w:val="fr-FR"/>
        </w:rPr>
        <w:t>’</w:t>
      </w:r>
      <w:r w:rsidR="00D304C4" w:rsidRPr="004F507A">
        <w:rPr>
          <w:rFonts w:ascii="Arial" w:hAnsi="Arial" w:cs="Arial"/>
          <w:color w:val="000000"/>
          <w:sz w:val="22"/>
          <w:szCs w:val="22"/>
          <w:lang w:val="fr-FR"/>
        </w:rPr>
        <w:t>il</w:t>
      </w:r>
      <w:r w:rsidR="00A521D1" w:rsidRPr="004F507A">
        <w:rPr>
          <w:rFonts w:ascii="Arial" w:hAnsi="Arial" w:cs="Arial"/>
          <w:color w:val="000000"/>
          <w:sz w:val="22"/>
          <w:szCs w:val="22"/>
          <w:lang w:val="fr-FR"/>
        </w:rPr>
        <w:t xml:space="preserve"> avait </w:t>
      </w:r>
      <w:r w:rsidR="00727D5C" w:rsidRPr="004F507A">
        <w:rPr>
          <w:rFonts w:ascii="Arial" w:hAnsi="Arial" w:cs="Arial"/>
          <w:color w:val="000000"/>
          <w:sz w:val="22"/>
          <w:szCs w:val="22"/>
          <w:lang w:val="fr-FR"/>
        </w:rPr>
        <w:t>menée</w:t>
      </w:r>
      <w:r w:rsidR="00A521D1" w:rsidRPr="004F507A">
        <w:rPr>
          <w:rFonts w:ascii="Arial" w:hAnsi="Arial" w:cs="Arial"/>
          <w:color w:val="000000"/>
          <w:sz w:val="22"/>
          <w:szCs w:val="22"/>
          <w:lang w:val="fr-FR"/>
        </w:rPr>
        <w:t>s jusqu</w:t>
      </w:r>
      <w:r w:rsidR="006D7B02" w:rsidRPr="004F507A">
        <w:rPr>
          <w:rFonts w:ascii="Arial" w:hAnsi="Arial" w:cs="Arial"/>
          <w:color w:val="000000"/>
          <w:sz w:val="22"/>
          <w:szCs w:val="22"/>
          <w:lang w:val="fr-FR"/>
        </w:rPr>
        <w:t>’</w:t>
      </w:r>
      <w:r w:rsidR="00A521D1" w:rsidRPr="004F507A">
        <w:rPr>
          <w:rFonts w:ascii="Arial" w:hAnsi="Arial" w:cs="Arial"/>
          <w:color w:val="000000"/>
          <w:sz w:val="22"/>
          <w:szCs w:val="22"/>
          <w:lang w:val="fr-FR"/>
        </w:rPr>
        <w:t>alo</w:t>
      </w:r>
      <w:r w:rsidR="004F507A" w:rsidRPr="004F507A">
        <w:rPr>
          <w:rFonts w:ascii="Arial" w:hAnsi="Arial" w:cs="Arial"/>
          <w:color w:val="000000"/>
          <w:sz w:val="22"/>
          <w:szCs w:val="22"/>
          <w:lang w:val="fr-FR"/>
        </w:rPr>
        <w:t>rs.  Le</w:t>
      </w:r>
      <w:r w:rsidR="00A521D1" w:rsidRPr="004F507A">
        <w:rPr>
          <w:rFonts w:ascii="Arial" w:hAnsi="Arial" w:cs="Arial"/>
          <w:color w:val="000000"/>
          <w:sz w:val="22"/>
          <w:szCs w:val="22"/>
          <w:lang w:val="fr-FR"/>
        </w:rPr>
        <w:t xml:space="preserve"> </w:t>
      </w:r>
      <w:r w:rsidR="00727D5C" w:rsidRPr="004F507A">
        <w:rPr>
          <w:rFonts w:ascii="Arial" w:hAnsi="Arial" w:cs="Arial"/>
          <w:color w:val="000000"/>
          <w:sz w:val="22"/>
          <w:szCs w:val="22"/>
          <w:lang w:val="fr-FR"/>
        </w:rPr>
        <w:t>d</w:t>
      </w:r>
      <w:r w:rsidR="00A521D1" w:rsidRPr="004F507A">
        <w:rPr>
          <w:rFonts w:ascii="Arial" w:hAnsi="Arial" w:cs="Arial"/>
          <w:color w:val="000000"/>
          <w:sz w:val="22"/>
          <w:szCs w:val="22"/>
          <w:lang w:val="fr-FR"/>
        </w:rPr>
        <w:t>ocument WIPO/GRTKF/IC/9/5 a servi de base à ces trava</w:t>
      </w:r>
      <w:r w:rsidR="004F507A" w:rsidRPr="004F507A">
        <w:rPr>
          <w:rFonts w:ascii="Arial" w:hAnsi="Arial" w:cs="Arial"/>
          <w:color w:val="000000"/>
          <w:sz w:val="22"/>
          <w:szCs w:val="22"/>
          <w:lang w:val="fr-FR"/>
        </w:rPr>
        <w:t>ux.  Ce</w:t>
      </w:r>
      <w:r w:rsidR="0017760B" w:rsidRPr="004F507A">
        <w:rPr>
          <w:rFonts w:ascii="Arial" w:hAnsi="Arial" w:cs="Arial"/>
          <w:color w:val="000000"/>
          <w:sz w:val="22"/>
          <w:szCs w:val="22"/>
          <w:lang w:val="fr-FR"/>
        </w:rPr>
        <w:t xml:space="preserve">t exercice biennal </w:t>
      </w:r>
      <w:r w:rsidR="00727D5C" w:rsidRPr="004F507A">
        <w:rPr>
          <w:rFonts w:ascii="Arial" w:hAnsi="Arial" w:cs="Arial"/>
          <w:color w:val="000000"/>
          <w:sz w:val="22"/>
          <w:szCs w:val="22"/>
          <w:lang w:val="fr-FR"/>
        </w:rPr>
        <w:t>a donné lieu à</w:t>
      </w:r>
      <w:r w:rsidR="0017760B" w:rsidRPr="004F507A">
        <w:rPr>
          <w:rFonts w:ascii="Arial" w:hAnsi="Arial" w:cs="Arial"/>
          <w:color w:val="000000"/>
          <w:sz w:val="22"/>
          <w:szCs w:val="22"/>
          <w:lang w:val="fr-FR"/>
        </w:rPr>
        <w:t xml:space="preserve"> un groupe de travail intersessions sur les savoirs traditionnels, qui s</w:t>
      </w:r>
      <w:r w:rsidR="006D7B02" w:rsidRPr="004F507A">
        <w:rPr>
          <w:rFonts w:ascii="Arial" w:hAnsi="Arial" w:cs="Arial"/>
          <w:color w:val="000000"/>
          <w:sz w:val="22"/>
          <w:szCs w:val="22"/>
          <w:lang w:val="fr-FR"/>
        </w:rPr>
        <w:t>’</w:t>
      </w:r>
      <w:r w:rsidR="0017760B" w:rsidRPr="004F507A">
        <w:rPr>
          <w:rFonts w:ascii="Arial" w:hAnsi="Arial" w:cs="Arial"/>
          <w:color w:val="000000"/>
          <w:sz w:val="22"/>
          <w:szCs w:val="22"/>
          <w:lang w:val="fr-FR"/>
        </w:rPr>
        <w:t xml:space="preserve">est </w:t>
      </w:r>
      <w:r w:rsidR="00727D5C" w:rsidRPr="004F507A">
        <w:rPr>
          <w:rFonts w:ascii="Arial" w:hAnsi="Arial" w:cs="Arial"/>
          <w:color w:val="000000"/>
          <w:sz w:val="22"/>
          <w:szCs w:val="22"/>
          <w:lang w:val="fr-FR"/>
        </w:rPr>
        <w:t>réuni</w:t>
      </w:r>
      <w:r w:rsidR="0017760B" w:rsidRPr="004F507A">
        <w:rPr>
          <w:rFonts w:ascii="Arial" w:hAnsi="Arial" w:cs="Arial"/>
          <w:color w:val="000000"/>
          <w:sz w:val="22"/>
          <w:szCs w:val="22"/>
          <w:lang w:val="fr-FR"/>
        </w:rPr>
        <w:t xml:space="preserve"> en </w:t>
      </w:r>
      <w:r w:rsidR="006D7B02" w:rsidRPr="004F507A">
        <w:rPr>
          <w:rFonts w:ascii="Arial" w:hAnsi="Arial" w:cs="Arial"/>
          <w:color w:val="000000"/>
          <w:sz w:val="22"/>
          <w:szCs w:val="22"/>
          <w:lang w:val="fr-FR"/>
        </w:rPr>
        <w:t>février 20</w:t>
      </w:r>
      <w:r w:rsidR="008A6717">
        <w:rPr>
          <w:rFonts w:ascii="Arial" w:hAnsi="Arial" w:cs="Arial"/>
          <w:color w:val="000000"/>
          <w:sz w:val="22"/>
          <w:szCs w:val="22"/>
          <w:lang w:val="fr-FR"/>
        </w:rPr>
        <w:t>11</w:t>
      </w:r>
      <w:r w:rsidR="0017760B" w:rsidRPr="004F507A">
        <w:rPr>
          <w:rFonts w:ascii="Arial" w:hAnsi="Arial" w:cs="Arial"/>
          <w:color w:val="000000"/>
          <w:sz w:val="22"/>
          <w:szCs w:val="22"/>
          <w:lang w:val="fr-FR"/>
        </w:rPr>
        <w:t xml:space="preserve"> et </w:t>
      </w:r>
      <w:r w:rsidR="00727D5C" w:rsidRPr="004F507A">
        <w:rPr>
          <w:rFonts w:ascii="Arial" w:hAnsi="Arial" w:cs="Arial"/>
          <w:color w:val="000000"/>
          <w:sz w:val="22"/>
          <w:szCs w:val="22"/>
          <w:lang w:val="fr-FR"/>
        </w:rPr>
        <w:t xml:space="preserve">a permis de </w:t>
      </w:r>
      <w:r w:rsidR="0017760B" w:rsidRPr="004F507A">
        <w:rPr>
          <w:rFonts w:ascii="Arial" w:hAnsi="Arial" w:cs="Arial"/>
          <w:color w:val="000000"/>
          <w:sz w:val="22"/>
          <w:szCs w:val="22"/>
          <w:lang w:val="fr-FR"/>
        </w:rPr>
        <w:t>fix</w:t>
      </w:r>
      <w:r w:rsidR="00727D5C" w:rsidRPr="004F507A">
        <w:rPr>
          <w:rFonts w:ascii="Arial" w:hAnsi="Arial" w:cs="Arial"/>
          <w:color w:val="000000"/>
          <w:sz w:val="22"/>
          <w:szCs w:val="22"/>
          <w:lang w:val="fr-FR"/>
        </w:rPr>
        <w:t>er</w:t>
      </w:r>
      <w:r w:rsidR="0017760B" w:rsidRPr="004F507A">
        <w:rPr>
          <w:rFonts w:ascii="Arial" w:hAnsi="Arial" w:cs="Arial"/>
          <w:color w:val="000000"/>
          <w:sz w:val="22"/>
          <w:szCs w:val="22"/>
          <w:lang w:val="fr-FR"/>
        </w:rPr>
        <w:t xml:space="preserve"> le cadre des discussions relatives aux savoirs traditionne</w:t>
      </w:r>
      <w:r w:rsidR="004F507A" w:rsidRPr="004F507A">
        <w:rPr>
          <w:rFonts w:ascii="Arial" w:hAnsi="Arial" w:cs="Arial"/>
          <w:color w:val="000000"/>
          <w:sz w:val="22"/>
          <w:szCs w:val="22"/>
          <w:lang w:val="fr-FR"/>
        </w:rPr>
        <w:t>ls.  Le</w:t>
      </w:r>
      <w:r w:rsidR="0017760B" w:rsidRPr="004F507A">
        <w:rPr>
          <w:rFonts w:ascii="Arial" w:hAnsi="Arial" w:cs="Arial"/>
          <w:color w:val="000000"/>
          <w:sz w:val="22"/>
          <w:szCs w:val="22"/>
          <w:lang w:val="fr-FR"/>
        </w:rPr>
        <w:t>s résultats de ces travaux ont été revus et modifiés lors des dix</w:t>
      </w:r>
      <w:r w:rsidR="00525EB9">
        <w:rPr>
          <w:rFonts w:ascii="Arial" w:hAnsi="Arial" w:cs="Arial"/>
          <w:color w:val="000000"/>
          <w:sz w:val="22"/>
          <w:szCs w:val="22"/>
          <w:lang w:val="fr-FR"/>
        </w:rPr>
        <w:noBreakHyphen/>
      </w:r>
      <w:r w:rsidR="0017760B" w:rsidRPr="004F507A">
        <w:rPr>
          <w:rFonts w:ascii="Arial" w:hAnsi="Arial" w:cs="Arial"/>
          <w:color w:val="000000"/>
          <w:sz w:val="22"/>
          <w:szCs w:val="22"/>
          <w:lang w:val="fr-FR"/>
        </w:rPr>
        <w:t>huitième et dix</w:t>
      </w:r>
      <w:r w:rsidR="00525EB9">
        <w:rPr>
          <w:rFonts w:ascii="Arial" w:hAnsi="Arial" w:cs="Arial"/>
          <w:color w:val="000000"/>
          <w:sz w:val="22"/>
          <w:szCs w:val="22"/>
          <w:lang w:val="fr-FR"/>
        </w:rPr>
        <w:noBreakHyphen/>
      </w:r>
      <w:r w:rsidR="0017760B" w:rsidRPr="004F507A">
        <w:rPr>
          <w:rFonts w:ascii="Arial" w:hAnsi="Arial" w:cs="Arial"/>
          <w:color w:val="000000"/>
          <w:sz w:val="22"/>
          <w:szCs w:val="22"/>
          <w:lang w:val="fr-FR"/>
        </w:rPr>
        <w:t>neuvième</w:t>
      </w:r>
      <w:r w:rsidR="000E59D1" w:rsidRPr="004F507A">
        <w:rPr>
          <w:rFonts w:ascii="Arial" w:hAnsi="Arial" w:cs="Arial"/>
          <w:color w:val="000000"/>
          <w:sz w:val="22"/>
          <w:szCs w:val="22"/>
          <w:lang w:val="fr-FR"/>
        </w:rPr>
        <w:t> </w:t>
      </w:r>
      <w:r w:rsidR="0017760B" w:rsidRPr="004F507A">
        <w:rPr>
          <w:rFonts w:ascii="Arial" w:hAnsi="Arial" w:cs="Arial"/>
          <w:color w:val="000000"/>
          <w:sz w:val="22"/>
          <w:szCs w:val="22"/>
          <w:lang w:val="fr-FR"/>
        </w:rPr>
        <w:t>sessions de l</w:t>
      </w:r>
      <w:r w:rsidR="006D7B02" w:rsidRPr="004F507A">
        <w:rPr>
          <w:rFonts w:ascii="Arial" w:hAnsi="Arial" w:cs="Arial"/>
          <w:color w:val="000000"/>
          <w:sz w:val="22"/>
          <w:szCs w:val="22"/>
          <w:lang w:val="fr-FR"/>
        </w:rPr>
        <w:t>’</w:t>
      </w:r>
      <w:r w:rsidR="0017760B" w:rsidRPr="004F507A">
        <w:rPr>
          <w:rFonts w:ascii="Arial" w:hAnsi="Arial" w:cs="Arial"/>
          <w:color w:val="000000"/>
          <w:sz w:val="22"/>
          <w:szCs w:val="22"/>
          <w:lang w:val="fr-FR"/>
        </w:rPr>
        <w:t>IGC.</w:t>
      </w:r>
      <w:r w:rsidR="008641ED">
        <w:rPr>
          <w:rFonts w:ascii="Arial" w:hAnsi="Arial" w:cs="Arial"/>
          <w:color w:val="000000"/>
          <w:sz w:val="22"/>
          <w:szCs w:val="22"/>
          <w:lang w:val="fr-FR"/>
        </w:rPr>
        <w:t xml:space="preserve"> </w:t>
      </w:r>
    </w:p>
    <w:p w:rsidR="004F60C4" w:rsidRPr="004F507A" w:rsidRDefault="007E26AD" w:rsidP="002B5624">
      <w:pPr>
        <w:tabs>
          <w:tab w:val="left" w:pos="567"/>
        </w:tabs>
        <w:spacing w:after="240"/>
        <w:rPr>
          <w:rFonts w:ascii="Arial" w:hAnsi="Arial" w:cs="Arial"/>
          <w:color w:val="000000"/>
          <w:sz w:val="22"/>
          <w:szCs w:val="22"/>
          <w:lang w:val="fr-FR"/>
        </w:rPr>
      </w:pPr>
      <w:r w:rsidRPr="004F507A">
        <w:rPr>
          <w:rFonts w:ascii="Arial" w:hAnsi="Arial" w:cs="Arial"/>
          <w:sz w:val="22"/>
          <w:szCs w:val="22"/>
          <w:lang w:val="fr-FR"/>
        </w:rPr>
        <w:fldChar w:fldCharType="begin"/>
      </w:r>
      <w:r w:rsidRPr="004F507A">
        <w:rPr>
          <w:rFonts w:ascii="Arial" w:hAnsi="Arial" w:cs="Arial"/>
          <w:sz w:val="22"/>
          <w:szCs w:val="22"/>
          <w:lang w:val="fr-FR"/>
        </w:rPr>
        <w:instrText xml:space="preserve"> AUTONUM  </w:instrText>
      </w:r>
      <w:r w:rsidRPr="004F507A">
        <w:rPr>
          <w:rFonts w:ascii="Arial" w:hAnsi="Arial" w:cs="Arial"/>
          <w:sz w:val="22"/>
          <w:szCs w:val="22"/>
          <w:lang w:val="fr-FR"/>
        </w:rPr>
        <w:fldChar w:fldCharType="end"/>
      </w:r>
      <w:r w:rsidRPr="004F507A">
        <w:rPr>
          <w:rFonts w:ascii="Arial" w:hAnsi="Arial" w:cs="Arial"/>
          <w:sz w:val="22"/>
          <w:szCs w:val="22"/>
          <w:lang w:val="fr-FR"/>
        </w:rPr>
        <w:tab/>
      </w:r>
      <w:r w:rsidR="00727D5C" w:rsidRPr="004F507A">
        <w:rPr>
          <w:rFonts w:ascii="Arial" w:hAnsi="Arial" w:cs="Arial"/>
          <w:color w:val="000000"/>
          <w:sz w:val="22"/>
          <w:szCs w:val="22"/>
          <w:lang w:val="fr-FR"/>
        </w:rPr>
        <w:t>L</w:t>
      </w:r>
      <w:r w:rsidR="006D7B02" w:rsidRPr="004F507A">
        <w:rPr>
          <w:rFonts w:ascii="Arial" w:hAnsi="Arial" w:cs="Arial"/>
          <w:color w:val="000000"/>
          <w:sz w:val="22"/>
          <w:szCs w:val="22"/>
          <w:lang w:val="fr-FR"/>
        </w:rPr>
        <w:t>’</w:t>
      </w:r>
      <w:r w:rsidR="0053225E" w:rsidRPr="004F507A">
        <w:rPr>
          <w:rFonts w:ascii="Arial" w:hAnsi="Arial" w:cs="Arial"/>
          <w:color w:val="000000"/>
          <w:sz w:val="22"/>
          <w:szCs w:val="22"/>
          <w:lang w:val="fr-FR"/>
        </w:rPr>
        <w:t>exercice biennal</w:t>
      </w:r>
      <w:r w:rsidR="000E59D1" w:rsidRPr="004F507A">
        <w:rPr>
          <w:rFonts w:ascii="Arial" w:hAnsi="Arial" w:cs="Arial"/>
          <w:color w:val="000000"/>
          <w:sz w:val="22"/>
          <w:szCs w:val="22"/>
          <w:lang w:val="fr-FR"/>
        </w:rPr>
        <w:t> </w:t>
      </w:r>
      <w:r w:rsidR="0053225E" w:rsidRPr="004F507A">
        <w:rPr>
          <w:rFonts w:ascii="Arial" w:hAnsi="Arial" w:cs="Arial"/>
          <w:color w:val="000000"/>
          <w:sz w:val="22"/>
          <w:szCs w:val="22"/>
          <w:lang w:val="fr-FR"/>
        </w:rPr>
        <w:t>2012/2013</w:t>
      </w:r>
      <w:r w:rsidR="00727D5C" w:rsidRPr="004F507A">
        <w:rPr>
          <w:rFonts w:ascii="Arial" w:hAnsi="Arial" w:cs="Arial"/>
          <w:color w:val="000000"/>
          <w:sz w:val="22"/>
          <w:szCs w:val="22"/>
          <w:lang w:val="fr-FR"/>
        </w:rPr>
        <w:t xml:space="preserve"> a donné lieu à deux</w:t>
      </w:r>
      <w:r w:rsidR="000E59D1" w:rsidRPr="004F507A">
        <w:rPr>
          <w:rFonts w:ascii="Arial" w:hAnsi="Arial" w:cs="Arial"/>
          <w:color w:val="000000"/>
          <w:sz w:val="22"/>
          <w:szCs w:val="22"/>
          <w:lang w:val="fr-FR"/>
        </w:rPr>
        <w:t> </w:t>
      </w:r>
      <w:r w:rsidR="00727D5C" w:rsidRPr="004F507A">
        <w:rPr>
          <w:rFonts w:ascii="Arial" w:hAnsi="Arial" w:cs="Arial"/>
          <w:color w:val="000000"/>
          <w:sz w:val="22"/>
          <w:szCs w:val="22"/>
          <w:lang w:val="fr-FR"/>
        </w:rPr>
        <w:t>sessions thématiques sur</w:t>
      </w:r>
      <w:r w:rsidR="0053225E" w:rsidRPr="004F507A">
        <w:rPr>
          <w:rFonts w:ascii="Arial" w:hAnsi="Arial" w:cs="Arial"/>
          <w:color w:val="000000"/>
          <w:sz w:val="22"/>
          <w:szCs w:val="22"/>
          <w:lang w:val="fr-FR"/>
        </w:rPr>
        <w:t xml:space="preserve"> </w:t>
      </w:r>
      <w:r w:rsidR="00C92A99" w:rsidRPr="004F507A">
        <w:rPr>
          <w:rFonts w:ascii="Arial" w:hAnsi="Arial" w:cs="Arial"/>
          <w:color w:val="000000"/>
          <w:sz w:val="22"/>
          <w:szCs w:val="22"/>
          <w:lang w:val="fr-FR"/>
        </w:rPr>
        <w:t>les savoirs traditionnels</w:t>
      </w:r>
      <w:r w:rsidR="000E59D1" w:rsidRPr="004F507A">
        <w:rPr>
          <w:rFonts w:ascii="Arial" w:hAnsi="Arial" w:cs="Arial"/>
          <w:color w:val="000000"/>
          <w:sz w:val="22"/>
          <w:szCs w:val="22"/>
          <w:lang w:val="fr-FR"/>
        </w:rPr>
        <w:t> </w:t>
      </w:r>
      <w:r w:rsidR="00727D5C" w:rsidRPr="004F507A">
        <w:rPr>
          <w:rFonts w:ascii="Arial" w:hAnsi="Arial" w:cs="Arial"/>
          <w:color w:val="000000"/>
          <w:sz w:val="22"/>
          <w:szCs w:val="22"/>
          <w:lang w:val="fr-FR"/>
        </w:rPr>
        <w:t>:</w:t>
      </w:r>
      <w:r w:rsidR="00C92A99" w:rsidRPr="004F507A">
        <w:rPr>
          <w:rFonts w:ascii="Arial" w:hAnsi="Arial" w:cs="Arial"/>
          <w:color w:val="000000"/>
          <w:sz w:val="22"/>
          <w:szCs w:val="22"/>
          <w:lang w:val="fr-FR"/>
        </w:rPr>
        <w:t xml:space="preserve"> </w:t>
      </w:r>
      <w:r w:rsidR="0053225E" w:rsidRPr="004F507A">
        <w:rPr>
          <w:rFonts w:ascii="Arial" w:hAnsi="Arial" w:cs="Arial"/>
          <w:color w:val="000000"/>
          <w:sz w:val="22"/>
          <w:szCs w:val="22"/>
          <w:lang w:val="fr-FR"/>
        </w:rPr>
        <w:t>les vingt</w:t>
      </w:r>
      <w:r w:rsidR="000E59D1" w:rsidRPr="004F507A">
        <w:rPr>
          <w:rFonts w:ascii="Arial" w:hAnsi="Arial" w:cs="Arial"/>
          <w:color w:val="000000"/>
          <w:sz w:val="22"/>
          <w:szCs w:val="22"/>
          <w:lang w:val="fr-FR"/>
        </w:rPr>
        <w:t> </w:t>
      </w:r>
      <w:r w:rsidR="0053225E" w:rsidRPr="004F507A">
        <w:rPr>
          <w:rFonts w:ascii="Arial" w:hAnsi="Arial" w:cs="Arial"/>
          <w:color w:val="000000"/>
          <w:sz w:val="22"/>
          <w:szCs w:val="22"/>
          <w:lang w:val="fr-FR"/>
        </w:rPr>
        <w:t>et</w:t>
      </w:r>
      <w:r w:rsidR="000E59D1" w:rsidRPr="004F507A">
        <w:rPr>
          <w:rFonts w:ascii="Arial" w:hAnsi="Arial" w:cs="Arial"/>
          <w:color w:val="000000"/>
          <w:sz w:val="22"/>
          <w:szCs w:val="22"/>
          <w:lang w:val="fr-FR"/>
        </w:rPr>
        <w:t> </w:t>
      </w:r>
      <w:r w:rsidR="0053225E" w:rsidRPr="004F507A">
        <w:rPr>
          <w:rFonts w:ascii="Arial" w:hAnsi="Arial" w:cs="Arial"/>
          <w:color w:val="000000"/>
          <w:sz w:val="22"/>
          <w:szCs w:val="22"/>
          <w:lang w:val="fr-FR"/>
        </w:rPr>
        <w:t>unième et vingt</w:t>
      </w:r>
      <w:r w:rsidR="00525EB9">
        <w:rPr>
          <w:rFonts w:ascii="Arial" w:hAnsi="Arial" w:cs="Arial"/>
          <w:color w:val="000000"/>
          <w:sz w:val="22"/>
          <w:szCs w:val="22"/>
          <w:lang w:val="fr-FR"/>
        </w:rPr>
        <w:noBreakHyphen/>
      </w:r>
      <w:r w:rsidR="0053225E" w:rsidRPr="004F507A">
        <w:rPr>
          <w:rFonts w:ascii="Arial" w:hAnsi="Arial" w:cs="Arial"/>
          <w:color w:val="000000"/>
          <w:sz w:val="22"/>
          <w:szCs w:val="22"/>
          <w:lang w:val="fr-FR"/>
        </w:rPr>
        <w:t>quatrième</w:t>
      </w:r>
      <w:r w:rsidR="000E59D1" w:rsidRPr="004F507A">
        <w:rPr>
          <w:rFonts w:ascii="Arial" w:hAnsi="Arial" w:cs="Arial"/>
          <w:color w:val="000000"/>
          <w:sz w:val="22"/>
          <w:szCs w:val="22"/>
          <w:lang w:val="fr-FR"/>
        </w:rPr>
        <w:t> </w:t>
      </w:r>
      <w:r w:rsidR="0053225E" w:rsidRPr="004F507A">
        <w:rPr>
          <w:rFonts w:ascii="Arial" w:hAnsi="Arial" w:cs="Arial"/>
          <w:color w:val="000000"/>
          <w:sz w:val="22"/>
          <w:szCs w:val="22"/>
          <w:lang w:val="fr-FR"/>
        </w:rPr>
        <w:t>sessions de l</w:t>
      </w:r>
      <w:r w:rsidR="006D7B02" w:rsidRPr="004F507A">
        <w:rPr>
          <w:rFonts w:ascii="Arial" w:hAnsi="Arial" w:cs="Arial"/>
          <w:color w:val="000000"/>
          <w:sz w:val="22"/>
          <w:szCs w:val="22"/>
          <w:lang w:val="fr-FR"/>
        </w:rPr>
        <w:t>’</w:t>
      </w:r>
      <w:r w:rsidR="004F507A" w:rsidRPr="004F507A">
        <w:rPr>
          <w:rFonts w:ascii="Arial" w:hAnsi="Arial" w:cs="Arial"/>
          <w:color w:val="000000"/>
          <w:sz w:val="22"/>
          <w:szCs w:val="22"/>
          <w:lang w:val="fr-FR"/>
        </w:rPr>
        <w:t>IGC.  Co</w:t>
      </w:r>
      <w:r w:rsidR="00A309C3" w:rsidRPr="004F507A">
        <w:rPr>
          <w:rFonts w:ascii="Arial" w:hAnsi="Arial" w:cs="Arial"/>
          <w:color w:val="000000"/>
          <w:sz w:val="22"/>
          <w:szCs w:val="22"/>
          <w:lang w:val="fr-FR"/>
        </w:rPr>
        <w:t xml:space="preserve">nformément au </w:t>
      </w:r>
      <w:r w:rsidR="00A309C3" w:rsidRPr="004F507A">
        <w:rPr>
          <w:rFonts w:ascii="Arial" w:hAnsi="Arial" w:cs="Arial"/>
          <w:color w:val="000000"/>
          <w:sz w:val="22"/>
          <w:szCs w:val="22"/>
          <w:lang w:val="fr-FR"/>
        </w:rPr>
        <w:lastRenderedPageBreak/>
        <w:t xml:space="preserve">mandat alors confié </w:t>
      </w:r>
      <w:r w:rsidR="00727D5C" w:rsidRPr="004F507A">
        <w:rPr>
          <w:rFonts w:ascii="Arial" w:hAnsi="Arial" w:cs="Arial"/>
          <w:color w:val="000000"/>
          <w:sz w:val="22"/>
          <w:szCs w:val="22"/>
          <w:lang w:val="fr-FR"/>
        </w:rPr>
        <w:t>au comité</w:t>
      </w:r>
      <w:r w:rsidR="00A309C3" w:rsidRPr="004F507A">
        <w:rPr>
          <w:rFonts w:ascii="Arial" w:hAnsi="Arial" w:cs="Arial"/>
          <w:color w:val="000000"/>
          <w:sz w:val="22"/>
          <w:szCs w:val="22"/>
          <w:lang w:val="fr-FR"/>
        </w:rPr>
        <w:t xml:space="preserve">, ces sessions ont porté </w:t>
      </w:r>
      <w:r w:rsidR="00DF672A" w:rsidRPr="004F507A">
        <w:rPr>
          <w:rFonts w:ascii="Arial" w:hAnsi="Arial" w:cs="Arial"/>
          <w:color w:val="000000"/>
          <w:sz w:val="22"/>
          <w:szCs w:val="22"/>
          <w:lang w:val="fr-FR"/>
        </w:rPr>
        <w:t xml:space="preserve">essentiellement </w:t>
      </w:r>
      <w:r w:rsidR="00A309C3" w:rsidRPr="004F507A">
        <w:rPr>
          <w:rFonts w:ascii="Arial" w:hAnsi="Arial" w:cs="Arial"/>
          <w:color w:val="000000"/>
          <w:sz w:val="22"/>
          <w:szCs w:val="22"/>
          <w:lang w:val="fr-FR"/>
        </w:rPr>
        <w:t>sur quatre</w:t>
      </w:r>
      <w:r w:rsidR="000E59D1" w:rsidRPr="004F507A">
        <w:rPr>
          <w:rFonts w:ascii="Arial" w:hAnsi="Arial" w:cs="Arial"/>
          <w:color w:val="000000"/>
          <w:sz w:val="22"/>
          <w:szCs w:val="22"/>
          <w:lang w:val="fr-FR"/>
        </w:rPr>
        <w:t> </w:t>
      </w:r>
      <w:r w:rsidR="00A309C3" w:rsidRPr="004F507A">
        <w:rPr>
          <w:rFonts w:ascii="Arial" w:hAnsi="Arial" w:cs="Arial"/>
          <w:color w:val="000000"/>
          <w:sz w:val="22"/>
          <w:szCs w:val="22"/>
          <w:lang w:val="fr-FR"/>
        </w:rPr>
        <w:t>articles clés</w:t>
      </w:r>
      <w:r w:rsidR="000E59D1" w:rsidRPr="004F507A">
        <w:rPr>
          <w:rFonts w:ascii="Arial" w:hAnsi="Arial" w:cs="Arial"/>
          <w:color w:val="000000"/>
          <w:sz w:val="22"/>
          <w:szCs w:val="22"/>
          <w:lang w:val="fr-FR"/>
        </w:rPr>
        <w:t> </w:t>
      </w:r>
      <w:r w:rsidR="00A309C3" w:rsidRPr="004F507A">
        <w:rPr>
          <w:rFonts w:ascii="Arial" w:hAnsi="Arial" w:cs="Arial"/>
          <w:color w:val="000000"/>
          <w:sz w:val="22"/>
          <w:szCs w:val="22"/>
          <w:lang w:val="fr-FR"/>
        </w:rPr>
        <w:t xml:space="preserve">: </w:t>
      </w:r>
      <w:r w:rsidR="00192CB7">
        <w:rPr>
          <w:rFonts w:ascii="Arial" w:hAnsi="Arial" w:cs="Arial"/>
          <w:color w:val="000000"/>
          <w:sz w:val="22"/>
          <w:szCs w:val="22"/>
          <w:lang w:val="fr-FR"/>
        </w:rPr>
        <w:t>“</w:t>
      </w:r>
      <w:r w:rsidR="00A309C3" w:rsidRPr="004F507A">
        <w:rPr>
          <w:rFonts w:ascii="Arial" w:hAnsi="Arial" w:cs="Arial"/>
          <w:color w:val="000000"/>
          <w:sz w:val="22"/>
          <w:szCs w:val="22"/>
          <w:lang w:val="fr-FR"/>
        </w:rPr>
        <w:t>Objet de la protection</w:t>
      </w:r>
      <w:r w:rsidR="00192CB7">
        <w:rPr>
          <w:rFonts w:ascii="Arial" w:hAnsi="Arial" w:cs="Arial"/>
          <w:color w:val="000000"/>
          <w:sz w:val="22"/>
          <w:szCs w:val="22"/>
          <w:lang w:val="fr-FR"/>
        </w:rPr>
        <w:t>”</w:t>
      </w:r>
      <w:r w:rsidR="00A309C3" w:rsidRPr="004F507A">
        <w:rPr>
          <w:rFonts w:ascii="Arial" w:hAnsi="Arial" w:cs="Arial"/>
          <w:color w:val="000000"/>
          <w:sz w:val="22"/>
          <w:szCs w:val="22"/>
          <w:lang w:val="fr-FR"/>
        </w:rPr>
        <w:t xml:space="preserve">, </w:t>
      </w:r>
      <w:r w:rsidR="00192CB7">
        <w:rPr>
          <w:rFonts w:ascii="Arial" w:hAnsi="Arial" w:cs="Arial"/>
          <w:color w:val="000000"/>
          <w:sz w:val="22"/>
          <w:szCs w:val="22"/>
          <w:lang w:val="fr-FR"/>
        </w:rPr>
        <w:t>“</w:t>
      </w:r>
      <w:r w:rsidR="00A309C3" w:rsidRPr="004F507A">
        <w:rPr>
          <w:rFonts w:ascii="Arial" w:hAnsi="Arial" w:cs="Arial"/>
          <w:color w:val="000000"/>
          <w:sz w:val="22"/>
          <w:szCs w:val="22"/>
          <w:lang w:val="fr-FR"/>
        </w:rPr>
        <w:t>Bénéficiaires de la protection</w:t>
      </w:r>
      <w:r w:rsidR="00192CB7">
        <w:rPr>
          <w:rFonts w:ascii="Arial" w:hAnsi="Arial" w:cs="Arial"/>
          <w:color w:val="000000"/>
          <w:sz w:val="22"/>
          <w:szCs w:val="22"/>
          <w:lang w:val="fr-FR"/>
        </w:rPr>
        <w:t>”</w:t>
      </w:r>
      <w:r w:rsidR="00A309C3" w:rsidRPr="004F507A">
        <w:rPr>
          <w:rFonts w:ascii="Arial" w:hAnsi="Arial" w:cs="Arial"/>
          <w:color w:val="000000"/>
          <w:sz w:val="22"/>
          <w:szCs w:val="22"/>
          <w:lang w:val="fr-FR"/>
        </w:rPr>
        <w:t xml:space="preserve">, </w:t>
      </w:r>
      <w:r w:rsidR="00192CB7">
        <w:rPr>
          <w:rFonts w:ascii="Arial" w:hAnsi="Arial" w:cs="Arial"/>
          <w:color w:val="000000"/>
          <w:sz w:val="22"/>
          <w:szCs w:val="22"/>
          <w:lang w:val="fr-FR"/>
        </w:rPr>
        <w:t>“</w:t>
      </w:r>
      <w:r w:rsidR="00A309C3" w:rsidRPr="004F507A">
        <w:rPr>
          <w:rFonts w:ascii="Arial" w:hAnsi="Arial" w:cs="Arial"/>
          <w:color w:val="000000"/>
          <w:sz w:val="22"/>
          <w:szCs w:val="22"/>
          <w:lang w:val="fr-FR"/>
        </w:rPr>
        <w:t>Étendue de la protection</w:t>
      </w:r>
      <w:r w:rsidR="00192CB7">
        <w:rPr>
          <w:rFonts w:ascii="Arial" w:hAnsi="Arial" w:cs="Arial"/>
          <w:color w:val="000000"/>
          <w:sz w:val="22"/>
          <w:szCs w:val="22"/>
          <w:lang w:val="fr-FR"/>
        </w:rPr>
        <w:t>”</w:t>
      </w:r>
      <w:r w:rsidR="00A309C3" w:rsidRPr="004F507A">
        <w:rPr>
          <w:rFonts w:ascii="Arial" w:hAnsi="Arial" w:cs="Arial"/>
          <w:color w:val="000000"/>
          <w:sz w:val="22"/>
          <w:szCs w:val="22"/>
          <w:lang w:val="fr-FR"/>
        </w:rPr>
        <w:t xml:space="preserve"> et </w:t>
      </w:r>
      <w:r w:rsidR="00192CB7">
        <w:rPr>
          <w:rFonts w:ascii="Arial" w:hAnsi="Arial" w:cs="Arial"/>
          <w:color w:val="000000"/>
          <w:sz w:val="22"/>
          <w:szCs w:val="22"/>
          <w:lang w:val="fr-FR"/>
        </w:rPr>
        <w:t>“</w:t>
      </w:r>
      <w:r w:rsidR="00A309C3" w:rsidRPr="004F507A">
        <w:rPr>
          <w:rFonts w:ascii="Arial" w:hAnsi="Arial" w:cs="Arial"/>
          <w:color w:val="000000"/>
          <w:sz w:val="22"/>
          <w:szCs w:val="22"/>
          <w:lang w:val="fr-FR"/>
        </w:rPr>
        <w:t>Exceptions et limitatio</w:t>
      </w:r>
      <w:r w:rsidR="004F507A" w:rsidRPr="004F507A">
        <w:rPr>
          <w:rFonts w:ascii="Arial" w:hAnsi="Arial" w:cs="Arial"/>
          <w:color w:val="000000"/>
          <w:sz w:val="22"/>
          <w:szCs w:val="22"/>
          <w:lang w:val="fr-FR"/>
        </w:rPr>
        <w:t>ns</w:t>
      </w:r>
      <w:r w:rsidR="00192CB7">
        <w:rPr>
          <w:rFonts w:ascii="Arial" w:hAnsi="Arial" w:cs="Arial"/>
          <w:color w:val="000000"/>
          <w:sz w:val="22"/>
          <w:szCs w:val="22"/>
          <w:lang w:val="fr-FR"/>
        </w:rPr>
        <w:t>”</w:t>
      </w:r>
      <w:r w:rsidR="004F507A" w:rsidRPr="004F507A">
        <w:rPr>
          <w:rFonts w:ascii="Arial" w:hAnsi="Arial" w:cs="Arial"/>
          <w:color w:val="000000"/>
          <w:sz w:val="22"/>
          <w:szCs w:val="22"/>
          <w:lang w:val="fr-FR"/>
        </w:rPr>
        <w:t>.  Le</w:t>
      </w:r>
      <w:r w:rsidR="006F5476">
        <w:rPr>
          <w:rFonts w:ascii="Arial" w:hAnsi="Arial" w:cs="Arial"/>
          <w:color w:val="000000"/>
          <w:sz w:val="22"/>
          <w:szCs w:val="22"/>
          <w:lang w:val="fr-FR"/>
        </w:rPr>
        <w:t xml:space="preserve"> d</w:t>
      </w:r>
      <w:r w:rsidR="00A309C3" w:rsidRPr="004F507A">
        <w:rPr>
          <w:rFonts w:ascii="Arial" w:hAnsi="Arial" w:cs="Arial"/>
          <w:color w:val="000000"/>
          <w:sz w:val="22"/>
          <w:szCs w:val="22"/>
          <w:lang w:val="fr-FR"/>
        </w:rPr>
        <w:t>ocument WIPO/GRTKF/IC/19/5 a servi de base à ces travaux.</w:t>
      </w:r>
    </w:p>
    <w:p w:rsidR="004F60C4" w:rsidRPr="004F507A" w:rsidRDefault="007E26AD" w:rsidP="002B5624">
      <w:pPr>
        <w:tabs>
          <w:tab w:val="left" w:pos="567"/>
        </w:tabs>
        <w:spacing w:after="240"/>
        <w:rPr>
          <w:rFonts w:ascii="Arial" w:hAnsi="Arial" w:cs="Arial"/>
          <w:sz w:val="22"/>
          <w:szCs w:val="22"/>
          <w:lang w:val="fr-FR"/>
        </w:rPr>
      </w:pPr>
      <w:r w:rsidRPr="004F507A">
        <w:rPr>
          <w:rFonts w:ascii="Arial" w:hAnsi="Arial" w:cs="Arial"/>
          <w:sz w:val="22"/>
          <w:szCs w:val="22"/>
          <w:lang w:val="fr-FR"/>
        </w:rPr>
        <w:fldChar w:fldCharType="begin"/>
      </w:r>
      <w:r w:rsidRPr="004F507A">
        <w:rPr>
          <w:rFonts w:ascii="Arial" w:hAnsi="Arial" w:cs="Arial"/>
          <w:sz w:val="22"/>
          <w:szCs w:val="22"/>
          <w:lang w:val="fr-FR"/>
        </w:rPr>
        <w:instrText xml:space="preserve"> AUTONUM  </w:instrText>
      </w:r>
      <w:r w:rsidRPr="004F507A">
        <w:rPr>
          <w:rFonts w:ascii="Arial" w:hAnsi="Arial" w:cs="Arial"/>
          <w:sz w:val="22"/>
          <w:szCs w:val="22"/>
          <w:lang w:val="fr-FR"/>
        </w:rPr>
        <w:fldChar w:fldCharType="end"/>
      </w:r>
      <w:r w:rsidRPr="004F507A">
        <w:rPr>
          <w:rFonts w:ascii="Arial" w:hAnsi="Arial" w:cs="Arial"/>
          <w:sz w:val="22"/>
          <w:szCs w:val="22"/>
          <w:lang w:val="fr-FR"/>
        </w:rPr>
        <w:tab/>
      </w:r>
      <w:r w:rsidR="00727D5C" w:rsidRPr="004F507A">
        <w:rPr>
          <w:rFonts w:ascii="Arial" w:hAnsi="Arial" w:cs="Arial"/>
          <w:color w:val="000000"/>
          <w:sz w:val="22"/>
          <w:szCs w:val="22"/>
          <w:lang w:val="fr-FR"/>
        </w:rPr>
        <w:t>Au cours de l</w:t>
      </w:r>
      <w:r w:rsidR="006D7B02" w:rsidRPr="004F507A">
        <w:rPr>
          <w:rFonts w:ascii="Arial" w:hAnsi="Arial" w:cs="Arial"/>
          <w:color w:val="000000"/>
          <w:sz w:val="22"/>
          <w:szCs w:val="22"/>
          <w:lang w:val="fr-FR"/>
        </w:rPr>
        <w:t>’</w:t>
      </w:r>
      <w:r w:rsidR="00BD67D4" w:rsidRPr="004F507A">
        <w:rPr>
          <w:rFonts w:ascii="Arial" w:hAnsi="Arial" w:cs="Arial"/>
          <w:color w:val="000000"/>
          <w:sz w:val="22"/>
          <w:szCs w:val="22"/>
          <w:lang w:val="fr-FR"/>
        </w:rPr>
        <w:t>exercice biennal</w:t>
      </w:r>
      <w:r w:rsidR="000E59D1" w:rsidRPr="004F507A">
        <w:rPr>
          <w:rFonts w:ascii="Arial" w:hAnsi="Arial" w:cs="Arial"/>
          <w:color w:val="000000"/>
          <w:sz w:val="22"/>
          <w:szCs w:val="22"/>
          <w:lang w:val="fr-FR"/>
        </w:rPr>
        <w:t> </w:t>
      </w:r>
      <w:r w:rsidR="00BD67D4" w:rsidRPr="004F507A">
        <w:rPr>
          <w:rFonts w:ascii="Arial" w:hAnsi="Arial" w:cs="Arial"/>
          <w:color w:val="000000"/>
          <w:sz w:val="22"/>
          <w:szCs w:val="22"/>
          <w:lang w:val="fr-FR"/>
        </w:rPr>
        <w:t xml:space="preserve">2014/2015 </w:t>
      </w:r>
      <w:r w:rsidR="00727D5C" w:rsidRPr="004F507A">
        <w:rPr>
          <w:rFonts w:ascii="Arial" w:hAnsi="Arial" w:cs="Arial"/>
          <w:color w:val="000000"/>
          <w:sz w:val="22"/>
          <w:szCs w:val="22"/>
          <w:lang w:val="fr-FR"/>
        </w:rPr>
        <w:t>s</w:t>
      </w:r>
      <w:r w:rsidR="006D7B02" w:rsidRPr="004F507A">
        <w:rPr>
          <w:rFonts w:ascii="Arial" w:hAnsi="Arial" w:cs="Arial"/>
          <w:color w:val="000000"/>
          <w:sz w:val="22"/>
          <w:szCs w:val="22"/>
          <w:lang w:val="fr-FR"/>
        </w:rPr>
        <w:t>’</w:t>
      </w:r>
      <w:r w:rsidR="00727D5C" w:rsidRPr="004F507A">
        <w:rPr>
          <w:rFonts w:ascii="Arial" w:hAnsi="Arial" w:cs="Arial"/>
          <w:color w:val="000000"/>
          <w:sz w:val="22"/>
          <w:szCs w:val="22"/>
          <w:lang w:val="fr-FR"/>
        </w:rPr>
        <w:t>est tenue</w:t>
      </w:r>
      <w:r w:rsidR="00BD67D4" w:rsidRPr="004F507A">
        <w:rPr>
          <w:rFonts w:ascii="Arial" w:hAnsi="Arial" w:cs="Arial"/>
          <w:color w:val="000000"/>
          <w:sz w:val="22"/>
          <w:szCs w:val="22"/>
          <w:lang w:val="fr-FR"/>
        </w:rPr>
        <w:t xml:space="preserve"> une réunion à l</w:t>
      </w:r>
      <w:r w:rsidR="006D7B02" w:rsidRPr="004F507A">
        <w:rPr>
          <w:rFonts w:ascii="Arial" w:hAnsi="Arial" w:cs="Arial"/>
          <w:color w:val="000000"/>
          <w:sz w:val="22"/>
          <w:szCs w:val="22"/>
          <w:lang w:val="fr-FR"/>
        </w:rPr>
        <w:t>’</w:t>
      </w:r>
      <w:r w:rsidR="00BD67D4" w:rsidRPr="004F507A">
        <w:rPr>
          <w:rFonts w:ascii="Arial" w:hAnsi="Arial" w:cs="Arial"/>
          <w:color w:val="000000"/>
          <w:sz w:val="22"/>
          <w:szCs w:val="22"/>
          <w:lang w:val="fr-FR"/>
        </w:rPr>
        <w:t xml:space="preserve">intention des ambassadeurs et des hauts fonctionnaires des différents pays, qui </w:t>
      </w:r>
      <w:r w:rsidR="00241A82" w:rsidRPr="004F507A">
        <w:rPr>
          <w:rFonts w:ascii="Arial" w:hAnsi="Arial" w:cs="Arial"/>
          <w:color w:val="000000"/>
          <w:sz w:val="22"/>
          <w:szCs w:val="22"/>
          <w:lang w:val="fr-FR"/>
        </w:rPr>
        <w:t xml:space="preserve">visait à </w:t>
      </w:r>
      <w:r w:rsidR="00727D5C" w:rsidRPr="004F507A">
        <w:rPr>
          <w:rFonts w:ascii="Arial" w:hAnsi="Arial" w:cs="Arial"/>
          <w:color w:val="000000"/>
          <w:sz w:val="22"/>
          <w:szCs w:val="22"/>
          <w:lang w:val="fr-FR"/>
        </w:rPr>
        <w:t>facilit</w:t>
      </w:r>
      <w:r w:rsidR="00241A82" w:rsidRPr="004F507A">
        <w:rPr>
          <w:rFonts w:ascii="Arial" w:hAnsi="Arial" w:cs="Arial"/>
          <w:color w:val="000000"/>
          <w:sz w:val="22"/>
          <w:szCs w:val="22"/>
          <w:lang w:val="fr-FR"/>
        </w:rPr>
        <w:t>er les échanges</w:t>
      </w:r>
      <w:r w:rsidR="00BD67D4" w:rsidRPr="004F507A">
        <w:rPr>
          <w:rFonts w:ascii="Arial" w:hAnsi="Arial" w:cs="Arial"/>
          <w:color w:val="000000"/>
          <w:sz w:val="22"/>
          <w:szCs w:val="22"/>
          <w:lang w:val="fr-FR"/>
        </w:rPr>
        <w:t xml:space="preserve"> de vue</w:t>
      </w:r>
      <w:r w:rsidR="00241A82" w:rsidRPr="004F507A">
        <w:rPr>
          <w:rFonts w:ascii="Arial" w:hAnsi="Arial" w:cs="Arial"/>
          <w:color w:val="000000"/>
          <w:sz w:val="22"/>
          <w:szCs w:val="22"/>
          <w:lang w:val="fr-FR"/>
        </w:rPr>
        <w:t>s</w:t>
      </w:r>
      <w:r w:rsidR="00BD67D4" w:rsidRPr="004F507A">
        <w:rPr>
          <w:rFonts w:ascii="Arial" w:hAnsi="Arial" w:cs="Arial"/>
          <w:color w:val="000000"/>
          <w:sz w:val="22"/>
          <w:szCs w:val="22"/>
          <w:lang w:val="fr-FR"/>
        </w:rPr>
        <w:t xml:space="preserve"> sur les enjeux politiques </w:t>
      </w:r>
      <w:r w:rsidR="00727D5C" w:rsidRPr="004F507A">
        <w:rPr>
          <w:rFonts w:ascii="Arial" w:hAnsi="Arial" w:cs="Arial"/>
          <w:color w:val="000000"/>
          <w:sz w:val="22"/>
          <w:szCs w:val="22"/>
          <w:lang w:val="fr-FR"/>
        </w:rPr>
        <w:t xml:space="preserve">essentiels </w:t>
      </w:r>
      <w:r w:rsidR="00BD67D4" w:rsidRPr="004F507A">
        <w:rPr>
          <w:rFonts w:ascii="Arial" w:hAnsi="Arial" w:cs="Arial"/>
          <w:color w:val="000000"/>
          <w:sz w:val="22"/>
          <w:szCs w:val="22"/>
          <w:lang w:val="fr-FR"/>
        </w:rPr>
        <w:t xml:space="preserve">soulevés par les négociations, </w:t>
      </w:r>
      <w:r w:rsidR="00727D5C" w:rsidRPr="004F507A">
        <w:rPr>
          <w:rFonts w:ascii="Arial" w:hAnsi="Arial" w:cs="Arial"/>
          <w:color w:val="000000"/>
          <w:sz w:val="22"/>
          <w:szCs w:val="22"/>
          <w:lang w:val="fr-FR"/>
        </w:rPr>
        <w:t>de façon à</w:t>
      </w:r>
      <w:r w:rsidR="00BD67D4" w:rsidRPr="004F507A">
        <w:rPr>
          <w:rFonts w:ascii="Arial" w:hAnsi="Arial" w:cs="Arial"/>
          <w:color w:val="000000"/>
          <w:sz w:val="22"/>
          <w:szCs w:val="22"/>
          <w:lang w:val="fr-FR"/>
        </w:rPr>
        <w:t xml:space="preserve"> </w:t>
      </w:r>
      <w:r w:rsidR="00241A82" w:rsidRPr="004F507A">
        <w:rPr>
          <w:rFonts w:ascii="Arial" w:hAnsi="Arial" w:cs="Arial"/>
          <w:color w:val="000000"/>
          <w:sz w:val="22"/>
          <w:szCs w:val="22"/>
          <w:lang w:val="fr-FR"/>
        </w:rPr>
        <w:t>obten</w:t>
      </w:r>
      <w:r w:rsidR="00BD67D4" w:rsidRPr="004F507A">
        <w:rPr>
          <w:rFonts w:ascii="Arial" w:hAnsi="Arial" w:cs="Arial"/>
          <w:color w:val="000000"/>
          <w:sz w:val="22"/>
          <w:szCs w:val="22"/>
          <w:lang w:val="fr-FR"/>
        </w:rPr>
        <w:t>ir des informations et des orientations supplémentaires pour le déroulement du process</w:t>
      </w:r>
      <w:r w:rsidR="004F507A" w:rsidRPr="004F507A">
        <w:rPr>
          <w:rFonts w:ascii="Arial" w:hAnsi="Arial" w:cs="Arial"/>
          <w:color w:val="000000"/>
          <w:sz w:val="22"/>
          <w:szCs w:val="22"/>
          <w:lang w:val="fr-FR"/>
        </w:rPr>
        <w:t>us.  On</w:t>
      </w:r>
      <w:r w:rsidR="00A85C54" w:rsidRPr="004F507A">
        <w:rPr>
          <w:rFonts w:ascii="Arial" w:hAnsi="Arial" w:cs="Arial"/>
          <w:color w:val="000000"/>
          <w:sz w:val="22"/>
          <w:szCs w:val="22"/>
          <w:lang w:val="fr-FR"/>
        </w:rPr>
        <w:t xml:space="preserve">t également eu lieu des sessions transversales sur les questions essentielles </w:t>
      </w:r>
      <w:r w:rsidR="00727D5C" w:rsidRPr="004F507A">
        <w:rPr>
          <w:rFonts w:ascii="Arial" w:hAnsi="Arial" w:cs="Arial"/>
          <w:color w:val="000000"/>
          <w:sz w:val="22"/>
          <w:szCs w:val="22"/>
          <w:lang w:val="fr-FR"/>
        </w:rPr>
        <w:t>concernant à la fois les</w:t>
      </w:r>
      <w:r w:rsidR="00A85C54" w:rsidRPr="004F507A">
        <w:rPr>
          <w:rFonts w:ascii="Arial" w:hAnsi="Arial" w:cs="Arial"/>
          <w:color w:val="000000"/>
          <w:sz w:val="22"/>
          <w:szCs w:val="22"/>
          <w:lang w:val="fr-FR"/>
        </w:rPr>
        <w:t xml:space="preserve"> trois</w:t>
      </w:r>
      <w:r w:rsidR="000E59D1" w:rsidRPr="004F507A">
        <w:rPr>
          <w:rFonts w:ascii="Arial" w:hAnsi="Arial" w:cs="Arial"/>
          <w:color w:val="000000"/>
          <w:sz w:val="22"/>
          <w:szCs w:val="22"/>
          <w:lang w:val="fr-FR"/>
        </w:rPr>
        <w:t> </w:t>
      </w:r>
      <w:r w:rsidR="00A85C54" w:rsidRPr="004F507A">
        <w:rPr>
          <w:rFonts w:ascii="Arial" w:hAnsi="Arial" w:cs="Arial"/>
          <w:color w:val="000000"/>
          <w:sz w:val="22"/>
          <w:szCs w:val="22"/>
          <w:lang w:val="fr-FR"/>
        </w:rPr>
        <w:t xml:space="preserve">thèmes </w:t>
      </w:r>
      <w:r w:rsidR="00727D5C" w:rsidRPr="004F507A">
        <w:rPr>
          <w:rFonts w:ascii="Arial" w:hAnsi="Arial" w:cs="Arial"/>
          <w:color w:val="000000"/>
          <w:sz w:val="22"/>
          <w:szCs w:val="22"/>
          <w:lang w:val="fr-FR"/>
        </w:rPr>
        <w:t>de travail de</w:t>
      </w:r>
      <w:r w:rsidR="00A85C54" w:rsidRPr="004F507A">
        <w:rPr>
          <w:rFonts w:ascii="Arial" w:hAnsi="Arial" w:cs="Arial"/>
          <w:color w:val="000000"/>
          <w:sz w:val="22"/>
          <w:szCs w:val="22"/>
          <w:lang w:val="fr-FR"/>
        </w:rPr>
        <w:t xml:space="preserve"> l</w:t>
      </w:r>
      <w:r w:rsidR="006D7B02" w:rsidRPr="004F507A">
        <w:rPr>
          <w:rFonts w:ascii="Arial" w:hAnsi="Arial" w:cs="Arial"/>
          <w:color w:val="000000"/>
          <w:sz w:val="22"/>
          <w:szCs w:val="22"/>
          <w:lang w:val="fr-FR"/>
        </w:rPr>
        <w:t>’</w:t>
      </w:r>
      <w:r w:rsidR="00A85C54" w:rsidRPr="004F507A">
        <w:rPr>
          <w:rFonts w:ascii="Arial" w:hAnsi="Arial" w:cs="Arial"/>
          <w:color w:val="000000"/>
          <w:sz w:val="22"/>
          <w:szCs w:val="22"/>
          <w:lang w:val="fr-FR"/>
        </w:rPr>
        <w:t>IGC, ainsi qu</w:t>
      </w:r>
      <w:r w:rsidR="006D7B02" w:rsidRPr="004F507A">
        <w:rPr>
          <w:rFonts w:ascii="Arial" w:hAnsi="Arial" w:cs="Arial"/>
          <w:color w:val="000000"/>
          <w:sz w:val="22"/>
          <w:szCs w:val="22"/>
          <w:lang w:val="fr-FR"/>
        </w:rPr>
        <w:t>’</w:t>
      </w:r>
      <w:r w:rsidR="00A85C54" w:rsidRPr="004F507A">
        <w:rPr>
          <w:rFonts w:ascii="Arial" w:hAnsi="Arial" w:cs="Arial"/>
          <w:color w:val="000000"/>
          <w:sz w:val="22"/>
          <w:szCs w:val="22"/>
          <w:lang w:val="fr-FR"/>
        </w:rPr>
        <w:t>une session destinée à dresser un bilan et une session, la vingt</w:t>
      </w:r>
      <w:r w:rsidR="00525EB9">
        <w:rPr>
          <w:rFonts w:ascii="Arial" w:hAnsi="Arial" w:cs="Arial"/>
          <w:color w:val="000000"/>
          <w:sz w:val="22"/>
          <w:szCs w:val="22"/>
          <w:lang w:val="fr-FR"/>
        </w:rPr>
        <w:noBreakHyphen/>
      </w:r>
      <w:r w:rsidR="00A85C54" w:rsidRPr="004F507A">
        <w:rPr>
          <w:rFonts w:ascii="Arial" w:hAnsi="Arial" w:cs="Arial"/>
          <w:color w:val="000000"/>
          <w:sz w:val="22"/>
          <w:szCs w:val="22"/>
          <w:lang w:val="fr-FR"/>
        </w:rPr>
        <w:t>septième, dont la première partie concernait spécialement les savoirs traditionne</w:t>
      </w:r>
      <w:r w:rsidR="004F507A" w:rsidRPr="004F507A">
        <w:rPr>
          <w:rFonts w:ascii="Arial" w:hAnsi="Arial" w:cs="Arial"/>
          <w:color w:val="000000"/>
          <w:sz w:val="22"/>
          <w:szCs w:val="22"/>
          <w:lang w:val="fr-FR"/>
        </w:rPr>
        <w:t>ls.  Ce</w:t>
      </w:r>
      <w:r w:rsidR="00A85C54" w:rsidRPr="004F507A">
        <w:rPr>
          <w:rFonts w:ascii="Arial" w:hAnsi="Arial" w:cs="Arial"/>
          <w:color w:val="000000"/>
          <w:sz w:val="22"/>
          <w:szCs w:val="22"/>
          <w:lang w:val="fr-FR"/>
        </w:rPr>
        <w:t>tte session portait sur les objectifs, les principes et les quatre</w:t>
      </w:r>
      <w:r w:rsidR="000E59D1" w:rsidRPr="004F507A">
        <w:rPr>
          <w:rFonts w:ascii="Arial" w:hAnsi="Arial" w:cs="Arial"/>
          <w:color w:val="000000"/>
          <w:sz w:val="22"/>
          <w:szCs w:val="22"/>
          <w:lang w:val="fr-FR"/>
        </w:rPr>
        <w:t> </w:t>
      </w:r>
      <w:r w:rsidR="00A85C54" w:rsidRPr="004F507A">
        <w:rPr>
          <w:rFonts w:ascii="Arial" w:hAnsi="Arial" w:cs="Arial"/>
          <w:color w:val="000000"/>
          <w:sz w:val="22"/>
          <w:szCs w:val="22"/>
          <w:lang w:val="fr-FR"/>
        </w:rPr>
        <w:t>articles mentionnés dans le mandat (</w:t>
      </w:r>
      <w:r w:rsidR="00192CB7">
        <w:rPr>
          <w:rFonts w:ascii="Arial" w:hAnsi="Arial" w:cs="Arial"/>
          <w:color w:val="000000"/>
          <w:sz w:val="22"/>
          <w:szCs w:val="22"/>
          <w:lang w:val="fr-FR"/>
        </w:rPr>
        <w:t>“</w:t>
      </w:r>
      <w:r w:rsidR="00A85C54" w:rsidRPr="004F507A">
        <w:rPr>
          <w:rFonts w:ascii="Arial" w:hAnsi="Arial" w:cs="Arial"/>
          <w:color w:val="000000"/>
          <w:sz w:val="22"/>
          <w:szCs w:val="22"/>
          <w:lang w:val="fr-FR"/>
        </w:rPr>
        <w:t>Objet de la protection</w:t>
      </w:r>
      <w:r w:rsidR="00192CB7">
        <w:rPr>
          <w:rFonts w:ascii="Arial" w:hAnsi="Arial" w:cs="Arial"/>
          <w:color w:val="000000"/>
          <w:sz w:val="22"/>
          <w:szCs w:val="22"/>
          <w:lang w:val="fr-FR"/>
        </w:rPr>
        <w:t>”</w:t>
      </w:r>
      <w:r w:rsidR="00A85C54" w:rsidRPr="004F507A">
        <w:rPr>
          <w:rFonts w:ascii="Arial" w:hAnsi="Arial" w:cs="Arial"/>
          <w:color w:val="000000"/>
          <w:sz w:val="22"/>
          <w:szCs w:val="22"/>
          <w:lang w:val="fr-FR"/>
        </w:rPr>
        <w:t xml:space="preserve">, </w:t>
      </w:r>
      <w:r w:rsidR="00192CB7">
        <w:rPr>
          <w:rFonts w:ascii="Arial" w:hAnsi="Arial" w:cs="Arial"/>
          <w:color w:val="000000"/>
          <w:sz w:val="22"/>
          <w:szCs w:val="22"/>
          <w:lang w:val="fr-FR"/>
        </w:rPr>
        <w:t>“</w:t>
      </w:r>
      <w:r w:rsidR="00A85C54" w:rsidRPr="004F507A">
        <w:rPr>
          <w:rFonts w:ascii="Arial" w:hAnsi="Arial" w:cs="Arial"/>
          <w:color w:val="000000"/>
          <w:sz w:val="22"/>
          <w:szCs w:val="22"/>
          <w:lang w:val="fr-FR"/>
        </w:rPr>
        <w:t>Bénéficiaires de la protection</w:t>
      </w:r>
      <w:r w:rsidR="00192CB7">
        <w:rPr>
          <w:rFonts w:ascii="Arial" w:hAnsi="Arial" w:cs="Arial"/>
          <w:color w:val="000000"/>
          <w:sz w:val="22"/>
          <w:szCs w:val="22"/>
          <w:lang w:val="fr-FR"/>
        </w:rPr>
        <w:t>”</w:t>
      </w:r>
      <w:r w:rsidR="00A85C54" w:rsidRPr="004F507A">
        <w:rPr>
          <w:rFonts w:ascii="Arial" w:hAnsi="Arial" w:cs="Arial"/>
          <w:color w:val="000000"/>
          <w:sz w:val="22"/>
          <w:szCs w:val="22"/>
          <w:lang w:val="fr-FR"/>
        </w:rPr>
        <w:t xml:space="preserve">, </w:t>
      </w:r>
      <w:r w:rsidR="00192CB7">
        <w:rPr>
          <w:rFonts w:ascii="Arial" w:hAnsi="Arial" w:cs="Arial"/>
          <w:color w:val="000000"/>
          <w:sz w:val="22"/>
          <w:szCs w:val="22"/>
          <w:lang w:val="fr-FR"/>
        </w:rPr>
        <w:t>“</w:t>
      </w:r>
      <w:r w:rsidR="00A85C54" w:rsidRPr="004F507A">
        <w:rPr>
          <w:rFonts w:ascii="Arial" w:hAnsi="Arial" w:cs="Arial"/>
          <w:color w:val="000000"/>
          <w:sz w:val="22"/>
          <w:szCs w:val="22"/>
          <w:lang w:val="fr-FR"/>
        </w:rPr>
        <w:t>Étendue de la protection</w:t>
      </w:r>
      <w:r w:rsidR="00192CB7">
        <w:rPr>
          <w:rFonts w:ascii="Arial" w:hAnsi="Arial" w:cs="Arial"/>
          <w:color w:val="000000"/>
          <w:sz w:val="22"/>
          <w:szCs w:val="22"/>
          <w:lang w:val="fr-FR"/>
        </w:rPr>
        <w:t>”</w:t>
      </w:r>
      <w:r w:rsidR="00A85C54" w:rsidRPr="004F507A">
        <w:rPr>
          <w:rFonts w:ascii="Arial" w:hAnsi="Arial" w:cs="Arial"/>
          <w:color w:val="000000"/>
          <w:sz w:val="22"/>
          <w:szCs w:val="22"/>
          <w:lang w:val="fr-FR"/>
        </w:rPr>
        <w:t xml:space="preserve"> et </w:t>
      </w:r>
      <w:r w:rsidR="00192CB7">
        <w:rPr>
          <w:rFonts w:ascii="Arial" w:hAnsi="Arial" w:cs="Arial"/>
          <w:color w:val="000000"/>
          <w:sz w:val="22"/>
          <w:szCs w:val="22"/>
          <w:lang w:val="fr-FR"/>
        </w:rPr>
        <w:t>“</w:t>
      </w:r>
      <w:r w:rsidR="00A85C54" w:rsidRPr="004F507A">
        <w:rPr>
          <w:rFonts w:ascii="Arial" w:hAnsi="Arial" w:cs="Arial"/>
          <w:color w:val="000000"/>
          <w:sz w:val="22"/>
          <w:szCs w:val="22"/>
          <w:lang w:val="fr-FR"/>
        </w:rPr>
        <w:t>Exceptions et limitatio</w:t>
      </w:r>
      <w:r w:rsidR="004F507A" w:rsidRPr="004F507A">
        <w:rPr>
          <w:rFonts w:ascii="Arial" w:hAnsi="Arial" w:cs="Arial"/>
          <w:color w:val="000000"/>
          <w:sz w:val="22"/>
          <w:szCs w:val="22"/>
          <w:lang w:val="fr-FR"/>
        </w:rPr>
        <w:t>ns</w:t>
      </w:r>
      <w:r w:rsidR="00192CB7">
        <w:rPr>
          <w:rFonts w:ascii="Arial" w:hAnsi="Arial" w:cs="Arial"/>
          <w:color w:val="000000"/>
          <w:sz w:val="22"/>
          <w:szCs w:val="22"/>
          <w:lang w:val="fr-FR"/>
        </w:rPr>
        <w:t>”</w:t>
      </w:r>
      <w:r w:rsidR="004F507A" w:rsidRPr="004F507A">
        <w:rPr>
          <w:rFonts w:ascii="Arial" w:hAnsi="Arial" w:cs="Arial"/>
          <w:color w:val="000000"/>
          <w:sz w:val="22"/>
          <w:szCs w:val="22"/>
          <w:lang w:val="fr-FR"/>
        </w:rPr>
        <w:t>).  Le</w:t>
      </w:r>
      <w:r w:rsidR="00A85C54" w:rsidRPr="004F507A">
        <w:rPr>
          <w:rFonts w:ascii="Arial" w:hAnsi="Arial" w:cs="Arial"/>
          <w:color w:val="000000"/>
          <w:sz w:val="22"/>
          <w:szCs w:val="22"/>
          <w:lang w:val="fr-FR"/>
        </w:rPr>
        <w:t xml:space="preserve"> </w:t>
      </w:r>
      <w:r w:rsidR="006F5476">
        <w:rPr>
          <w:rFonts w:ascii="Arial" w:hAnsi="Arial" w:cs="Arial"/>
          <w:color w:val="000000"/>
          <w:sz w:val="22"/>
          <w:szCs w:val="22"/>
          <w:lang w:val="fr-FR"/>
        </w:rPr>
        <w:t>d</w:t>
      </w:r>
      <w:r w:rsidR="00A85C54" w:rsidRPr="004F507A">
        <w:rPr>
          <w:rFonts w:ascii="Arial" w:hAnsi="Arial" w:cs="Arial"/>
          <w:color w:val="000000"/>
          <w:sz w:val="22"/>
          <w:szCs w:val="22"/>
          <w:lang w:val="fr-FR"/>
        </w:rPr>
        <w:t>ocument WIPO/GRTKF/IC/25/6 a servi de base à ces travaux.</w:t>
      </w:r>
    </w:p>
    <w:p w:rsidR="004F60C4" w:rsidRPr="004F507A" w:rsidRDefault="007E26AD" w:rsidP="002B5624">
      <w:pPr>
        <w:tabs>
          <w:tab w:val="left" w:pos="567"/>
        </w:tabs>
        <w:spacing w:after="240"/>
        <w:rPr>
          <w:rFonts w:ascii="Arial" w:hAnsi="Arial" w:cs="Arial"/>
          <w:color w:val="000000"/>
          <w:sz w:val="22"/>
          <w:szCs w:val="22"/>
          <w:lang w:val="fr-FR"/>
        </w:rPr>
      </w:pPr>
      <w:r w:rsidRPr="004F507A">
        <w:rPr>
          <w:rFonts w:ascii="Arial" w:hAnsi="Arial" w:cs="Arial"/>
          <w:sz w:val="22"/>
          <w:szCs w:val="22"/>
          <w:lang w:val="fr-FR"/>
        </w:rPr>
        <w:fldChar w:fldCharType="begin"/>
      </w:r>
      <w:r w:rsidRPr="004F507A">
        <w:rPr>
          <w:rFonts w:ascii="Arial" w:hAnsi="Arial" w:cs="Arial"/>
          <w:sz w:val="22"/>
          <w:szCs w:val="22"/>
          <w:lang w:val="fr-FR"/>
        </w:rPr>
        <w:instrText xml:space="preserve"> AUTONUM  </w:instrText>
      </w:r>
      <w:r w:rsidRPr="004F507A">
        <w:rPr>
          <w:rFonts w:ascii="Arial" w:hAnsi="Arial" w:cs="Arial"/>
          <w:sz w:val="22"/>
          <w:szCs w:val="22"/>
          <w:lang w:val="fr-FR"/>
        </w:rPr>
        <w:fldChar w:fldCharType="end"/>
      </w:r>
      <w:r w:rsidRPr="004F507A">
        <w:rPr>
          <w:rFonts w:ascii="Arial" w:hAnsi="Arial" w:cs="Arial"/>
          <w:sz w:val="22"/>
          <w:szCs w:val="22"/>
          <w:lang w:val="fr-FR"/>
        </w:rPr>
        <w:tab/>
      </w:r>
      <w:r w:rsidR="00A85C54" w:rsidRPr="004F507A">
        <w:rPr>
          <w:rFonts w:ascii="Arial" w:hAnsi="Arial" w:cs="Arial"/>
          <w:color w:val="000000"/>
          <w:sz w:val="22"/>
          <w:szCs w:val="22"/>
          <w:lang w:val="fr-FR"/>
        </w:rPr>
        <w:t>L</w:t>
      </w:r>
      <w:r w:rsidR="006D7B02" w:rsidRPr="004F507A">
        <w:rPr>
          <w:rFonts w:ascii="Arial" w:hAnsi="Arial" w:cs="Arial"/>
          <w:color w:val="000000"/>
          <w:sz w:val="22"/>
          <w:szCs w:val="22"/>
          <w:lang w:val="fr-FR"/>
        </w:rPr>
        <w:t>’</w:t>
      </w:r>
      <w:r w:rsidR="00A85C54" w:rsidRPr="004F507A">
        <w:rPr>
          <w:rFonts w:ascii="Arial" w:hAnsi="Arial" w:cs="Arial"/>
          <w:color w:val="000000"/>
          <w:sz w:val="22"/>
          <w:szCs w:val="22"/>
          <w:lang w:val="fr-FR"/>
        </w:rPr>
        <w:t>IGC a aussi examiné d</w:t>
      </w:r>
      <w:r w:rsidR="006D7B02" w:rsidRPr="004F507A">
        <w:rPr>
          <w:rFonts w:ascii="Arial" w:hAnsi="Arial" w:cs="Arial"/>
          <w:color w:val="000000"/>
          <w:sz w:val="22"/>
          <w:szCs w:val="22"/>
          <w:lang w:val="fr-FR"/>
        </w:rPr>
        <w:t>’</w:t>
      </w:r>
      <w:r w:rsidR="00A85C54" w:rsidRPr="004F507A">
        <w:rPr>
          <w:rFonts w:ascii="Arial" w:hAnsi="Arial" w:cs="Arial"/>
          <w:color w:val="000000"/>
          <w:sz w:val="22"/>
          <w:szCs w:val="22"/>
          <w:lang w:val="fr-FR"/>
        </w:rPr>
        <w:t>autres documents de travail concernant les</w:t>
      </w:r>
      <w:r w:rsidR="00507098" w:rsidRPr="004F507A">
        <w:rPr>
          <w:rFonts w:ascii="Arial" w:hAnsi="Arial" w:cs="Arial"/>
          <w:color w:val="000000"/>
          <w:sz w:val="22"/>
          <w:szCs w:val="22"/>
          <w:lang w:val="fr-FR"/>
        </w:rPr>
        <w:t xml:space="preserve"> savoirs traditionnels, </w:t>
      </w:r>
      <w:r w:rsidR="002715E6" w:rsidRPr="004F507A">
        <w:rPr>
          <w:rFonts w:ascii="Arial" w:hAnsi="Arial" w:cs="Arial"/>
          <w:color w:val="000000"/>
          <w:sz w:val="22"/>
          <w:szCs w:val="22"/>
          <w:lang w:val="fr-FR"/>
        </w:rPr>
        <w:t>et notamment</w:t>
      </w:r>
      <w:r w:rsidR="00507098" w:rsidRPr="004F507A">
        <w:rPr>
          <w:rFonts w:ascii="Arial" w:hAnsi="Arial" w:cs="Arial"/>
          <w:color w:val="000000"/>
          <w:sz w:val="22"/>
          <w:szCs w:val="22"/>
          <w:lang w:val="fr-FR"/>
        </w:rPr>
        <w:t xml:space="preserve"> les suivants</w:t>
      </w:r>
      <w:r w:rsidR="000E59D1" w:rsidRPr="004F507A">
        <w:rPr>
          <w:rFonts w:ascii="Arial" w:hAnsi="Arial" w:cs="Arial"/>
          <w:color w:val="000000"/>
          <w:sz w:val="22"/>
          <w:szCs w:val="22"/>
          <w:lang w:val="fr-FR"/>
        </w:rPr>
        <w:t> </w:t>
      </w:r>
      <w:r w:rsidR="00A85C54" w:rsidRPr="004F507A">
        <w:rPr>
          <w:rFonts w:ascii="Arial" w:hAnsi="Arial" w:cs="Arial"/>
          <w:color w:val="000000"/>
          <w:sz w:val="22"/>
          <w:szCs w:val="22"/>
          <w:lang w:val="fr-FR"/>
        </w:rPr>
        <w:t>:</w:t>
      </w:r>
    </w:p>
    <w:p w:rsidR="004F60C4" w:rsidRPr="004F507A" w:rsidRDefault="00B35FDD" w:rsidP="002B5624">
      <w:pPr>
        <w:numPr>
          <w:ilvl w:val="0"/>
          <w:numId w:val="3"/>
        </w:numPr>
        <w:tabs>
          <w:tab w:val="clear" w:pos="720"/>
        </w:tabs>
        <w:ind w:left="1134" w:hanging="567"/>
        <w:rPr>
          <w:rFonts w:ascii="Arial" w:hAnsi="Arial" w:cs="Arial"/>
          <w:sz w:val="22"/>
          <w:szCs w:val="22"/>
          <w:lang w:val="fr-FR"/>
        </w:rPr>
      </w:pPr>
      <w:r w:rsidRPr="004F507A">
        <w:rPr>
          <w:rFonts w:ascii="Arial" w:hAnsi="Arial" w:cs="Arial"/>
          <w:i/>
          <w:color w:val="000000"/>
          <w:sz w:val="22"/>
          <w:szCs w:val="22"/>
          <w:lang w:val="fr-FR"/>
        </w:rPr>
        <w:t>Recommandations de la deuxième réunion des pays sympathisants sur la protection des ressources génétiques, des savoirs traditionnels et du folklore</w:t>
      </w:r>
      <w:r w:rsidRPr="004F507A">
        <w:rPr>
          <w:rFonts w:ascii="Arial" w:hAnsi="Arial" w:cs="Arial"/>
          <w:color w:val="000000"/>
          <w:sz w:val="22"/>
          <w:szCs w:val="22"/>
          <w:lang w:val="fr-FR"/>
        </w:rPr>
        <w:t xml:space="preserve">, </w:t>
      </w:r>
      <w:r w:rsidR="00727D5C" w:rsidRPr="004F507A">
        <w:rPr>
          <w:rFonts w:ascii="Arial" w:hAnsi="Arial" w:cs="Arial"/>
          <w:color w:val="000000"/>
          <w:sz w:val="22"/>
          <w:szCs w:val="22"/>
          <w:lang w:val="fr-FR"/>
        </w:rPr>
        <w:t>présenté</w:t>
      </w:r>
      <w:r w:rsidRPr="004F507A">
        <w:rPr>
          <w:rFonts w:ascii="Arial" w:hAnsi="Arial" w:cs="Arial"/>
          <w:color w:val="000000"/>
          <w:sz w:val="22"/>
          <w:szCs w:val="22"/>
          <w:lang w:val="fr-FR"/>
        </w:rPr>
        <w:t xml:space="preserve"> par la délégation de l</w:t>
      </w:r>
      <w:r w:rsidR="006D7B02" w:rsidRPr="004F507A">
        <w:rPr>
          <w:rFonts w:ascii="Arial" w:hAnsi="Arial" w:cs="Arial"/>
          <w:color w:val="000000"/>
          <w:sz w:val="22"/>
          <w:szCs w:val="22"/>
          <w:lang w:val="fr-FR"/>
        </w:rPr>
        <w:t>’</w:t>
      </w:r>
      <w:r w:rsidRPr="004F507A">
        <w:rPr>
          <w:rFonts w:ascii="Arial" w:hAnsi="Arial" w:cs="Arial"/>
          <w:color w:val="000000"/>
          <w:sz w:val="22"/>
          <w:szCs w:val="22"/>
          <w:lang w:val="fr-FR"/>
        </w:rPr>
        <w:t>Indonésie;</w:t>
      </w:r>
    </w:p>
    <w:p w:rsidR="004F60C4" w:rsidRPr="004F507A" w:rsidRDefault="00B35FDD" w:rsidP="002B5624">
      <w:pPr>
        <w:numPr>
          <w:ilvl w:val="0"/>
          <w:numId w:val="3"/>
        </w:numPr>
        <w:tabs>
          <w:tab w:val="clear" w:pos="720"/>
        </w:tabs>
        <w:ind w:left="1134" w:hanging="567"/>
        <w:rPr>
          <w:rFonts w:ascii="Arial" w:hAnsi="Arial" w:cs="Arial"/>
          <w:sz w:val="22"/>
          <w:szCs w:val="22"/>
          <w:lang w:val="fr-FR"/>
        </w:rPr>
      </w:pPr>
      <w:r w:rsidRPr="004F507A">
        <w:rPr>
          <w:rFonts w:ascii="Arial" w:hAnsi="Arial" w:cs="Arial"/>
          <w:i/>
          <w:color w:val="000000"/>
          <w:sz w:val="22"/>
          <w:szCs w:val="22"/>
          <w:lang w:val="fr-FR"/>
        </w:rPr>
        <w:t>Recommandation commune concernant les ressources génétiques et les savoirs traditionnels associés aux ressources génétiques</w:t>
      </w:r>
      <w:r w:rsidRPr="004F507A">
        <w:rPr>
          <w:rFonts w:ascii="Arial" w:hAnsi="Arial" w:cs="Arial"/>
          <w:color w:val="000000"/>
          <w:sz w:val="22"/>
          <w:szCs w:val="22"/>
          <w:lang w:val="fr-FR"/>
        </w:rPr>
        <w:t>, présenté par les délégations du Canada, des États</w:t>
      </w:r>
      <w:r w:rsidR="00525EB9">
        <w:rPr>
          <w:rFonts w:ascii="Arial" w:hAnsi="Arial" w:cs="Arial"/>
          <w:color w:val="000000"/>
          <w:sz w:val="22"/>
          <w:szCs w:val="22"/>
          <w:lang w:val="fr-FR"/>
        </w:rPr>
        <w:noBreakHyphen/>
      </w:r>
      <w:r w:rsidRPr="004F507A">
        <w:rPr>
          <w:rFonts w:ascii="Arial" w:hAnsi="Arial" w:cs="Arial"/>
          <w:color w:val="000000"/>
          <w:sz w:val="22"/>
          <w:szCs w:val="22"/>
          <w:lang w:val="fr-FR"/>
        </w:rPr>
        <w:t>Unis d</w:t>
      </w:r>
      <w:r w:rsidR="006D7B02" w:rsidRPr="004F507A">
        <w:rPr>
          <w:rFonts w:ascii="Arial" w:hAnsi="Arial" w:cs="Arial"/>
          <w:color w:val="000000"/>
          <w:sz w:val="22"/>
          <w:szCs w:val="22"/>
          <w:lang w:val="fr-FR"/>
        </w:rPr>
        <w:t>’</w:t>
      </w:r>
      <w:r w:rsidRPr="004F507A">
        <w:rPr>
          <w:rFonts w:ascii="Arial" w:hAnsi="Arial" w:cs="Arial"/>
          <w:color w:val="000000"/>
          <w:sz w:val="22"/>
          <w:szCs w:val="22"/>
          <w:lang w:val="fr-FR"/>
        </w:rPr>
        <w:t>Amérique, du Japon, de la Norvège et de la République de Corée;</w:t>
      </w:r>
    </w:p>
    <w:p w:rsidR="004F60C4" w:rsidRPr="004F507A" w:rsidRDefault="00BD1003" w:rsidP="002B5624">
      <w:pPr>
        <w:numPr>
          <w:ilvl w:val="0"/>
          <w:numId w:val="3"/>
        </w:numPr>
        <w:tabs>
          <w:tab w:val="clear" w:pos="720"/>
        </w:tabs>
        <w:ind w:left="1134" w:hanging="567"/>
        <w:rPr>
          <w:rFonts w:ascii="Arial" w:hAnsi="Arial" w:cs="Arial"/>
          <w:sz w:val="22"/>
          <w:szCs w:val="22"/>
          <w:lang w:val="fr-FR"/>
        </w:rPr>
      </w:pPr>
      <w:r w:rsidRPr="004F507A">
        <w:rPr>
          <w:rFonts w:ascii="Arial" w:hAnsi="Arial" w:cs="Arial"/>
          <w:i/>
          <w:color w:val="000000"/>
          <w:sz w:val="22"/>
          <w:szCs w:val="22"/>
          <w:lang w:val="fr-FR"/>
        </w:rPr>
        <w:t>Recommandation commune concernant l</w:t>
      </w:r>
      <w:r w:rsidR="006D7B02" w:rsidRPr="004F507A">
        <w:rPr>
          <w:rFonts w:ascii="Arial" w:hAnsi="Arial" w:cs="Arial"/>
          <w:i/>
          <w:color w:val="000000"/>
          <w:sz w:val="22"/>
          <w:szCs w:val="22"/>
          <w:lang w:val="fr-FR"/>
        </w:rPr>
        <w:t>’</w:t>
      </w:r>
      <w:r w:rsidRPr="004F507A">
        <w:rPr>
          <w:rFonts w:ascii="Arial" w:hAnsi="Arial" w:cs="Arial"/>
          <w:i/>
          <w:color w:val="000000"/>
          <w:sz w:val="22"/>
          <w:szCs w:val="22"/>
          <w:lang w:val="fr-FR"/>
        </w:rPr>
        <w:t>utilisation de bases de données pour la protection défensive des ressources génétiques et des savoirs traditionnels qui y sont associés</w:t>
      </w:r>
      <w:r w:rsidRPr="004F507A">
        <w:rPr>
          <w:rFonts w:ascii="Arial" w:hAnsi="Arial" w:cs="Arial"/>
          <w:color w:val="000000"/>
          <w:sz w:val="22"/>
          <w:szCs w:val="22"/>
          <w:lang w:val="fr-FR"/>
        </w:rPr>
        <w:t>, présenté par les délégations du Canada, des États</w:t>
      </w:r>
      <w:r w:rsidR="00525EB9">
        <w:rPr>
          <w:rFonts w:ascii="Arial" w:hAnsi="Arial" w:cs="Arial"/>
          <w:color w:val="000000"/>
          <w:sz w:val="22"/>
          <w:szCs w:val="22"/>
          <w:lang w:val="fr-FR"/>
        </w:rPr>
        <w:noBreakHyphen/>
      </w:r>
      <w:r w:rsidRPr="004F507A">
        <w:rPr>
          <w:rFonts w:ascii="Arial" w:hAnsi="Arial" w:cs="Arial"/>
          <w:color w:val="000000"/>
          <w:sz w:val="22"/>
          <w:szCs w:val="22"/>
          <w:lang w:val="fr-FR"/>
        </w:rPr>
        <w:t>Unis d</w:t>
      </w:r>
      <w:r w:rsidR="006D7B02" w:rsidRPr="004F507A">
        <w:rPr>
          <w:rFonts w:ascii="Arial" w:hAnsi="Arial" w:cs="Arial"/>
          <w:color w:val="000000"/>
          <w:sz w:val="22"/>
          <w:szCs w:val="22"/>
          <w:lang w:val="fr-FR"/>
        </w:rPr>
        <w:t>’</w:t>
      </w:r>
      <w:r w:rsidRPr="004F507A">
        <w:rPr>
          <w:rFonts w:ascii="Arial" w:hAnsi="Arial" w:cs="Arial"/>
          <w:color w:val="000000"/>
          <w:sz w:val="22"/>
          <w:szCs w:val="22"/>
          <w:lang w:val="fr-FR"/>
        </w:rPr>
        <w:t>Amérique, du Japon et de la République de Corée;</w:t>
      </w:r>
      <w:r w:rsidR="000E59D1" w:rsidRPr="004F507A">
        <w:rPr>
          <w:rFonts w:ascii="Arial" w:hAnsi="Arial" w:cs="Arial"/>
          <w:color w:val="000000"/>
          <w:sz w:val="22"/>
          <w:szCs w:val="22"/>
          <w:lang w:val="fr-FR"/>
        </w:rPr>
        <w:t xml:space="preserve"> </w:t>
      </w:r>
      <w:r w:rsidRPr="004F507A">
        <w:rPr>
          <w:rFonts w:ascii="Arial" w:hAnsi="Arial" w:cs="Arial"/>
          <w:color w:val="000000"/>
          <w:sz w:val="22"/>
          <w:szCs w:val="22"/>
          <w:lang w:val="fr-FR"/>
        </w:rPr>
        <w:t xml:space="preserve"> et</w:t>
      </w:r>
    </w:p>
    <w:p w:rsidR="004F60C4" w:rsidRPr="004F507A" w:rsidRDefault="00507098" w:rsidP="002B5624">
      <w:pPr>
        <w:numPr>
          <w:ilvl w:val="0"/>
          <w:numId w:val="3"/>
        </w:numPr>
        <w:tabs>
          <w:tab w:val="clear" w:pos="720"/>
        </w:tabs>
        <w:spacing w:after="240"/>
        <w:ind w:left="1134" w:hanging="567"/>
        <w:rPr>
          <w:rFonts w:ascii="Arial" w:hAnsi="Arial" w:cs="Arial"/>
          <w:sz w:val="22"/>
          <w:szCs w:val="22"/>
          <w:lang w:val="fr-FR"/>
        </w:rPr>
      </w:pPr>
      <w:r w:rsidRPr="004F507A">
        <w:rPr>
          <w:rFonts w:ascii="Arial" w:hAnsi="Arial" w:cs="Arial"/>
          <w:i/>
          <w:color w:val="000000"/>
          <w:sz w:val="22"/>
          <w:szCs w:val="22"/>
          <w:lang w:val="fr-FR"/>
        </w:rPr>
        <w:t>Proposition de mandat pour l</w:t>
      </w:r>
      <w:r w:rsidR="006D7B02" w:rsidRPr="004F507A">
        <w:rPr>
          <w:rFonts w:ascii="Arial" w:hAnsi="Arial" w:cs="Arial"/>
          <w:i/>
          <w:color w:val="000000"/>
          <w:sz w:val="22"/>
          <w:szCs w:val="22"/>
          <w:lang w:val="fr-FR"/>
        </w:rPr>
        <w:t>’</w:t>
      </w:r>
      <w:r w:rsidRPr="004F507A">
        <w:rPr>
          <w:rFonts w:ascii="Arial" w:hAnsi="Arial" w:cs="Arial"/>
          <w:i/>
          <w:color w:val="000000"/>
          <w:sz w:val="22"/>
          <w:szCs w:val="22"/>
          <w:lang w:val="fr-FR"/>
        </w:rPr>
        <w:t>étude du Secrétariat de l</w:t>
      </w:r>
      <w:r w:rsidR="006D7B02" w:rsidRPr="004F507A">
        <w:rPr>
          <w:rFonts w:ascii="Arial" w:hAnsi="Arial" w:cs="Arial"/>
          <w:i/>
          <w:color w:val="000000"/>
          <w:sz w:val="22"/>
          <w:szCs w:val="22"/>
          <w:lang w:val="fr-FR"/>
        </w:rPr>
        <w:t>’</w:t>
      </w:r>
      <w:r w:rsidRPr="004F507A">
        <w:rPr>
          <w:rFonts w:ascii="Arial" w:hAnsi="Arial" w:cs="Arial"/>
          <w:i/>
          <w:color w:val="000000"/>
          <w:sz w:val="22"/>
          <w:szCs w:val="22"/>
          <w:lang w:val="fr-FR"/>
        </w:rPr>
        <w:t>OMPI sur les mesures visant à éviter la délivrance de brevets indus et sur le respect des systèmes existants d</w:t>
      </w:r>
      <w:r w:rsidR="006D7B02" w:rsidRPr="004F507A">
        <w:rPr>
          <w:rFonts w:ascii="Arial" w:hAnsi="Arial" w:cs="Arial"/>
          <w:i/>
          <w:color w:val="000000"/>
          <w:sz w:val="22"/>
          <w:szCs w:val="22"/>
          <w:lang w:val="fr-FR"/>
        </w:rPr>
        <w:t>’</w:t>
      </w:r>
      <w:r w:rsidRPr="004F507A">
        <w:rPr>
          <w:rFonts w:ascii="Arial" w:hAnsi="Arial" w:cs="Arial"/>
          <w:i/>
          <w:color w:val="000000"/>
          <w:sz w:val="22"/>
          <w:szCs w:val="22"/>
          <w:lang w:val="fr-FR"/>
        </w:rPr>
        <w:t>accès et de partage des avantages</w:t>
      </w:r>
      <w:r w:rsidRPr="004F507A">
        <w:rPr>
          <w:rFonts w:ascii="Arial" w:hAnsi="Arial" w:cs="Arial"/>
          <w:color w:val="000000"/>
          <w:sz w:val="22"/>
          <w:szCs w:val="22"/>
          <w:lang w:val="fr-FR"/>
        </w:rPr>
        <w:t>, présenté par les délégations du Canada, des États</w:t>
      </w:r>
      <w:r w:rsidR="00525EB9">
        <w:rPr>
          <w:rFonts w:ascii="Arial" w:hAnsi="Arial" w:cs="Arial"/>
          <w:color w:val="000000"/>
          <w:sz w:val="22"/>
          <w:szCs w:val="22"/>
          <w:lang w:val="fr-FR"/>
        </w:rPr>
        <w:noBreakHyphen/>
      </w:r>
      <w:r w:rsidRPr="004F507A">
        <w:rPr>
          <w:rFonts w:ascii="Arial" w:hAnsi="Arial" w:cs="Arial"/>
          <w:color w:val="000000"/>
          <w:sz w:val="22"/>
          <w:szCs w:val="22"/>
          <w:lang w:val="fr-FR"/>
        </w:rPr>
        <w:t>Unis d</w:t>
      </w:r>
      <w:r w:rsidR="006D7B02" w:rsidRPr="004F507A">
        <w:rPr>
          <w:rFonts w:ascii="Arial" w:hAnsi="Arial" w:cs="Arial"/>
          <w:color w:val="000000"/>
          <w:sz w:val="22"/>
          <w:szCs w:val="22"/>
          <w:lang w:val="fr-FR"/>
        </w:rPr>
        <w:t>’</w:t>
      </w:r>
      <w:r w:rsidRPr="004F507A">
        <w:rPr>
          <w:rFonts w:ascii="Arial" w:hAnsi="Arial" w:cs="Arial"/>
          <w:color w:val="000000"/>
          <w:sz w:val="22"/>
          <w:szCs w:val="22"/>
          <w:lang w:val="fr-FR"/>
        </w:rPr>
        <w:t>Amérique, de la Fédération de Russie, du Japon, de la Norvège et de la République de Corée.</w:t>
      </w:r>
    </w:p>
    <w:p w:rsidR="004F60C4" w:rsidRPr="004F507A" w:rsidRDefault="00507098" w:rsidP="002B5624">
      <w:pPr>
        <w:tabs>
          <w:tab w:val="left" w:pos="567"/>
        </w:tabs>
        <w:spacing w:after="240"/>
        <w:rPr>
          <w:rFonts w:ascii="Arial" w:hAnsi="Arial" w:cs="Arial"/>
          <w:b/>
          <w:sz w:val="22"/>
          <w:szCs w:val="22"/>
          <w:lang w:val="fr-FR"/>
        </w:rPr>
      </w:pPr>
      <w:r w:rsidRPr="004F507A">
        <w:rPr>
          <w:rFonts w:ascii="Arial" w:hAnsi="Arial" w:cs="Arial"/>
          <w:b/>
          <w:color w:val="000000"/>
          <w:sz w:val="22"/>
          <w:szCs w:val="22"/>
          <w:lang w:val="fr-FR"/>
        </w:rPr>
        <w:t>Mandat pour l</w:t>
      </w:r>
      <w:r w:rsidR="006D7B02" w:rsidRPr="004F507A">
        <w:rPr>
          <w:rFonts w:ascii="Arial" w:hAnsi="Arial" w:cs="Arial"/>
          <w:b/>
          <w:color w:val="000000"/>
          <w:sz w:val="22"/>
          <w:szCs w:val="22"/>
          <w:lang w:val="fr-FR"/>
        </w:rPr>
        <w:t>’</w:t>
      </w:r>
      <w:r w:rsidRPr="004F507A">
        <w:rPr>
          <w:rFonts w:ascii="Arial" w:hAnsi="Arial" w:cs="Arial"/>
          <w:b/>
          <w:color w:val="000000"/>
          <w:sz w:val="22"/>
          <w:szCs w:val="22"/>
          <w:lang w:val="fr-FR"/>
        </w:rPr>
        <w:t>exercice biennal</w:t>
      </w:r>
      <w:r w:rsidR="000E59D1" w:rsidRPr="004F507A">
        <w:rPr>
          <w:rFonts w:ascii="Arial" w:hAnsi="Arial" w:cs="Arial"/>
          <w:b/>
          <w:color w:val="000000"/>
          <w:sz w:val="22"/>
          <w:szCs w:val="22"/>
          <w:lang w:val="fr-FR"/>
        </w:rPr>
        <w:t> </w:t>
      </w:r>
      <w:r w:rsidRPr="004F507A">
        <w:rPr>
          <w:rFonts w:ascii="Arial" w:hAnsi="Arial" w:cs="Arial"/>
          <w:b/>
          <w:color w:val="000000"/>
          <w:sz w:val="22"/>
          <w:szCs w:val="22"/>
          <w:lang w:val="fr-FR"/>
        </w:rPr>
        <w:t>2016</w:t>
      </w:r>
      <w:r w:rsidR="00525EB9">
        <w:rPr>
          <w:rFonts w:ascii="Arial" w:hAnsi="Arial" w:cs="Arial"/>
          <w:b/>
          <w:color w:val="000000"/>
          <w:sz w:val="22"/>
          <w:szCs w:val="22"/>
          <w:lang w:val="fr-FR"/>
        </w:rPr>
        <w:noBreakHyphen/>
      </w:r>
      <w:r w:rsidRPr="004F507A">
        <w:rPr>
          <w:rFonts w:ascii="Arial" w:hAnsi="Arial" w:cs="Arial"/>
          <w:b/>
          <w:color w:val="000000"/>
          <w:sz w:val="22"/>
          <w:szCs w:val="22"/>
          <w:lang w:val="fr-FR"/>
        </w:rPr>
        <w:t>2017</w:t>
      </w:r>
    </w:p>
    <w:p w:rsidR="004F60C4" w:rsidRPr="004F507A" w:rsidRDefault="007E26AD" w:rsidP="002B5624">
      <w:pPr>
        <w:tabs>
          <w:tab w:val="left" w:pos="567"/>
        </w:tabs>
        <w:spacing w:after="240"/>
        <w:rPr>
          <w:rFonts w:ascii="Arial" w:hAnsi="Arial" w:cs="Arial"/>
          <w:color w:val="000000"/>
          <w:sz w:val="22"/>
          <w:szCs w:val="22"/>
          <w:lang w:val="fr-FR"/>
        </w:rPr>
      </w:pPr>
      <w:r w:rsidRPr="004F507A">
        <w:rPr>
          <w:rFonts w:ascii="Arial" w:hAnsi="Arial" w:cs="Arial"/>
          <w:sz w:val="22"/>
          <w:szCs w:val="22"/>
          <w:lang w:val="fr-FR"/>
        </w:rPr>
        <w:fldChar w:fldCharType="begin"/>
      </w:r>
      <w:r w:rsidRPr="004F507A">
        <w:rPr>
          <w:rFonts w:ascii="Arial" w:hAnsi="Arial" w:cs="Arial"/>
          <w:sz w:val="22"/>
          <w:szCs w:val="22"/>
          <w:lang w:val="fr-FR"/>
        </w:rPr>
        <w:instrText xml:space="preserve"> AUTONUM  </w:instrText>
      </w:r>
      <w:r w:rsidRPr="004F507A">
        <w:rPr>
          <w:rFonts w:ascii="Arial" w:hAnsi="Arial" w:cs="Arial"/>
          <w:sz w:val="22"/>
          <w:szCs w:val="22"/>
          <w:lang w:val="fr-FR"/>
        </w:rPr>
        <w:fldChar w:fldCharType="end"/>
      </w:r>
      <w:r w:rsidRPr="004F507A">
        <w:rPr>
          <w:rFonts w:ascii="Arial" w:hAnsi="Arial" w:cs="Arial"/>
          <w:sz w:val="22"/>
          <w:szCs w:val="22"/>
          <w:lang w:val="fr-FR"/>
        </w:rPr>
        <w:tab/>
      </w:r>
      <w:r w:rsidR="00A04DAF" w:rsidRPr="004F507A">
        <w:rPr>
          <w:rFonts w:ascii="Arial" w:hAnsi="Arial" w:cs="Arial"/>
          <w:color w:val="000000"/>
          <w:sz w:val="22"/>
          <w:szCs w:val="22"/>
          <w:lang w:val="fr-FR"/>
        </w:rPr>
        <w:t xml:space="preserve">Pour définir </w:t>
      </w:r>
      <w:r w:rsidR="00884477" w:rsidRPr="004F507A">
        <w:rPr>
          <w:rFonts w:ascii="Arial" w:hAnsi="Arial" w:cs="Arial"/>
          <w:color w:val="000000"/>
          <w:sz w:val="22"/>
          <w:szCs w:val="22"/>
          <w:lang w:val="fr-FR"/>
        </w:rPr>
        <w:t xml:space="preserve">les </w:t>
      </w:r>
      <w:r w:rsidR="00D41C28" w:rsidRPr="004F507A">
        <w:rPr>
          <w:rFonts w:ascii="Arial" w:hAnsi="Arial" w:cs="Arial"/>
          <w:color w:val="000000"/>
          <w:sz w:val="22"/>
          <w:szCs w:val="22"/>
          <w:lang w:val="fr-FR"/>
        </w:rPr>
        <w:t>questions à traiter en priorité lors</w:t>
      </w:r>
      <w:r w:rsidR="00884477" w:rsidRPr="004F507A">
        <w:rPr>
          <w:rFonts w:ascii="Arial" w:hAnsi="Arial" w:cs="Arial"/>
          <w:color w:val="000000"/>
          <w:sz w:val="22"/>
          <w:szCs w:val="22"/>
          <w:lang w:val="fr-FR"/>
        </w:rPr>
        <w:t xml:space="preserve"> de l</w:t>
      </w:r>
      <w:r w:rsidR="00A04DAF" w:rsidRPr="004F507A">
        <w:rPr>
          <w:rFonts w:ascii="Arial" w:hAnsi="Arial" w:cs="Arial"/>
          <w:color w:val="000000"/>
          <w:sz w:val="22"/>
          <w:szCs w:val="22"/>
          <w:lang w:val="fr-FR"/>
        </w:rPr>
        <w:t>a prochaine session</w:t>
      </w:r>
      <w:r w:rsidR="00884477" w:rsidRPr="004F507A">
        <w:rPr>
          <w:rFonts w:ascii="Arial" w:hAnsi="Arial" w:cs="Arial"/>
          <w:color w:val="000000"/>
          <w:sz w:val="22"/>
          <w:szCs w:val="22"/>
          <w:lang w:val="fr-FR"/>
        </w:rPr>
        <w:t xml:space="preserve"> de l</w:t>
      </w:r>
      <w:r w:rsidR="006D7B02" w:rsidRPr="004F507A">
        <w:rPr>
          <w:rFonts w:ascii="Arial" w:hAnsi="Arial" w:cs="Arial"/>
          <w:color w:val="000000"/>
          <w:sz w:val="22"/>
          <w:szCs w:val="22"/>
          <w:lang w:val="fr-FR"/>
        </w:rPr>
        <w:t>’</w:t>
      </w:r>
      <w:r w:rsidR="00884477" w:rsidRPr="004F507A">
        <w:rPr>
          <w:rFonts w:ascii="Arial" w:hAnsi="Arial" w:cs="Arial"/>
          <w:color w:val="000000"/>
          <w:sz w:val="22"/>
          <w:szCs w:val="22"/>
          <w:lang w:val="fr-FR"/>
        </w:rPr>
        <w:t>IGC</w:t>
      </w:r>
      <w:r w:rsidR="00A04DAF" w:rsidRPr="004F507A">
        <w:rPr>
          <w:rFonts w:ascii="Arial" w:hAnsi="Arial" w:cs="Arial"/>
          <w:color w:val="000000"/>
          <w:sz w:val="22"/>
          <w:szCs w:val="22"/>
          <w:lang w:val="fr-FR"/>
        </w:rPr>
        <w:t>, les membres devraient tenir compte des éléments clés d</w:t>
      </w:r>
      <w:r w:rsidR="00D41C28" w:rsidRPr="004F507A">
        <w:rPr>
          <w:rFonts w:ascii="Arial" w:hAnsi="Arial" w:cs="Arial"/>
          <w:color w:val="000000"/>
          <w:sz w:val="22"/>
          <w:szCs w:val="22"/>
          <w:lang w:val="fr-FR"/>
        </w:rPr>
        <w:t>u</w:t>
      </w:r>
      <w:r w:rsidR="00A04DAF" w:rsidRPr="004F507A">
        <w:rPr>
          <w:rFonts w:ascii="Arial" w:hAnsi="Arial" w:cs="Arial"/>
          <w:color w:val="000000"/>
          <w:sz w:val="22"/>
          <w:szCs w:val="22"/>
          <w:lang w:val="fr-FR"/>
        </w:rPr>
        <w:t xml:space="preserve"> mandat actuel </w:t>
      </w:r>
      <w:r w:rsidR="00D41C28" w:rsidRPr="004F507A">
        <w:rPr>
          <w:rFonts w:ascii="Arial" w:hAnsi="Arial" w:cs="Arial"/>
          <w:color w:val="000000"/>
          <w:sz w:val="22"/>
          <w:szCs w:val="22"/>
          <w:lang w:val="fr-FR"/>
        </w:rPr>
        <w:t xml:space="preserve">du comité </w:t>
      </w:r>
      <w:r w:rsidR="00A04DAF" w:rsidRPr="004F507A">
        <w:rPr>
          <w:rFonts w:ascii="Arial" w:hAnsi="Arial" w:cs="Arial"/>
          <w:color w:val="000000"/>
          <w:sz w:val="22"/>
          <w:szCs w:val="22"/>
          <w:lang w:val="fr-FR"/>
        </w:rPr>
        <w:t>ci</w:t>
      </w:r>
      <w:r w:rsidR="00525EB9">
        <w:rPr>
          <w:rFonts w:ascii="Arial" w:hAnsi="Arial" w:cs="Arial"/>
          <w:color w:val="000000"/>
          <w:sz w:val="22"/>
          <w:szCs w:val="22"/>
          <w:lang w:val="fr-FR"/>
        </w:rPr>
        <w:noBreakHyphen/>
      </w:r>
      <w:r w:rsidR="00A04DAF" w:rsidRPr="004F507A">
        <w:rPr>
          <w:rFonts w:ascii="Arial" w:hAnsi="Arial" w:cs="Arial"/>
          <w:color w:val="000000"/>
          <w:sz w:val="22"/>
          <w:szCs w:val="22"/>
          <w:lang w:val="fr-FR"/>
        </w:rPr>
        <w:t>après</w:t>
      </w:r>
      <w:r w:rsidR="000E59D1" w:rsidRPr="004F507A">
        <w:rPr>
          <w:rFonts w:ascii="Arial" w:hAnsi="Arial" w:cs="Arial"/>
          <w:color w:val="000000"/>
          <w:sz w:val="22"/>
          <w:szCs w:val="22"/>
          <w:lang w:val="fr-FR"/>
        </w:rPr>
        <w:t> </w:t>
      </w:r>
      <w:r w:rsidR="00A04DAF" w:rsidRPr="004F507A">
        <w:rPr>
          <w:rFonts w:ascii="Arial" w:hAnsi="Arial" w:cs="Arial"/>
          <w:color w:val="000000"/>
          <w:sz w:val="22"/>
          <w:szCs w:val="22"/>
          <w:lang w:val="fr-FR"/>
        </w:rPr>
        <w:t>:</w:t>
      </w:r>
    </w:p>
    <w:p w:rsidR="004F60C4" w:rsidRPr="004F507A" w:rsidRDefault="006D7B02" w:rsidP="002B5624">
      <w:pPr>
        <w:pStyle w:val="Default"/>
        <w:numPr>
          <w:ilvl w:val="0"/>
          <w:numId w:val="1"/>
        </w:numPr>
        <w:tabs>
          <w:tab w:val="clear" w:pos="720"/>
          <w:tab w:val="num" w:pos="1134"/>
        </w:tabs>
        <w:ind w:left="1134" w:hanging="567"/>
        <w:rPr>
          <w:sz w:val="22"/>
          <w:szCs w:val="22"/>
          <w:lang w:val="fr-FR"/>
        </w:rPr>
      </w:pPr>
      <w:r w:rsidRPr="004F507A">
        <w:rPr>
          <w:sz w:val="22"/>
          <w:szCs w:val="22"/>
          <w:lang w:val="fr-FR"/>
        </w:rPr>
        <w:t>“</w:t>
      </w:r>
      <w:r w:rsidR="00884477" w:rsidRPr="004F507A">
        <w:rPr>
          <w:sz w:val="22"/>
          <w:szCs w:val="22"/>
          <w:lang w:val="fr-FR"/>
        </w:rPr>
        <w:t>réduire les divergences actuelles</w:t>
      </w:r>
      <w:r w:rsidRPr="004F507A">
        <w:rPr>
          <w:sz w:val="22"/>
          <w:szCs w:val="22"/>
          <w:lang w:val="fr-FR"/>
        </w:rPr>
        <w:t>”</w:t>
      </w:r>
      <w:r w:rsidR="00884477" w:rsidRPr="004F507A">
        <w:rPr>
          <w:sz w:val="22"/>
          <w:szCs w:val="22"/>
          <w:lang w:val="fr-FR"/>
        </w:rPr>
        <w:t>;</w:t>
      </w:r>
    </w:p>
    <w:p w:rsidR="006D7B02" w:rsidRPr="004F507A" w:rsidRDefault="006D7B02" w:rsidP="002B5624">
      <w:pPr>
        <w:pStyle w:val="Default"/>
        <w:numPr>
          <w:ilvl w:val="0"/>
          <w:numId w:val="1"/>
        </w:numPr>
        <w:tabs>
          <w:tab w:val="clear" w:pos="720"/>
          <w:tab w:val="num" w:pos="1134"/>
        </w:tabs>
        <w:ind w:left="1134" w:hanging="567"/>
        <w:rPr>
          <w:sz w:val="22"/>
          <w:szCs w:val="22"/>
          <w:lang w:val="fr-FR"/>
        </w:rPr>
      </w:pPr>
      <w:r w:rsidRPr="004F507A">
        <w:rPr>
          <w:sz w:val="22"/>
          <w:szCs w:val="22"/>
          <w:lang w:val="fr-FR"/>
        </w:rPr>
        <w:t>“</w:t>
      </w:r>
      <w:r w:rsidR="00B61E7A" w:rsidRPr="004F507A">
        <w:rPr>
          <w:sz w:val="22"/>
          <w:szCs w:val="22"/>
          <w:lang w:val="fr-FR"/>
        </w:rPr>
        <w:t xml:space="preserve">afin de parvenir à un accord sur un ou plusieurs instruments juridiques internationaux </w:t>
      </w:r>
      <w:r w:rsidR="00B61E7A" w:rsidRPr="004F507A">
        <w:rPr>
          <w:sz w:val="22"/>
          <w:szCs w:val="22"/>
          <w:u w:val="single"/>
          <w:lang w:val="fr-FR"/>
        </w:rPr>
        <w:t>relatifs à la propriété intellectuelle</w:t>
      </w:r>
      <w:r w:rsidR="00B61E7A" w:rsidRPr="004F507A">
        <w:rPr>
          <w:sz w:val="22"/>
          <w:szCs w:val="22"/>
          <w:lang w:val="fr-FR"/>
        </w:rPr>
        <w:t xml:space="preserve">, propres à garantir une protection </w:t>
      </w:r>
      <w:r w:rsidR="00B61E7A" w:rsidRPr="004F507A">
        <w:rPr>
          <w:sz w:val="22"/>
          <w:szCs w:val="22"/>
          <w:u w:val="single"/>
          <w:lang w:val="fr-FR"/>
        </w:rPr>
        <w:t>équilibrée et effective</w:t>
      </w:r>
      <w:r w:rsidR="00B61E7A" w:rsidRPr="004F507A">
        <w:rPr>
          <w:sz w:val="22"/>
          <w:szCs w:val="22"/>
          <w:lang w:val="fr-FR"/>
        </w:rPr>
        <w:t xml:space="preserve"> des ressources génétiques, des savoirs traditionnels et des expressions culturelles traditionnelles</w:t>
      </w:r>
      <w:r w:rsidRPr="004F507A">
        <w:rPr>
          <w:sz w:val="22"/>
          <w:szCs w:val="22"/>
          <w:lang w:val="fr-FR"/>
        </w:rPr>
        <w:t>”</w:t>
      </w:r>
      <w:r w:rsidR="00B61E7A" w:rsidRPr="004F507A">
        <w:rPr>
          <w:sz w:val="22"/>
          <w:szCs w:val="22"/>
          <w:lang w:val="fr-FR"/>
        </w:rPr>
        <w:t>;</w:t>
      </w:r>
    </w:p>
    <w:p w:rsidR="004F60C4" w:rsidRPr="004F507A" w:rsidRDefault="006D7B02" w:rsidP="002B5624">
      <w:pPr>
        <w:pStyle w:val="Default"/>
        <w:numPr>
          <w:ilvl w:val="0"/>
          <w:numId w:val="1"/>
        </w:numPr>
        <w:tabs>
          <w:tab w:val="clear" w:pos="720"/>
          <w:tab w:val="num" w:pos="1134"/>
        </w:tabs>
        <w:ind w:left="1134" w:hanging="567"/>
        <w:rPr>
          <w:sz w:val="22"/>
          <w:szCs w:val="22"/>
          <w:lang w:val="fr-FR"/>
        </w:rPr>
      </w:pPr>
      <w:r w:rsidRPr="004F507A">
        <w:rPr>
          <w:sz w:val="22"/>
          <w:szCs w:val="22"/>
          <w:lang w:val="fr-FR"/>
        </w:rPr>
        <w:t>“</w:t>
      </w:r>
      <w:r w:rsidR="00B61E7A" w:rsidRPr="004F507A">
        <w:rPr>
          <w:sz w:val="22"/>
          <w:szCs w:val="22"/>
          <w:lang w:val="fr-FR"/>
        </w:rPr>
        <w:t>en s</w:t>
      </w:r>
      <w:r w:rsidRPr="004F507A">
        <w:rPr>
          <w:sz w:val="22"/>
          <w:szCs w:val="22"/>
          <w:lang w:val="fr-FR"/>
        </w:rPr>
        <w:t>’</w:t>
      </w:r>
      <w:r w:rsidR="00B61E7A" w:rsidRPr="004F507A">
        <w:rPr>
          <w:sz w:val="22"/>
          <w:szCs w:val="22"/>
          <w:lang w:val="fr-FR"/>
        </w:rPr>
        <w:t>efforçant principalement de parvenir à une communauté de vues sur les questions essentielles telles que la définition de l</w:t>
      </w:r>
      <w:r w:rsidRPr="004F507A">
        <w:rPr>
          <w:sz w:val="22"/>
          <w:szCs w:val="22"/>
          <w:lang w:val="fr-FR"/>
        </w:rPr>
        <w:t>’</w:t>
      </w:r>
      <w:r w:rsidR="00B61E7A" w:rsidRPr="004F507A">
        <w:rPr>
          <w:sz w:val="22"/>
          <w:szCs w:val="22"/>
          <w:lang w:val="fr-FR"/>
        </w:rPr>
        <w:t>appropriation illicite, les bénéficiaires, l</w:t>
      </w:r>
      <w:r w:rsidRPr="004F507A">
        <w:rPr>
          <w:sz w:val="22"/>
          <w:szCs w:val="22"/>
          <w:lang w:val="fr-FR"/>
        </w:rPr>
        <w:t>’</w:t>
      </w:r>
      <w:r w:rsidR="00B61E7A" w:rsidRPr="004F507A">
        <w:rPr>
          <w:sz w:val="22"/>
          <w:szCs w:val="22"/>
          <w:lang w:val="fr-FR"/>
        </w:rPr>
        <w:t>objet de la protection, les objectifs, et le point de savoir quels objets relevant des savoirs traditionnels ou des expressions culturelles traditionnelles peuvent bénéficier d</w:t>
      </w:r>
      <w:r w:rsidRPr="004F507A">
        <w:rPr>
          <w:sz w:val="22"/>
          <w:szCs w:val="22"/>
          <w:lang w:val="fr-FR"/>
        </w:rPr>
        <w:t>’</w:t>
      </w:r>
      <w:r w:rsidR="00B61E7A" w:rsidRPr="004F507A">
        <w:rPr>
          <w:sz w:val="22"/>
          <w:szCs w:val="22"/>
          <w:lang w:val="fr-FR"/>
        </w:rPr>
        <w:t xml:space="preserve">une protection au niveau international, </w:t>
      </w:r>
      <w:r w:rsidRPr="004F507A">
        <w:rPr>
          <w:sz w:val="22"/>
          <w:szCs w:val="22"/>
          <w:lang w:val="fr-FR"/>
        </w:rPr>
        <w:t>y compris</w:t>
      </w:r>
      <w:r w:rsidR="00B61E7A" w:rsidRPr="004F507A">
        <w:rPr>
          <w:sz w:val="22"/>
          <w:szCs w:val="22"/>
          <w:lang w:val="fr-FR"/>
        </w:rPr>
        <w:t xml:space="preserve"> la prise en considération des exceptions et limitations et des rapports avec le domaine public</w:t>
      </w:r>
      <w:r w:rsidRPr="004F507A">
        <w:rPr>
          <w:sz w:val="22"/>
          <w:szCs w:val="22"/>
          <w:lang w:val="fr-FR"/>
        </w:rPr>
        <w:t>”</w:t>
      </w:r>
      <w:r w:rsidR="00B61E7A" w:rsidRPr="004F507A">
        <w:rPr>
          <w:sz w:val="22"/>
          <w:szCs w:val="22"/>
          <w:lang w:val="fr-FR"/>
        </w:rPr>
        <w:t>;</w:t>
      </w:r>
    </w:p>
    <w:p w:rsidR="004F60C4" w:rsidRPr="004F507A" w:rsidRDefault="006D7B02" w:rsidP="002B5624">
      <w:pPr>
        <w:pStyle w:val="Default"/>
        <w:numPr>
          <w:ilvl w:val="0"/>
          <w:numId w:val="1"/>
        </w:numPr>
        <w:tabs>
          <w:tab w:val="clear" w:pos="720"/>
          <w:tab w:val="num" w:pos="1134"/>
        </w:tabs>
        <w:ind w:left="1134" w:hanging="567"/>
        <w:rPr>
          <w:sz w:val="22"/>
          <w:szCs w:val="22"/>
          <w:lang w:val="fr-FR"/>
        </w:rPr>
      </w:pPr>
      <w:r w:rsidRPr="004F507A">
        <w:rPr>
          <w:sz w:val="22"/>
          <w:szCs w:val="22"/>
          <w:lang w:val="fr-FR"/>
        </w:rPr>
        <w:t>“</w:t>
      </w:r>
      <w:r w:rsidR="00B61E7A" w:rsidRPr="004F507A">
        <w:rPr>
          <w:sz w:val="22"/>
          <w:szCs w:val="22"/>
          <w:lang w:val="fr-FR"/>
        </w:rPr>
        <w:t>suivant une approche fondée sur des bases factuelles</w:t>
      </w:r>
      <w:r w:rsidRPr="004F507A">
        <w:rPr>
          <w:sz w:val="22"/>
          <w:szCs w:val="22"/>
          <w:lang w:val="fr-FR"/>
        </w:rPr>
        <w:t>”</w:t>
      </w:r>
      <w:r w:rsidR="00B61E7A" w:rsidRPr="004F507A">
        <w:rPr>
          <w:sz w:val="22"/>
          <w:szCs w:val="22"/>
          <w:lang w:val="fr-FR"/>
        </w:rPr>
        <w:t>;</w:t>
      </w:r>
    </w:p>
    <w:p w:rsidR="006D7B02" w:rsidRPr="004F507A" w:rsidRDefault="006D7B02" w:rsidP="002B5624">
      <w:pPr>
        <w:pStyle w:val="Default"/>
        <w:numPr>
          <w:ilvl w:val="0"/>
          <w:numId w:val="1"/>
        </w:numPr>
        <w:tabs>
          <w:tab w:val="clear" w:pos="720"/>
          <w:tab w:val="num" w:pos="1134"/>
        </w:tabs>
        <w:spacing w:after="240"/>
        <w:ind w:left="1134" w:hanging="567"/>
        <w:rPr>
          <w:sz w:val="22"/>
          <w:szCs w:val="22"/>
          <w:lang w:val="fr-FR"/>
        </w:rPr>
      </w:pPr>
      <w:r w:rsidRPr="004F507A">
        <w:rPr>
          <w:sz w:val="22"/>
          <w:szCs w:val="22"/>
          <w:lang w:val="fr-FR"/>
        </w:rPr>
        <w:lastRenderedPageBreak/>
        <w:t>“</w:t>
      </w:r>
      <w:r w:rsidR="00B61E7A" w:rsidRPr="004F507A">
        <w:rPr>
          <w:sz w:val="22"/>
          <w:szCs w:val="22"/>
          <w:lang w:val="fr-FR"/>
        </w:rPr>
        <w:t>séminaires et ateliers intersessions afin de renforcer les connaissances et le consensus aux niveaux régional et interrégional sur les questions en rapport avec la propriété intellectuelle relative aux ressources génétiques, aux savoirs traditionnels et aux expressions culturelles traditionnelles en mettant l</w:t>
      </w:r>
      <w:r w:rsidRPr="004F507A">
        <w:rPr>
          <w:sz w:val="22"/>
          <w:szCs w:val="22"/>
          <w:lang w:val="fr-FR"/>
        </w:rPr>
        <w:t>’</w:t>
      </w:r>
      <w:r w:rsidR="00B61E7A" w:rsidRPr="004F507A">
        <w:rPr>
          <w:sz w:val="22"/>
          <w:szCs w:val="22"/>
          <w:lang w:val="fr-FR"/>
        </w:rPr>
        <w:t>accent sur les questions non résolues</w:t>
      </w:r>
      <w:r w:rsidRPr="004F507A">
        <w:rPr>
          <w:sz w:val="22"/>
          <w:szCs w:val="22"/>
          <w:lang w:val="fr-FR"/>
        </w:rPr>
        <w:t>”</w:t>
      </w:r>
      <w:r w:rsidR="00B61E7A" w:rsidRPr="004F507A">
        <w:rPr>
          <w:sz w:val="22"/>
          <w:szCs w:val="22"/>
          <w:lang w:val="fr-FR"/>
        </w:rPr>
        <w:t>.</w:t>
      </w:r>
    </w:p>
    <w:p w:rsidR="004F60C4" w:rsidRPr="004F507A" w:rsidRDefault="007E26AD" w:rsidP="002B5624">
      <w:pPr>
        <w:tabs>
          <w:tab w:val="left" w:pos="567"/>
        </w:tabs>
        <w:spacing w:after="240"/>
        <w:rPr>
          <w:rFonts w:ascii="Arial" w:hAnsi="Arial" w:cs="Arial"/>
          <w:sz w:val="22"/>
          <w:szCs w:val="22"/>
          <w:lang w:val="fr-FR"/>
        </w:rPr>
      </w:pPr>
      <w:r w:rsidRPr="004F507A">
        <w:rPr>
          <w:rFonts w:ascii="Arial" w:hAnsi="Arial" w:cs="Arial"/>
          <w:sz w:val="22"/>
          <w:szCs w:val="22"/>
          <w:lang w:val="fr-FR"/>
        </w:rPr>
        <w:fldChar w:fldCharType="begin"/>
      </w:r>
      <w:r w:rsidRPr="004F507A">
        <w:rPr>
          <w:rFonts w:ascii="Arial" w:hAnsi="Arial" w:cs="Arial"/>
          <w:sz w:val="22"/>
          <w:szCs w:val="22"/>
          <w:lang w:val="fr-FR"/>
        </w:rPr>
        <w:instrText xml:space="preserve"> AUTONUM  </w:instrText>
      </w:r>
      <w:r w:rsidRPr="004F507A">
        <w:rPr>
          <w:rFonts w:ascii="Arial" w:hAnsi="Arial" w:cs="Arial"/>
          <w:sz w:val="22"/>
          <w:szCs w:val="22"/>
          <w:lang w:val="fr-FR"/>
        </w:rPr>
        <w:fldChar w:fldCharType="end"/>
      </w:r>
      <w:r w:rsidRPr="004F507A">
        <w:rPr>
          <w:rFonts w:ascii="Arial" w:hAnsi="Arial" w:cs="Arial"/>
          <w:sz w:val="22"/>
          <w:szCs w:val="22"/>
          <w:lang w:val="fr-FR"/>
        </w:rPr>
        <w:tab/>
      </w:r>
      <w:r w:rsidR="00B80E60" w:rsidRPr="004F507A">
        <w:rPr>
          <w:rFonts w:ascii="Arial" w:hAnsi="Arial" w:cs="Arial"/>
          <w:color w:val="000000"/>
          <w:sz w:val="22"/>
          <w:szCs w:val="22"/>
          <w:lang w:val="fr-FR"/>
        </w:rPr>
        <w:t>La trente</w:t>
      </w:r>
      <w:r w:rsidR="000E59D1" w:rsidRPr="004F507A">
        <w:rPr>
          <w:rFonts w:ascii="Arial" w:hAnsi="Arial" w:cs="Arial"/>
          <w:color w:val="000000"/>
          <w:sz w:val="22"/>
          <w:szCs w:val="22"/>
          <w:lang w:val="fr-FR"/>
        </w:rPr>
        <w:t> </w:t>
      </w:r>
      <w:r w:rsidR="00B80E60" w:rsidRPr="004F507A">
        <w:rPr>
          <w:rFonts w:ascii="Arial" w:hAnsi="Arial" w:cs="Arial"/>
          <w:color w:val="000000"/>
          <w:sz w:val="22"/>
          <w:szCs w:val="22"/>
          <w:lang w:val="fr-FR"/>
        </w:rPr>
        <w:t>et</w:t>
      </w:r>
      <w:r w:rsidR="000E59D1" w:rsidRPr="004F507A">
        <w:rPr>
          <w:rFonts w:ascii="Arial" w:hAnsi="Arial" w:cs="Arial"/>
          <w:color w:val="000000"/>
          <w:sz w:val="22"/>
          <w:szCs w:val="22"/>
          <w:lang w:val="fr-FR"/>
        </w:rPr>
        <w:t> </w:t>
      </w:r>
      <w:r w:rsidR="00B80E60" w:rsidRPr="004F507A">
        <w:rPr>
          <w:rFonts w:ascii="Arial" w:hAnsi="Arial" w:cs="Arial"/>
          <w:color w:val="000000"/>
          <w:sz w:val="22"/>
          <w:szCs w:val="22"/>
          <w:lang w:val="fr-FR"/>
        </w:rPr>
        <w:t>unième</w:t>
      </w:r>
      <w:r w:rsidR="000E59D1" w:rsidRPr="004F507A">
        <w:rPr>
          <w:rFonts w:ascii="Arial" w:hAnsi="Arial" w:cs="Arial"/>
          <w:color w:val="000000"/>
          <w:sz w:val="22"/>
          <w:szCs w:val="22"/>
          <w:lang w:val="fr-FR"/>
        </w:rPr>
        <w:t> </w:t>
      </w:r>
      <w:r w:rsidR="00B80E60" w:rsidRPr="004F507A">
        <w:rPr>
          <w:rFonts w:ascii="Arial" w:hAnsi="Arial" w:cs="Arial"/>
          <w:color w:val="000000"/>
          <w:sz w:val="22"/>
          <w:szCs w:val="22"/>
          <w:lang w:val="fr-FR"/>
        </w:rPr>
        <w:t>session de l</w:t>
      </w:r>
      <w:r w:rsidR="006D7B02" w:rsidRPr="004F507A">
        <w:rPr>
          <w:rFonts w:ascii="Arial" w:hAnsi="Arial" w:cs="Arial"/>
          <w:color w:val="000000"/>
          <w:sz w:val="22"/>
          <w:szCs w:val="22"/>
          <w:lang w:val="fr-FR"/>
        </w:rPr>
        <w:t>’</w:t>
      </w:r>
      <w:r w:rsidR="008A6717">
        <w:rPr>
          <w:rFonts w:ascii="Arial" w:hAnsi="Arial" w:cs="Arial"/>
          <w:color w:val="000000"/>
          <w:sz w:val="22"/>
          <w:szCs w:val="22"/>
          <w:lang w:val="fr-FR"/>
        </w:rPr>
        <w:t>IGC sera la première de</w:t>
      </w:r>
      <w:r w:rsidR="00B80E60" w:rsidRPr="004F507A">
        <w:rPr>
          <w:rFonts w:ascii="Arial" w:hAnsi="Arial" w:cs="Arial"/>
          <w:color w:val="000000"/>
          <w:sz w:val="22"/>
          <w:szCs w:val="22"/>
          <w:lang w:val="fr-FR"/>
        </w:rPr>
        <w:t xml:space="preserve"> deux</w:t>
      </w:r>
      <w:r w:rsidR="000E59D1" w:rsidRPr="004F507A">
        <w:rPr>
          <w:rFonts w:ascii="Arial" w:hAnsi="Arial" w:cs="Arial"/>
          <w:color w:val="000000"/>
          <w:sz w:val="22"/>
          <w:szCs w:val="22"/>
          <w:lang w:val="fr-FR"/>
        </w:rPr>
        <w:t> </w:t>
      </w:r>
      <w:r w:rsidR="00B80E60" w:rsidRPr="004F507A">
        <w:rPr>
          <w:rFonts w:ascii="Arial" w:hAnsi="Arial" w:cs="Arial"/>
          <w:color w:val="000000"/>
          <w:sz w:val="22"/>
          <w:szCs w:val="22"/>
          <w:lang w:val="fr-FR"/>
        </w:rPr>
        <w:t xml:space="preserve">sessions du comité qui seront consacrées aux savoirs traditionnels </w:t>
      </w:r>
      <w:r w:rsidR="00D41C28" w:rsidRPr="004F507A">
        <w:rPr>
          <w:rFonts w:ascii="Arial" w:hAnsi="Arial" w:cs="Arial"/>
          <w:color w:val="000000"/>
          <w:sz w:val="22"/>
          <w:szCs w:val="22"/>
          <w:lang w:val="fr-FR"/>
        </w:rPr>
        <w:t>lors de</w:t>
      </w:r>
      <w:r w:rsidR="00B80E60" w:rsidRPr="004F507A">
        <w:rPr>
          <w:rFonts w:ascii="Arial" w:hAnsi="Arial" w:cs="Arial"/>
          <w:color w:val="000000"/>
          <w:sz w:val="22"/>
          <w:szCs w:val="22"/>
          <w:lang w:val="fr-FR"/>
        </w:rPr>
        <w:t xml:space="preserve"> l</w:t>
      </w:r>
      <w:r w:rsidR="006D7B02" w:rsidRPr="004F507A">
        <w:rPr>
          <w:rFonts w:ascii="Arial" w:hAnsi="Arial" w:cs="Arial"/>
          <w:color w:val="000000"/>
          <w:sz w:val="22"/>
          <w:szCs w:val="22"/>
          <w:lang w:val="fr-FR"/>
        </w:rPr>
        <w:t>’</w:t>
      </w:r>
      <w:r w:rsidR="00B80E60" w:rsidRPr="004F507A">
        <w:rPr>
          <w:rFonts w:ascii="Arial" w:hAnsi="Arial" w:cs="Arial"/>
          <w:color w:val="000000"/>
          <w:sz w:val="22"/>
          <w:szCs w:val="22"/>
          <w:lang w:val="fr-FR"/>
        </w:rPr>
        <w:t>exercice biennal en cou</w:t>
      </w:r>
      <w:r w:rsidR="004F507A" w:rsidRPr="004F507A">
        <w:rPr>
          <w:rFonts w:ascii="Arial" w:hAnsi="Arial" w:cs="Arial"/>
          <w:color w:val="000000"/>
          <w:sz w:val="22"/>
          <w:szCs w:val="22"/>
          <w:lang w:val="fr-FR"/>
        </w:rPr>
        <w:t>rs.  Co</w:t>
      </w:r>
      <w:r w:rsidR="00B80E60" w:rsidRPr="004F507A">
        <w:rPr>
          <w:rFonts w:ascii="Arial" w:hAnsi="Arial" w:cs="Arial"/>
          <w:color w:val="000000"/>
          <w:sz w:val="22"/>
          <w:szCs w:val="22"/>
          <w:lang w:val="fr-FR"/>
        </w:rPr>
        <w:t>mme indiqué dans le programme de travail, les participants à la trente</w:t>
      </w:r>
      <w:r w:rsidR="000E59D1" w:rsidRPr="004F507A">
        <w:rPr>
          <w:rFonts w:ascii="Arial" w:hAnsi="Arial" w:cs="Arial"/>
          <w:color w:val="000000"/>
          <w:sz w:val="22"/>
          <w:szCs w:val="22"/>
          <w:lang w:val="fr-FR"/>
        </w:rPr>
        <w:t> </w:t>
      </w:r>
      <w:r w:rsidR="00B80E60" w:rsidRPr="004F507A">
        <w:rPr>
          <w:rFonts w:ascii="Arial" w:hAnsi="Arial" w:cs="Arial"/>
          <w:color w:val="000000"/>
          <w:sz w:val="22"/>
          <w:szCs w:val="22"/>
          <w:lang w:val="fr-FR"/>
        </w:rPr>
        <w:t>et</w:t>
      </w:r>
      <w:r w:rsidR="000E59D1" w:rsidRPr="004F507A">
        <w:rPr>
          <w:rFonts w:ascii="Arial" w:hAnsi="Arial" w:cs="Arial"/>
          <w:color w:val="000000"/>
          <w:sz w:val="22"/>
          <w:szCs w:val="22"/>
          <w:lang w:val="fr-FR"/>
        </w:rPr>
        <w:t> </w:t>
      </w:r>
      <w:r w:rsidR="00B80E60" w:rsidRPr="004F507A">
        <w:rPr>
          <w:rFonts w:ascii="Arial" w:hAnsi="Arial" w:cs="Arial"/>
          <w:color w:val="000000"/>
          <w:sz w:val="22"/>
          <w:szCs w:val="22"/>
          <w:lang w:val="fr-FR"/>
        </w:rPr>
        <w:t>unième</w:t>
      </w:r>
      <w:r w:rsidR="000E59D1" w:rsidRPr="004F507A">
        <w:rPr>
          <w:rFonts w:ascii="Arial" w:hAnsi="Arial" w:cs="Arial"/>
          <w:color w:val="000000"/>
          <w:sz w:val="22"/>
          <w:szCs w:val="22"/>
          <w:lang w:val="fr-FR"/>
        </w:rPr>
        <w:t> </w:t>
      </w:r>
      <w:r w:rsidR="00B80E60" w:rsidRPr="004F507A">
        <w:rPr>
          <w:rFonts w:ascii="Arial" w:hAnsi="Arial" w:cs="Arial"/>
          <w:color w:val="000000"/>
          <w:sz w:val="22"/>
          <w:szCs w:val="22"/>
          <w:lang w:val="fr-FR"/>
        </w:rPr>
        <w:t>session de l</w:t>
      </w:r>
      <w:r w:rsidR="006D7B02" w:rsidRPr="004F507A">
        <w:rPr>
          <w:rFonts w:ascii="Arial" w:hAnsi="Arial" w:cs="Arial"/>
          <w:color w:val="000000"/>
          <w:sz w:val="22"/>
          <w:szCs w:val="22"/>
          <w:lang w:val="fr-FR"/>
        </w:rPr>
        <w:t>’</w:t>
      </w:r>
      <w:r w:rsidR="00B80E60" w:rsidRPr="004F507A">
        <w:rPr>
          <w:rFonts w:ascii="Arial" w:hAnsi="Arial" w:cs="Arial"/>
          <w:color w:val="000000"/>
          <w:sz w:val="22"/>
          <w:szCs w:val="22"/>
          <w:lang w:val="fr-FR"/>
        </w:rPr>
        <w:t>IGC devraient</w:t>
      </w:r>
      <w:r w:rsidR="000E59D1" w:rsidRPr="004F507A">
        <w:rPr>
          <w:rFonts w:ascii="Arial" w:hAnsi="Arial" w:cs="Arial"/>
          <w:color w:val="000000"/>
          <w:sz w:val="22"/>
          <w:szCs w:val="22"/>
          <w:lang w:val="fr-FR"/>
        </w:rPr>
        <w:t> </w:t>
      </w:r>
      <w:r w:rsidR="00B80E60" w:rsidRPr="004F507A">
        <w:rPr>
          <w:rFonts w:ascii="Arial" w:hAnsi="Arial" w:cs="Arial"/>
          <w:color w:val="000000"/>
          <w:sz w:val="22"/>
          <w:szCs w:val="22"/>
          <w:lang w:val="fr-FR"/>
        </w:rPr>
        <w:t>:</w:t>
      </w:r>
    </w:p>
    <w:p w:rsidR="004F60C4" w:rsidRPr="004F507A" w:rsidRDefault="004F507A" w:rsidP="002B5624">
      <w:pPr>
        <w:numPr>
          <w:ilvl w:val="0"/>
          <w:numId w:val="2"/>
        </w:numPr>
        <w:tabs>
          <w:tab w:val="clear" w:pos="720"/>
          <w:tab w:val="num" w:pos="1134"/>
        </w:tabs>
        <w:ind w:left="1134" w:hanging="567"/>
        <w:rPr>
          <w:rFonts w:ascii="Arial" w:hAnsi="Arial" w:cs="Arial"/>
          <w:sz w:val="22"/>
          <w:szCs w:val="22"/>
          <w:lang w:val="fr-FR"/>
        </w:rPr>
      </w:pPr>
      <w:r>
        <w:rPr>
          <w:rFonts w:ascii="Arial" w:hAnsi="Arial" w:cs="Arial"/>
          <w:sz w:val="22"/>
          <w:szCs w:val="22"/>
          <w:lang w:val="fr-FR"/>
        </w:rPr>
        <w:t>m</w:t>
      </w:r>
      <w:r w:rsidR="00B80E60" w:rsidRPr="004F507A">
        <w:rPr>
          <w:rFonts w:ascii="Arial" w:hAnsi="Arial" w:cs="Arial"/>
          <w:sz w:val="22"/>
          <w:szCs w:val="22"/>
          <w:lang w:val="fr-FR"/>
        </w:rPr>
        <w:t>ener des négociations sur les savoirs traditionnels en mettant l</w:t>
      </w:r>
      <w:r w:rsidR="006D7B02" w:rsidRPr="004F507A">
        <w:rPr>
          <w:rFonts w:ascii="Arial" w:hAnsi="Arial" w:cs="Arial"/>
          <w:sz w:val="22"/>
          <w:szCs w:val="22"/>
          <w:lang w:val="fr-FR"/>
        </w:rPr>
        <w:t>’</w:t>
      </w:r>
      <w:r w:rsidR="00B80E60" w:rsidRPr="004F507A">
        <w:rPr>
          <w:rFonts w:ascii="Arial" w:hAnsi="Arial" w:cs="Arial"/>
          <w:sz w:val="22"/>
          <w:szCs w:val="22"/>
          <w:lang w:val="fr-FR"/>
        </w:rPr>
        <w:t>accent sur les questions non résolues et en examinant des options relatives à un projet d</w:t>
      </w:r>
      <w:r w:rsidR="006D7B02" w:rsidRPr="004F507A">
        <w:rPr>
          <w:rFonts w:ascii="Arial" w:hAnsi="Arial" w:cs="Arial"/>
          <w:sz w:val="22"/>
          <w:szCs w:val="22"/>
          <w:lang w:val="fr-FR"/>
        </w:rPr>
        <w:t>’</w:t>
      </w:r>
      <w:r w:rsidR="00B80E60" w:rsidRPr="004F507A">
        <w:rPr>
          <w:rFonts w:ascii="Arial" w:hAnsi="Arial" w:cs="Arial"/>
          <w:sz w:val="22"/>
          <w:szCs w:val="22"/>
          <w:lang w:val="fr-FR"/>
        </w:rPr>
        <w:t>instrument juridique;  et</w:t>
      </w:r>
    </w:p>
    <w:p w:rsidR="004F60C4" w:rsidRPr="004F507A" w:rsidRDefault="004F507A" w:rsidP="002B5624">
      <w:pPr>
        <w:numPr>
          <w:ilvl w:val="0"/>
          <w:numId w:val="2"/>
        </w:numPr>
        <w:tabs>
          <w:tab w:val="clear" w:pos="720"/>
          <w:tab w:val="num" w:pos="1134"/>
        </w:tabs>
        <w:spacing w:after="240"/>
        <w:ind w:left="1134" w:hanging="567"/>
        <w:rPr>
          <w:rFonts w:ascii="Arial" w:hAnsi="Arial" w:cs="Arial"/>
          <w:sz w:val="22"/>
          <w:szCs w:val="22"/>
          <w:lang w:val="fr-FR"/>
        </w:rPr>
      </w:pPr>
      <w:r>
        <w:rPr>
          <w:rFonts w:ascii="Arial" w:hAnsi="Arial" w:cs="Arial"/>
          <w:sz w:val="22"/>
          <w:szCs w:val="22"/>
          <w:lang w:val="fr-FR"/>
        </w:rPr>
        <w:t>é</w:t>
      </w:r>
      <w:r w:rsidR="00B80E60" w:rsidRPr="004F507A">
        <w:rPr>
          <w:rFonts w:ascii="Arial" w:hAnsi="Arial" w:cs="Arial"/>
          <w:sz w:val="22"/>
          <w:szCs w:val="22"/>
          <w:lang w:val="fr-FR"/>
        </w:rPr>
        <w:t>tablir une liste indicative des questions en suspens à aborder ou à régler à la session suivante consacrée aux savoirs traditionnels.</w:t>
      </w:r>
    </w:p>
    <w:p w:rsidR="004F60C4" w:rsidRPr="004F507A" w:rsidRDefault="00B80E60" w:rsidP="002B5624">
      <w:pPr>
        <w:tabs>
          <w:tab w:val="left" w:pos="567"/>
        </w:tabs>
        <w:spacing w:after="240"/>
        <w:rPr>
          <w:rFonts w:ascii="Arial" w:hAnsi="Arial" w:cs="Arial"/>
          <w:b/>
          <w:sz w:val="22"/>
          <w:szCs w:val="22"/>
          <w:lang w:val="fr-FR"/>
        </w:rPr>
      </w:pPr>
      <w:r w:rsidRPr="004F507A">
        <w:rPr>
          <w:rFonts w:ascii="Arial" w:hAnsi="Arial" w:cs="Arial"/>
          <w:b/>
          <w:color w:val="000000"/>
          <w:sz w:val="22"/>
          <w:szCs w:val="22"/>
          <w:lang w:val="fr-FR"/>
        </w:rPr>
        <w:t>Questions essentielles</w:t>
      </w:r>
    </w:p>
    <w:p w:rsidR="006D7B02" w:rsidRPr="004F507A" w:rsidRDefault="007E26AD" w:rsidP="002B5624">
      <w:pPr>
        <w:tabs>
          <w:tab w:val="left" w:pos="567"/>
        </w:tabs>
        <w:spacing w:after="240"/>
        <w:rPr>
          <w:rFonts w:ascii="Arial" w:hAnsi="Arial" w:cs="Arial"/>
          <w:sz w:val="22"/>
          <w:szCs w:val="22"/>
          <w:lang w:val="fr-FR"/>
        </w:rPr>
      </w:pPr>
      <w:r w:rsidRPr="004F507A">
        <w:rPr>
          <w:rFonts w:ascii="Arial" w:hAnsi="Arial" w:cs="Arial"/>
          <w:sz w:val="22"/>
          <w:szCs w:val="22"/>
          <w:lang w:val="fr-FR"/>
        </w:rPr>
        <w:fldChar w:fldCharType="begin"/>
      </w:r>
      <w:r w:rsidRPr="004F507A">
        <w:rPr>
          <w:rFonts w:ascii="Arial" w:hAnsi="Arial" w:cs="Arial"/>
          <w:sz w:val="22"/>
          <w:szCs w:val="22"/>
          <w:lang w:val="fr-FR"/>
        </w:rPr>
        <w:instrText xml:space="preserve"> AUTONUM  </w:instrText>
      </w:r>
      <w:r w:rsidRPr="004F507A">
        <w:rPr>
          <w:rFonts w:ascii="Arial" w:hAnsi="Arial" w:cs="Arial"/>
          <w:sz w:val="22"/>
          <w:szCs w:val="22"/>
          <w:lang w:val="fr-FR"/>
        </w:rPr>
        <w:fldChar w:fldCharType="end"/>
      </w:r>
      <w:r w:rsidRPr="004F507A">
        <w:rPr>
          <w:rFonts w:ascii="Arial" w:hAnsi="Arial" w:cs="Arial"/>
          <w:sz w:val="22"/>
          <w:szCs w:val="22"/>
          <w:lang w:val="fr-FR"/>
        </w:rPr>
        <w:tab/>
      </w:r>
      <w:r w:rsidR="002715E6" w:rsidRPr="004F507A">
        <w:rPr>
          <w:rFonts w:ascii="Arial" w:hAnsi="Arial" w:cs="Arial"/>
          <w:color w:val="000000"/>
          <w:sz w:val="22"/>
          <w:szCs w:val="22"/>
          <w:lang w:val="fr-FR"/>
        </w:rPr>
        <w:t>Comme indiqué ci</w:t>
      </w:r>
      <w:r w:rsidR="00525EB9">
        <w:rPr>
          <w:rFonts w:ascii="Arial" w:hAnsi="Arial" w:cs="Arial"/>
          <w:color w:val="000000"/>
          <w:sz w:val="22"/>
          <w:szCs w:val="22"/>
          <w:lang w:val="fr-FR"/>
        </w:rPr>
        <w:noBreakHyphen/>
      </w:r>
      <w:r w:rsidR="002715E6" w:rsidRPr="004F507A">
        <w:rPr>
          <w:rFonts w:ascii="Arial" w:hAnsi="Arial" w:cs="Arial"/>
          <w:color w:val="000000"/>
          <w:sz w:val="22"/>
          <w:szCs w:val="22"/>
          <w:lang w:val="fr-FR"/>
        </w:rPr>
        <w:t>avant, les précédentes sessions de l</w:t>
      </w:r>
      <w:r w:rsidR="006D7B02" w:rsidRPr="004F507A">
        <w:rPr>
          <w:rFonts w:ascii="Arial" w:hAnsi="Arial" w:cs="Arial"/>
          <w:color w:val="000000"/>
          <w:sz w:val="22"/>
          <w:szCs w:val="22"/>
          <w:lang w:val="fr-FR"/>
        </w:rPr>
        <w:t>’</w:t>
      </w:r>
      <w:r w:rsidR="002715E6" w:rsidRPr="004F507A">
        <w:rPr>
          <w:rFonts w:ascii="Arial" w:hAnsi="Arial" w:cs="Arial"/>
          <w:color w:val="000000"/>
          <w:sz w:val="22"/>
          <w:szCs w:val="22"/>
          <w:lang w:val="fr-FR"/>
        </w:rPr>
        <w:t>IGC ont po</w:t>
      </w:r>
      <w:r w:rsidR="006239BC" w:rsidRPr="004F507A">
        <w:rPr>
          <w:rFonts w:ascii="Arial" w:hAnsi="Arial" w:cs="Arial"/>
          <w:color w:val="000000"/>
          <w:sz w:val="22"/>
          <w:szCs w:val="22"/>
          <w:lang w:val="fr-FR"/>
        </w:rPr>
        <w:t>rté avant tout sur les objectif</w:t>
      </w:r>
      <w:r w:rsidR="002715E6" w:rsidRPr="004F507A">
        <w:rPr>
          <w:rFonts w:ascii="Arial" w:hAnsi="Arial" w:cs="Arial"/>
          <w:color w:val="000000"/>
          <w:sz w:val="22"/>
          <w:szCs w:val="22"/>
          <w:lang w:val="fr-FR"/>
        </w:rPr>
        <w:t>s et les quatre</w:t>
      </w:r>
      <w:r w:rsidR="000E59D1" w:rsidRPr="004F507A">
        <w:rPr>
          <w:rFonts w:ascii="Arial" w:hAnsi="Arial" w:cs="Arial"/>
          <w:color w:val="000000"/>
          <w:sz w:val="22"/>
          <w:szCs w:val="22"/>
          <w:lang w:val="fr-FR"/>
        </w:rPr>
        <w:t> </w:t>
      </w:r>
      <w:r w:rsidR="002715E6" w:rsidRPr="004F507A">
        <w:rPr>
          <w:rFonts w:ascii="Arial" w:hAnsi="Arial" w:cs="Arial"/>
          <w:color w:val="000000"/>
          <w:sz w:val="22"/>
          <w:szCs w:val="22"/>
          <w:lang w:val="fr-FR"/>
        </w:rPr>
        <w:t>articles susmentionnés, conformément aux mandats alors confiés au comi</w:t>
      </w:r>
      <w:r w:rsidR="004F507A" w:rsidRPr="004F507A">
        <w:rPr>
          <w:rFonts w:ascii="Arial" w:hAnsi="Arial" w:cs="Arial"/>
          <w:color w:val="000000"/>
          <w:sz w:val="22"/>
          <w:szCs w:val="22"/>
          <w:lang w:val="fr-FR"/>
        </w:rPr>
        <w:t>té.  Le</w:t>
      </w:r>
      <w:r w:rsidR="00AC7F21" w:rsidRPr="004F507A">
        <w:rPr>
          <w:rFonts w:ascii="Arial" w:hAnsi="Arial" w:cs="Arial"/>
          <w:color w:val="000000"/>
          <w:sz w:val="22"/>
          <w:szCs w:val="22"/>
          <w:lang w:val="fr-FR"/>
        </w:rPr>
        <w:t xml:space="preserve"> mandat actuel ne mention</w:t>
      </w:r>
      <w:r w:rsidR="00D41C28" w:rsidRPr="004F507A">
        <w:rPr>
          <w:rFonts w:ascii="Arial" w:hAnsi="Arial" w:cs="Arial"/>
          <w:color w:val="000000"/>
          <w:sz w:val="22"/>
          <w:szCs w:val="22"/>
          <w:lang w:val="fr-FR"/>
        </w:rPr>
        <w:t>ne pas</w:t>
      </w:r>
      <w:r w:rsidR="00AC7F21" w:rsidRPr="004F507A">
        <w:rPr>
          <w:rFonts w:ascii="Arial" w:hAnsi="Arial" w:cs="Arial"/>
          <w:color w:val="000000"/>
          <w:sz w:val="22"/>
          <w:szCs w:val="22"/>
          <w:lang w:val="fr-FR"/>
        </w:rPr>
        <w:t xml:space="preserve"> </w:t>
      </w:r>
      <w:r w:rsidR="00D41C28" w:rsidRPr="004F507A">
        <w:rPr>
          <w:rFonts w:ascii="Arial" w:hAnsi="Arial" w:cs="Arial"/>
          <w:color w:val="000000"/>
          <w:sz w:val="22"/>
          <w:szCs w:val="22"/>
          <w:lang w:val="fr-FR"/>
        </w:rPr>
        <w:t>c</w:t>
      </w:r>
      <w:r w:rsidR="00AC7F21" w:rsidRPr="004F507A">
        <w:rPr>
          <w:rFonts w:ascii="Arial" w:hAnsi="Arial" w:cs="Arial"/>
          <w:color w:val="000000"/>
          <w:sz w:val="22"/>
          <w:szCs w:val="22"/>
          <w:lang w:val="fr-FR"/>
        </w:rPr>
        <w:t>es quatre</w:t>
      </w:r>
      <w:r w:rsidR="000E59D1" w:rsidRPr="004F507A">
        <w:rPr>
          <w:rFonts w:ascii="Arial" w:hAnsi="Arial" w:cs="Arial"/>
          <w:color w:val="000000"/>
          <w:sz w:val="22"/>
          <w:szCs w:val="22"/>
          <w:lang w:val="fr-FR"/>
        </w:rPr>
        <w:t> </w:t>
      </w:r>
      <w:r w:rsidR="00AC7F21" w:rsidRPr="004F507A">
        <w:rPr>
          <w:rFonts w:ascii="Arial" w:hAnsi="Arial" w:cs="Arial"/>
          <w:color w:val="000000"/>
          <w:sz w:val="22"/>
          <w:szCs w:val="22"/>
          <w:lang w:val="fr-FR"/>
        </w:rPr>
        <w:t xml:space="preserve">articles, mais définit des </w:t>
      </w:r>
      <w:r w:rsidR="006D7B02" w:rsidRPr="004F507A">
        <w:rPr>
          <w:rFonts w:ascii="Arial" w:hAnsi="Arial" w:cs="Arial"/>
          <w:color w:val="000000"/>
          <w:sz w:val="22"/>
          <w:szCs w:val="22"/>
          <w:lang w:val="fr-FR"/>
        </w:rPr>
        <w:t>“</w:t>
      </w:r>
      <w:r w:rsidR="00AC7F21" w:rsidRPr="004F507A">
        <w:rPr>
          <w:rFonts w:ascii="Arial" w:hAnsi="Arial" w:cs="Arial"/>
          <w:color w:val="000000"/>
          <w:sz w:val="22"/>
          <w:szCs w:val="22"/>
          <w:lang w:val="fr-FR"/>
        </w:rPr>
        <w:t>questions essentielles</w:t>
      </w:r>
      <w:r w:rsidR="006D7B02" w:rsidRPr="004F507A">
        <w:rPr>
          <w:rFonts w:ascii="Arial" w:hAnsi="Arial" w:cs="Arial"/>
          <w:color w:val="000000"/>
          <w:sz w:val="22"/>
          <w:szCs w:val="22"/>
          <w:lang w:val="fr-FR"/>
        </w:rPr>
        <w:t>”</w:t>
      </w:r>
      <w:r w:rsidR="00AC7F21" w:rsidRPr="004F507A">
        <w:rPr>
          <w:rFonts w:ascii="Arial" w:hAnsi="Arial" w:cs="Arial"/>
          <w:color w:val="000000"/>
          <w:sz w:val="22"/>
          <w:szCs w:val="22"/>
          <w:lang w:val="fr-FR"/>
        </w:rPr>
        <w:t xml:space="preserve"> (voir le paragraphe</w:t>
      </w:r>
      <w:r w:rsidR="000E59D1" w:rsidRPr="004F507A">
        <w:rPr>
          <w:rFonts w:ascii="Arial" w:hAnsi="Arial" w:cs="Arial"/>
          <w:color w:val="000000"/>
          <w:sz w:val="22"/>
          <w:szCs w:val="22"/>
          <w:lang w:val="fr-FR"/>
        </w:rPr>
        <w:t> </w:t>
      </w:r>
      <w:r w:rsidR="00AC7F21" w:rsidRPr="004F507A">
        <w:rPr>
          <w:rFonts w:ascii="Arial" w:hAnsi="Arial" w:cs="Arial"/>
          <w:color w:val="000000"/>
          <w:sz w:val="22"/>
          <w:szCs w:val="22"/>
          <w:lang w:val="fr-FR"/>
        </w:rPr>
        <w:t>8 ci</w:t>
      </w:r>
      <w:r w:rsidR="00525EB9">
        <w:rPr>
          <w:rFonts w:ascii="Arial" w:hAnsi="Arial" w:cs="Arial"/>
          <w:color w:val="000000"/>
          <w:sz w:val="22"/>
          <w:szCs w:val="22"/>
          <w:lang w:val="fr-FR"/>
        </w:rPr>
        <w:noBreakHyphen/>
      </w:r>
      <w:r w:rsidR="00AC7F21" w:rsidRPr="004F507A">
        <w:rPr>
          <w:rFonts w:ascii="Arial" w:hAnsi="Arial" w:cs="Arial"/>
          <w:color w:val="000000"/>
          <w:sz w:val="22"/>
          <w:szCs w:val="22"/>
          <w:lang w:val="fr-FR"/>
        </w:rPr>
        <w:t>ava</w:t>
      </w:r>
      <w:r w:rsidR="004F507A" w:rsidRPr="004F507A">
        <w:rPr>
          <w:rFonts w:ascii="Arial" w:hAnsi="Arial" w:cs="Arial"/>
          <w:color w:val="000000"/>
          <w:sz w:val="22"/>
          <w:szCs w:val="22"/>
          <w:lang w:val="fr-FR"/>
        </w:rPr>
        <w:t>nt).  Co</w:t>
      </w:r>
      <w:r w:rsidR="00AC7F21" w:rsidRPr="004F507A">
        <w:rPr>
          <w:rFonts w:ascii="Arial" w:hAnsi="Arial" w:cs="Arial"/>
          <w:color w:val="000000"/>
          <w:sz w:val="22"/>
          <w:szCs w:val="22"/>
          <w:lang w:val="fr-FR"/>
        </w:rPr>
        <w:t>mpte tenu des travaux antérieurs et des questions essentielles exposées dans le mandat, je propose que la priorité soit accordée aux questions suivantes lors des débats de la trente</w:t>
      </w:r>
      <w:r w:rsidR="000E59D1" w:rsidRPr="004F507A">
        <w:rPr>
          <w:rFonts w:ascii="Arial" w:hAnsi="Arial" w:cs="Arial"/>
          <w:color w:val="000000"/>
          <w:sz w:val="22"/>
          <w:szCs w:val="22"/>
          <w:lang w:val="fr-FR"/>
        </w:rPr>
        <w:t> </w:t>
      </w:r>
      <w:r w:rsidR="00AC7F21" w:rsidRPr="004F507A">
        <w:rPr>
          <w:rFonts w:ascii="Arial" w:hAnsi="Arial" w:cs="Arial"/>
          <w:color w:val="000000"/>
          <w:sz w:val="22"/>
          <w:szCs w:val="22"/>
          <w:lang w:val="fr-FR"/>
        </w:rPr>
        <w:t>et</w:t>
      </w:r>
      <w:r w:rsidR="000E59D1" w:rsidRPr="004F507A">
        <w:rPr>
          <w:rFonts w:ascii="Arial" w:hAnsi="Arial" w:cs="Arial"/>
          <w:color w:val="000000"/>
          <w:sz w:val="22"/>
          <w:szCs w:val="22"/>
          <w:lang w:val="fr-FR"/>
        </w:rPr>
        <w:t> </w:t>
      </w:r>
      <w:r w:rsidR="00AC7F21" w:rsidRPr="004F507A">
        <w:rPr>
          <w:rFonts w:ascii="Arial" w:hAnsi="Arial" w:cs="Arial"/>
          <w:color w:val="000000"/>
          <w:sz w:val="22"/>
          <w:szCs w:val="22"/>
          <w:lang w:val="fr-FR"/>
        </w:rPr>
        <w:t>unième</w:t>
      </w:r>
      <w:r w:rsidR="000E59D1" w:rsidRPr="004F507A">
        <w:rPr>
          <w:rFonts w:ascii="Arial" w:hAnsi="Arial" w:cs="Arial"/>
          <w:color w:val="000000"/>
          <w:sz w:val="22"/>
          <w:szCs w:val="22"/>
          <w:lang w:val="fr-FR"/>
        </w:rPr>
        <w:t> </w:t>
      </w:r>
      <w:r w:rsidR="00AC7F21" w:rsidRPr="004F507A">
        <w:rPr>
          <w:rFonts w:ascii="Arial" w:hAnsi="Arial" w:cs="Arial"/>
          <w:color w:val="000000"/>
          <w:sz w:val="22"/>
          <w:szCs w:val="22"/>
          <w:lang w:val="fr-FR"/>
        </w:rPr>
        <w:t>session de l</w:t>
      </w:r>
      <w:r w:rsidR="006D7B02" w:rsidRPr="004F507A">
        <w:rPr>
          <w:rFonts w:ascii="Arial" w:hAnsi="Arial" w:cs="Arial"/>
          <w:color w:val="000000"/>
          <w:sz w:val="22"/>
          <w:szCs w:val="22"/>
          <w:lang w:val="fr-FR"/>
        </w:rPr>
        <w:t>’</w:t>
      </w:r>
      <w:r w:rsidR="00AC7F21" w:rsidRPr="004F507A">
        <w:rPr>
          <w:rFonts w:ascii="Arial" w:hAnsi="Arial" w:cs="Arial"/>
          <w:color w:val="000000"/>
          <w:sz w:val="22"/>
          <w:szCs w:val="22"/>
          <w:lang w:val="fr-FR"/>
        </w:rPr>
        <w:t>IGC</w:t>
      </w:r>
      <w:r w:rsidR="000E59D1" w:rsidRPr="004F507A">
        <w:rPr>
          <w:rFonts w:ascii="Arial" w:hAnsi="Arial" w:cs="Arial"/>
          <w:color w:val="000000"/>
          <w:sz w:val="22"/>
          <w:szCs w:val="22"/>
          <w:lang w:val="fr-FR"/>
        </w:rPr>
        <w:t> </w:t>
      </w:r>
      <w:r w:rsidR="00AC7F21" w:rsidRPr="004F507A">
        <w:rPr>
          <w:rFonts w:ascii="Arial" w:hAnsi="Arial" w:cs="Arial"/>
          <w:color w:val="000000"/>
          <w:sz w:val="22"/>
          <w:szCs w:val="22"/>
          <w:lang w:val="fr-FR"/>
        </w:rPr>
        <w:t>:</w:t>
      </w:r>
    </w:p>
    <w:p w:rsidR="004F60C4" w:rsidRPr="004F507A" w:rsidRDefault="006239BC" w:rsidP="002B5624">
      <w:pPr>
        <w:tabs>
          <w:tab w:val="left" w:pos="567"/>
        </w:tabs>
        <w:spacing w:after="240"/>
        <w:rPr>
          <w:rFonts w:ascii="Arial" w:hAnsi="Arial" w:cs="Arial"/>
          <w:sz w:val="22"/>
          <w:szCs w:val="22"/>
          <w:u w:val="single"/>
          <w:lang w:val="fr-FR"/>
        </w:rPr>
      </w:pPr>
      <w:r w:rsidRPr="004F507A">
        <w:rPr>
          <w:rFonts w:ascii="Arial" w:hAnsi="Arial" w:cs="Arial"/>
          <w:sz w:val="22"/>
          <w:szCs w:val="22"/>
          <w:u w:val="single"/>
          <w:lang w:val="fr-FR"/>
        </w:rPr>
        <w:t>Objectifs</w:t>
      </w:r>
    </w:p>
    <w:p w:rsidR="004F60C4" w:rsidRPr="004F507A" w:rsidRDefault="007E26AD" w:rsidP="002B5624">
      <w:pPr>
        <w:tabs>
          <w:tab w:val="left" w:pos="567"/>
        </w:tabs>
        <w:spacing w:after="240"/>
        <w:rPr>
          <w:rFonts w:ascii="Arial" w:hAnsi="Arial" w:cs="Arial"/>
          <w:sz w:val="22"/>
          <w:szCs w:val="22"/>
          <w:lang w:val="fr-FR"/>
        </w:rPr>
      </w:pPr>
      <w:r w:rsidRPr="004F507A">
        <w:rPr>
          <w:rFonts w:ascii="Arial" w:hAnsi="Arial" w:cs="Arial"/>
          <w:sz w:val="22"/>
          <w:szCs w:val="22"/>
          <w:lang w:val="fr-FR"/>
        </w:rPr>
        <w:fldChar w:fldCharType="begin"/>
      </w:r>
      <w:r w:rsidRPr="004F507A">
        <w:rPr>
          <w:rFonts w:ascii="Arial" w:hAnsi="Arial" w:cs="Arial"/>
          <w:sz w:val="22"/>
          <w:szCs w:val="22"/>
          <w:lang w:val="fr-FR"/>
        </w:rPr>
        <w:instrText xml:space="preserve"> AUTONUM  </w:instrText>
      </w:r>
      <w:r w:rsidRPr="004F507A">
        <w:rPr>
          <w:rFonts w:ascii="Arial" w:hAnsi="Arial" w:cs="Arial"/>
          <w:sz w:val="22"/>
          <w:szCs w:val="22"/>
          <w:lang w:val="fr-FR"/>
        </w:rPr>
        <w:fldChar w:fldCharType="end"/>
      </w:r>
      <w:r w:rsidRPr="004F507A">
        <w:rPr>
          <w:rFonts w:ascii="Arial" w:hAnsi="Arial" w:cs="Arial"/>
          <w:sz w:val="22"/>
          <w:szCs w:val="22"/>
          <w:lang w:val="fr-FR"/>
        </w:rPr>
        <w:tab/>
      </w:r>
      <w:r w:rsidR="008A3675" w:rsidRPr="004F507A">
        <w:rPr>
          <w:rFonts w:ascii="Arial" w:hAnsi="Arial" w:cs="Arial"/>
          <w:color w:val="000000"/>
          <w:sz w:val="22"/>
          <w:szCs w:val="22"/>
          <w:lang w:val="fr-FR"/>
        </w:rPr>
        <w:t>Les objectifs revêtent un caractère essentiel lors de l</w:t>
      </w:r>
      <w:r w:rsidR="006D7B02" w:rsidRPr="004F507A">
        <w:rPr>
          <w:rFonts w:ascii="Arial" w:hAnsi="Arial" w:cs="Arial"/>
          <w:color w:val="000000"/>
          <w:sz w:val="22"/>
          <w:szCs w:val="22"/>
          <w:lang w:val="fr-FR"/>
        </w:rPr>
        <w:t>’</w:t>
      </w:r>
      <w:r w:rsidR="008A3675" w:rsidRPr="004F507A">
        <w:rPr>
          <w:rFonts w:ascii="Arial" w:hAnsi="Arial" w:cs="Arial"/>
          <w:color w:val="000000"/>
          <w:sz w:val="22"/>
          <w:szCs w:val="22"/>
          <w:lang w:val="fr-FR"/>
        </w:rPr>
        <w:t>élaboration du dispositif d</w:t>
      </w:r>
      <w:r w:rsidR="006D7B02" w:rsidRPr="004F507A">
        <w:rPr>
          <w:rFonts w:ascii="Arial" w:hAnsi="Arial" w:cs="Arial"/>
          <w:color w:val="000000"/>
          <w:sz w:val="22"/>
          <w:szCs w:val="22"/>
          <w:lang w:val="fr-FR"/>
        </w:rPr>
        <w:t>’</w:t>
      </w:r>
      <w:r w:rsidR="008A3675" w:rsidRPr="004F507A">
        <w:rPr>
          <w:rFonts w:ascii="Arial" w:hAnsi="Arial" w:cs="Arial"/>
          <w:color w:val="000000"/>
          <w:sz w:val="22"/>
          <w:szCs w:val="22"/>
          <w:lang w:val="fr-FR"/>
        </w:rPr>
        <w:t>un instrument, dans la mesure où ils en décrivent l</w:t>
      </w:r>
      <w:r w:rsidR="006D7B02" w:rsidRPr="004F507A">
        <w:rPr>
          <w:rFonts w:ascii="Arial" w:hAnsi="Arial" w:cs="Arial"/>
          <w:color w:val="000000"/>
          <w:sz w:val="22"/>
          <w:szCs w:val="22"/>
          <w:lang w:val="fr-FR"/>
        </w:rPr>
        <w:t>’</w:t>
      </w:r>
      <w:r w:rsidR="008A3675" w:rsidRPr="004F507A">
        <w:rPr>
          <w:rFonts w:ascii="Arial" w:hAnsi="Arial" w:cs="Arial"/>
          <w:color w:val="000000"/>
          <w:sz w:val="22"/>
          <w:szCs w:val="22"/>
          <w:lang w:val="fr-FR"/>
        </w:rPr>
        <w:t xml:space="preserve">objet et </w:t>
      </w:r>
      <w:r w:rsidR="006D44C9" w:rsidRPr="004F507A">
        <w:rPr>
          <w:rFonts w:ascii="Arial" w:hAnsi="Arial" w:cs="Arial"/>
          <w:color w:val="000000"/>
          <w:sz w:val="22"/>
          <w:szCs w:val="22"/>
          <w:lang w:val="fr-FR"/>
        </w:rPr>
        <w:t>la finali</w:t>
      </w:r>
      <w:r w:rsidR="004F507A" w:rsidRPr="004F507A">
        <w:rPr>
          <w:rFonts w:ascii="Arial" w:hAnsi="Arial" w:cs="Arial"/>
          <w:color w:val="000000"/>
          <w:sz w:val="22"/>
          <w:szCs w:val="22"/>
          <w:lang w:val="fr-FR"/>
        </w:rPr>
        <w:t>té.  Au</w:t>
      </w:r>
      <w:r w:rsidR="007C2B2C" w:rsidRPr="004F507A">
        <w:rPr>
          <w:rFonts w:ascii="Arial" w:hAnsi="Arial" w:cs="Arial"/>
          <w:color w:val="000000"/>
          <w:sz w:val="22"/>
          <w:szCs w:val="22"/>
          <w:lang w:val="fr-FR"/>
        </w:rPr>
        <w:t xml:space="preserve"> cours des dernières années, les objectifs</w:t>
      </w:r>
      <w:r w:rsidR="008A6717">
        <w:rPr>
          <w:rFonts w:ascii="Arial" w:hAnsi="Arial" w:cs="Arial"/>
          <w:color w:val="000000"/>
          <w:sz w:val="22"/>
          <w:szCs w:val="22"/>
          <w:lang w:val="fr-FR"/>
        </w:rPr>
        <w:t xml:space="preserve"> formulés dans le</w:t>
      </w:r>
      <w:r w:rsidR="007C2B2C" w:rsidRPr="004F507A">
        <w:rPr>
          <w:rFonts w:ascii="Arial" w:hAnsi="Arial" w:cs="Arial"/>
          <w:color w:val="000000"/>
          <w:sz w:val="22"/>
          <w:szCs w:val="22"/>
          <w:lang w:val="fr-FR"/>
        </w:rPr>
        <w:t xml:space="preserve"> texte relatif aux savoirs traditionnels ont été largement </w:t>
      </w:r>
      <w:r w:rsidR="00D41C28" w:rsidRPr="004F507A">
        <w:rPr>
          <w:rFonts w:ascii="Arial" w:hAnsi="Arial" w:cs="Arial"/>
          <w:color w:val="000000"/>
          <w:sz w:val="22"/>
          <w:szCs w:val="22"/>
          <w:lang w:val="fr-FR"/>
        </w:rPr>
        <w:t>affin</w:t>
      </w:r>
      <w:r w:rsidR="007C2B2C" w:rsidRPr="004F507A">
        <w:rPr>
          <w:rFonts w:ascii="Arial" w:hAnsi="Arial" w:cs="Arial"/>
          <w:color w:val="000000"/>
          <w:sz w:val="22"/>
          <w:szCs w:val="22"/>
          <w:lang w:val="fr-FR"/>
        </w:rPr>
        <w:t xml:space="preserve">és et </w:t>
      </w:r>
      <w:r w:rsidR="00D41C28" w:rsidRPr="004F507A">
        <w:rPr>
          <w:rFonts w:ascii="Arial" w:hAnsi="Arial" w:cs="Arial"/>
          <w:color w:val="000000"/>
          <w:sz w:val="22"/>
          <w:szCs w:val="22"/>
          <w:lang w:val="fr-FR"/>
        </w:rPr>
        <w:t>modifi</w:t>
      </w:r>
      <w:r w:rsidR="007C2B2C" w:rsidRPr="004F507A">
        <w:rPr>
          <w:rFonts w:ascii="Arial" w:hAnsi="Arial" w:cs="Arial"/>
          <w:color w:val="000000"/>
          <w:sz w:val="22"/>
          <w:szCs w:val="22"/>
          <w:lang w:val="fr-FR"/>
        </w:rPr>
        <w:t xml:space="preserve">és, </w:t>
      </w:r>
      <w:r w:rsidR="00D41C28" w:rsidRPr="004F507A">
        <w:rPr>
          <w:rFonts w:ascii="Arial" w:hAnsi="Arial" w:cs="Arial"/>
          <w:color w:val="000000"/>
          <w:sz w:val="22"/>
          <w:szCs w:val="22"/>
          <w:lang w:val="fr-FR"/>
        </w:rPr>
        <w:t>et</w:t>
      </w:r>
      <w:r w:rsidR="007C2B2C" w:rsidRPr="004F507A">
        <w:rPr>
          <w:rFonts w:ascii="Arial" w:hAnsi="Arial" w:cs="Arial"/>
          <w:color w:val="000000"/>
          <w:sz w:val="22"/>
          <w:szCs w:val="22"/>
          <w:lang w:val="fr-FR"/>
        </w:rPr>
        <w:t xml:space="preserve"> cinq</w:t>
      </w:r>
      <w:r w:rsidR="000E59D1" w:rsidRPr="004F507A">
        <w:rPr>
          <w:rFonts w:ascii="Arial" w:hAnsi="Arial" w:cs="Arial"/>
          <w:color w:val="000000"/>
          <w:sz w:val="22"/>
          <w:szCs w:val="22"/>
          <w:lang w:val="fr-FR"/>
        </w:rPr>
        <w:t> </w:t>
      </w:r>
      <w:r w:rsidR="007C2B2C" w:rsidRPr="004F507A">
        <w:rPr>
          <w:rFonts w:ascii="Arial" w:hAnsi="Arial" w:cs="Arial"/>
          <w:color w:val="000000"/>
          <w:sz w:val="22"/>
          <w:szCs w:val="22"/>
          <w:lang w:val="fr-FR"/>
        </w:rPr>
        <w:t xml:space="preserve">thèmes, </w:t>
      </w:r>
      <w:r w:rsidR="00FE10BC" w:rsidRPr="004F507A">
        <w:rPr>
          <w:rFonts w:ascii="Arial" w:hAnsi="Arial" w:cs="Arial"/>
          <w:color w:val="000000"/>
          <w:sz w:val="22"/>
          <w:szCs w:val="22"/>
          <w:lang w:val="fr-FR"/>
        </w:rPr>
        <w:t>bien qu</w:t>
      </w:r>
      <w:r w:rsidR="006D7B02" w:rsidRPr="004F507A">
        <w:rPr>
          <w:rFonts w:ascii="Arial" w:hAnsi="Arial" w:cs="Arial"/>
          <w:color w:val="000000"/>
          <w:sz w:val="22"/>
          <w:szCs w:val="22"/>
          <w:lang w:val="fr-FR"/>
        </w:rPr>
        <w:t>’</w:t>
      </w:r>
      <w:r w:rsidR="007C2B2C" w:rsidRPr="004F507A">
        <w:rPr>
          <w:rFonts w:ascii="Arial" w:hAnsi="Arial" w:cs="Arial"/>
          <w:color w:val="000000"/>
          <w:sz w:val="22"/>
          <w:szCs w:val="22"/>
          <w:lang w:val="fr-FR"/>
        </w:rPr>
        <w:t>ils n</w:t>
      </w:r>
      <w:r w:rsidR="006D7B02" w:rsidRPr="004F507A">
        <w:rPr>
          <w:rFonts w:ascii="Arial" w:hAnsi="Arial" w:cs="Arial"/>
          <w:color w:val="000000"/>
          <w:sz w:val="22"/>
          <w:szCs w:val="22"/>
          <w:lang w:val="fr-FR"/>
        </w:rPr>
        <w:t>’</w:t>
      </w:r>
      <w:r w:rsidR="006E0625" w:rsidRPr="004F507A">
        <w:rPr>
          <w:rFonts w:ascii="Arial" w:hAnsi="Arial" w:cs="Arial"/>
          <w:color w:val="000000"/>
          <w:sz w:val="22"/>
          <w:szCs w:val="22"/>
          <w:lang w:val="fr-FR"/>
        </w:rPr>
        <w:t>aie</w:t>
      </w:r>
      <w:r w:rsidR="007C2B2C" w:rsidRPr="004F507A">
        <w:rPr>
          <w:rFonts w:ascii="Arial" w:hAnsi="Arial" w:cs="Arial"/>
          <w:color w:val="000000"/>
          <w:sz w:val="22"/>
          <w:szCs w:val="22"/>
          <w:lang w:val="fr-FR"/>
        </w:rPr>
        <w:t>nt pas fait l</w:t>
      </w:r>
      <w:r w:rsidR="006D7B02" w:rsidRPr="004F507A">
        <w:rPr>
          <w:rFonts w:ascii="Arial" w:hAnsi="Arial" w:cs="Arial"/>
          <w:color w:val="000000"/>
          <w:sz w:val="22"/>
          <w:szCs w:val="22"/>
          <w:lang w:val="fr-FR"/>
        </w:rPr>
        <w:t>’</w:t>
      </w:r>
      <w:r w:rsidR="007C2B2C" w:rsidRPr="004F507A">
        <w:rPr>
          <w:rFonts w:ascii="Arial" w:hAnsi="Arial" w:cs="Arial"/>
          <w:color w:val="000000"/>
          <w:sz w:val="22"/>
          <w:szCs w:val="22"/>
          <w:lang w:val="fr-FR"/>
        </w:rPr>
        <w:t>objet d</w:t>
      </w:r>
      <w:r w:rsidR="006D7B02" w:rsidRPr="004F507A">
        <w:rPr>
          <w:rFonts w:ascii="Arial" w:hAnsi="Arial" w:cs="Arial"/>
          <w:color w:val="000000"/>
          <w:sz w:val="22"/>
          <w:szCs w:val="22"/>
          <w:lang w:val="fr-FR"/>
        </w:rPr>
        <w:t>’</w:t>
      </w:r>
      <w:r w:rsidR="007C2B2C" w:rsidRPr="004F507A">
        <w:rPr>
          <w:rFonts w:ascii="Arial" w:hAnsi="Arial" w:cs="Arial"/>
          <w:color w:val="000000"/>
          <w:sz w:val="22"/>
          <w:szCs w:val="22"/>
          <w:lang w:val="fr-FR"/>
        </w:rPr>
        <w:t xml:space="preserve">un accord, </w:t>
      </w:r>
      <w:r w:rsidR="00D41C28" w:rsidRPr="004F507A">
        <w:rPr>
          <w:rFonts w:ascii="Arial" w:hAnsi="Arial" w:cs="Arial"/>
          <w:color w:val="000000"/>
          <w:sz w:val="22"/>
          <w:szCs w:val="22"/>
          <w:lang w:val="fr-FR"/>
        </w:rPr>
        <w:t>sont mentionnés</w:t>
      </w:r>
      <w:r w:rsidR="007C2B2C" w:rsidRPr="004F507A">
        <w:rPr>
          <w:rFonts w:ascii="Arial" w:hAnsi="Arial" w:cs="Arial"/>
          <w:color w:val="000000"/>
          <w:sz w:val="22"/>
          <w:szCs w:val="22"/>
          <w:lang w:val="fr-FR"/>
        </w:rPr>
        <w:t xml:space="preserve"> dans le document</w:t>
      </w:r>
      <w:r w:rsidR="000E59D1" w:rsidRPr="004F507A">
        <w:rPr>
          <w:rFonts w:ascii="Arial" w:hAnsi="Arial" w:cs="Arial"/>
          <w:color w:val="000000"/>
          <w:sz w:val="22"/>
          <w:szCs w:val="22"/>
          <w:lang w:val="fr-FR"/>
        </w:rPr>
        <w:t> </w:t>
      </w:r>
      <w:r w:rsidR="007C2B2C" w:rsidRPr="004F507A">
        <w:rPr>
          <w:rFonts w:ascii="Arial" w:hAnsi="Arial" w:cs="Arial"/>
          <w:color w:val="000000"/>
          <w:sz w:val="22"/>
          <w:szCs w:val="22"/>
          <w:lang w:val="fr-FR"/>
        </w:rPr>
        <w:t>:</w:t>
      </w:r>
    </w:p>
    <w:p w:rsidR="004F60C4" w:rsidRPr="004F507A" w:rsidRDefault="00192CB7" w:rsidP="002B5624">
      <w:pPr>
        <w:numPr>
          <w:ilvl w:val="0"/>
          <w:numId w:val="7"/>
        </w:numPr>
        <w:spacing w:after="240"/>
        <w:ind w:left="1134" w:hanging="567"/>
        <w:rPr>
          <w:rFonts w:ascii="Arial" w:hAnsi="Arial" w:cs="Arial"/>
          <w:sz w:val="22"/>
          <w:szCs w:val="22"/>
          <w:lang w:val="fr-FR"/>
        </w:rPr>
      </w:pPr>
      <w:r>
        <w:rPr>
          <w:rFonts w:ascii="Arial" w:hAnsi="Arial" w:cs="Arial"/>
          <w:color w:val="000000"/>
          <w:sz w:val="22"/>
          <w:szCs w:val="22"/>
          <w:lang w:val="fr-FR"/>
        </w:rPr>
        <w:t>e</w:t>
      </w:r>
      <w:r w:rsidR="009A512A" w:rsidRPr="004F507A">
        <w:rPr>
          <w:rFonts w:ascii="Arial" w:hAnsi="Arial" w:cs="Arial"/>
          <w:color w:val="000000"/>
          <w:sz w:val="22"/>
          <w:szCs w:val="22"/>
          <w:lang w:val="fr-FR"/>
        </w:rPr>
        <w:t>mpêcher l</w:t>
      </w:r>
      <w:r w:rsidR="006D7B02" w:rsidRPr="004F507A">
        <w:rPr>
          <w:rFonts w:ascii="Arial" w:hAnsi="Arial" w:cs="Arial"/>
          <w:color w:val="000000"/>
          <w:sz w:val="22"/>
          <w:szCs w:val="22"/>
          <w:lang w:val="fr-FR"/>
        </w:rPr>
        <w:t>’</w:t>
      </w:r>
      <w:r w:rsidR="009A512A" w:rsidRPr="004F507A">
        <w:rPr>
          <w:rFonts w:ascii="Arial" w:hAnsi="Arial" w:cs="Arial"/>
          <w:color w:val="000000"/>
          <w:sz w:val="22"/>
          <w:szCs w:val="22"/>
          <w:lang w:val="fr-FR"/>
        </w:rPr>
        <w:t>appropriation illicite/utilisation abusive/utilisation non autorisée/util</w:t>
      </w:r>
      <w:r>
        <w:rPr>
          <w:rFonts w:ascii="Arial" w:hAnsi="Arial" w:cs="Arial"/>
          <w:color w:val="000000"/>
          <w:sz w:val="22"/>
          <w:szCs w:val="22"/>
          <w:lang w:val="fr-FR"/>
        </w:rPr>
        <w:t xml:space="preserve">isation </w:t>
      </w:r>
      <w:r w:rsidR="00D41C28" w:rsidRPr="004F507A">
        <w:rPr>
          <w:rFonts w:ascii="Arial" w:hAnsi="Arial" w:cs="Arial"/>
          <w:color w:val="000000"/>
          <w:sz w:val="22"/>
          <w:szCs w:val="22"/>
          <w:lang w:val="fr-FR"/>
        </w:rPr>
        <w:t>déloyale et inéquitable</w:t>
      </w:r>
      <w:r w:rsidR="009A512A" w:rsidRPr="004F507A">
        <w:rPr>
          <w:rFonts w:ascii="Arial" w:hAnsi="Arial" w:cs="Arial"/>
          <w:color w:val="000000"/>
          <w:sz w:val="22"/>
          <w:szCs w:val="22"/>
          <w:lang w:val="fr-FR"/>
        </w:rPr>
        <w:t xml:space="preserve"> des savoirs traditionnels;</w:t>
      </w:r>
    </w:p>
    <w:p w:rsidR="004F60C4" w:rsidRPr="004F507A" w:rsidRDefault="00192CB7" w:rsidP="002B5624">
      <w:pPr>
        <w:numPr>
          <w:ilvl w:val="0"/>
          <w:numId w:val="7"/>
        </w:numPr>
        <w:spacing w:after="240"/>
        <w:ind w:left="1134" w:hanging="567"/>
        <w:rPr>
          <w:rFonts w:ascii="Arial" w:hAnsi="Arial" w:cs="Arial"/>
          <w:sz w:val="22"/>
          <w:szCs w:val="22"/>
          <w:lang w:val="fr-FR"/>
        </w:rPr>
      </w:pPr>
      <w:r w:rsidRPr="00192CB7">
        <w:rPr>
          <w:rFonts w:ascii="Arial" w:hAnsi="Arial" w:cs="Arial"/>
          <w:i/>
          <w:color w:val="000000"/>
          <w:sz w:val="22"/>
          <w:szCs w:val="22"/>
          <w:lang w:val="fr-FR"/>
        </w:rPr>
        <w:t>p</w:t>
      </w:r>
      <w:r w:rsidR="009A512A" w:rsidRPr="00192CB7">
        <w:rPr>
          <w:rFonts w:ascii="Arial" w:hAnsi="Arial" w:cs="Arial"/>
          <w:i/>
          <w:color w:val="000000"/>
          <w:sz w:val="22"/>
          <w:szCs w:val="22"/>
          <w:lang w:val="fr-FR"/>
        </w:rPr>
        <w:t>ermettre aux bénéficiaires de</w:t>
      </w:r>
      <w:r w:rsidR="009A512A" w:rsidRPr="00192CB7">
        <w:rPr>
          <w:rFonts w:ascii="Arial" w:hAnsi="Arial" w:cs="Arial"/>
          <w:color w:val="000000"/>
          <w:sz w:val="22"/>
          <w:szCs w:val="22"/>
          <w:lang w:val="fr-FR"/>
        </w:rPr>
        <w:t xml:space="preserve"> c</w:t>
      </w:r>
      <w:r w:rsidR="009A512A" w:rsidRPr="004F507A">
        <w:rPr>
          <w:rFonts w:ascii="Arial" w:hAnsi="Arial" w:cs="Arial"/>
          <w:color w:val="000000"/>
          <w:sz w:val="22"/>
          <w:szCs w:val="22"/>
          <w:lang w:val="fr-FR"/>
        </w:rPr>
        <w:t>ontrôler l</w:t>
      </w:r>
      <w:r w:rsidR="006D7B02" w:rsidRPr="004F507A">
        <w:rPr>
          <w:rFonts w:ascii="Arial" w:hAnsi="Arial" w:cs="Arial"/>
          <w:color w:val="000000"/>
          <w:sz w:val="22"/>
          <w:szCs w:val="22"/>
          <w:lang w:val="fr-FR"/>
        </w:rPr>
        <w:t>’</w:t>
      </w:r>
      <w:r w:rsidR="009A512A" w:rsidRPr="004F507A">
        <w:rPr>
          <w:rFonts w:ascii="Arial" w:hAnsi="Arial" w:cs="Arial"/>
          <w:color w:val="000000"/>
          <w:sz w:val="22"/>
          <w:szCs w:val="22"/>
          <w:lang w:val="fr-FR"/>
        </w:rPr>
        <w:t>utilisation qui est faite de leurs savoirs traditionnels en dehors du contexte traditionnel et coutumier;  [j</w:t>
      </w:r>
      <w:r w:rsidR="006D7B02" w:rsidRPr="004F507A">
        <w:rPr>
          <w:rFonts w:ascii="Arial" w:hAnsi="Arial" w:cs="Arial"/>
          <w:color w:val="000000"/>
          <w:sz w:val="22"/>
          <w:szCs w:val="22"/>
          <w:lang w:val="fr-FR"/>
        </w:rPr>
        <w:t>’</w:t>
      </w:r>
      <w:r w:rsidR="009A512A" w:rsidRPr="004F507A">
        <w:rPr>
          <w:rFonts w:ascii="Arial" w:hAnsi="Arial" w:cs="Arial"/>
          <w:color w:val="000000"/>
          <w:sz w:val="22"/>
          <w:szCs w:val="22"/>
          <w:lang w:val="fr-FR"/>
        </w:rPr>
        <w:t>ai ajouté le texte en italiques]</w:t>
      </w:r>
    </w:p>
    <w:p w:rsidR="004F60C4" w:rsidRPr="00192CB7" w:rsidRDefault="00D41C28" w:rsidP="00192CB7">
      <w:pPr>
        <w:numPr>
          <w:ilvl w:val="0"/>
          <w:numId w:val="7"/>
        </w:numPr>
        <w:spacing w:after="240"/>
        <w:ind w:left="1134" w:hanging="567"/>
        <w:rPr>
          <w:rFonts w:ascii="Arial" w:hAnsi="Arial" w:cs="Arial"/>
          <w:sz w:val="22"/>
          <w:szCs w:val="22"/>
          <w:lang w:val="fr-FR"/>
        </w:rPr>
      </w:pPr>
      <w:r w:rsidRPr="004F507A">
        <w:rPr>
          <w:rFonts w:ascii="Arial" w:hAnsi="Arial" w:cs="Arial"/>
          <w:color w:val="000000"/>
          <w:sz w:val="22"/>
          <w:szCs w:val="22"/>
          <w:lang w:val="fr-FR"/>
        </w:rPr>
        <w:t xml:space="preserve">promouvoir </w:t>
      </w:r>
      <w:r w:rsidR="009A512A" w:rsidRPr="004F507A">
        <w:rPr>
          <w:rFonts w:ascii="Arial" w:hAnsi="Arial" w:cs="Arial"/>
          <w:color w:val="000000"/>
          <w:sz w:val="22"/>
          <w:szCs w:val="22"/>
          <w:lang w:val="fr-FR"/>
        </w:rPr>
        <w:t>le partage équitable des avantages déc</w:t>
      </w:r>
      <w:r w:rsidR="00192CB7">
        <w:rPr>
          <w:rFonts w:ascii="Arial" w:hAnsi="Arial" w:cs="Arial"/>
          <w:color w:val="000000"/>
          <w:sz w:val="22"/>
          <w:szCs w:val="22"/>
          <w:lang w:val="fr-FR"/>
        </w:rPr>
        <w:t>oulant de leur utilisation avec</w:t>
      </w:r>
      <w:r w:rsidR="00192CB7">
        <w:rPr>
          <w:rFonts w:ascii="Arial" w:hAnsi="Arial" w:cs="Arial"/>
          <w:sz w:val="22"/>
          <w:szCs w:val="22"/>
          <w:lang w:val="fr-FR"/>
        </w:rPr>
        <w:t xml:space="preserve"> </w:t>
      </w:r>
      <w:r w:rsidR="009A512A" w:rsidRPr="00192CB7">
        <w:rPr>
          <w:rFonts w:ascii="Arial" w:hAnsi="Arial" w:cs="Arial"/>
          <w:color w:val="000000"/>
          <w:sz w:val="22"/>
          <w:szCs w:val="22"/>
          <w:lang w:val="fr-FR"/>
        </w:rPr>
        <w:t>leur consentement préalable en connaissance de cause ou leur ap</w:t>
      </w:r>
      <w:r w:rsidRPr="00192CB7">
        <w:rPr>
          <w:rFonts w:ascii="Arial" w:hAnsi="Arial" w:cs="Arial"/>
          <w:color w:val="000000"/>
          <w:sz w:val="22"/>
          <w:szCs w:val="22"/>
          <w:lang w:val="fr-FR"/>
        </w:rPr>
        <w:t>pr</w:t>
      </w:r>
      <w:r w:rsidR="00192CB7">
        <w:rPr>
          <w:rFonts w:ascii="Arial" w:hAnsi="Arial" w:cs="Arial"/>
          <w:color w:val="000000"/>
          <w:sz w:val="22"/>
          <w:szCs w:val="22"/>
          <w:lang w:val="fr-FR"/>
        </w:rPr>
        <w:t xml:space="preserve">obation et leur </w:t>
      </w:r>
      <w:r w:rsidRPr="00192CB7">
        <w:rPr>
          <w:rFonts w:ascii="Arial" w:hAnsi="Arial" w:cs="Arial"/>
          <w:color w:val="000000"/>
          <w:sz w:val="22"/>
          <w:szCs w:val="22"/>
          <w:lang w:val="fr-FR"/>
        </w:rPr>
        <w:t>participation/</w:t>
      </w:r>
      <w:r w:rsidR="009A512A" w:rsidRPr="00192CB7">
        <w:rPr>
          <w:rFonts w:ascii="Arial" w:hAnsi="Arial" w:cs="Arial"/>
          <w:color w:val="000000"/>
          <w:sz w:val="22"/>
          <w:szCs w:val="22"/>
          <w:lang w:val="fr-FR"/>
        </w:rPr>
        <w:t>leur comp</w:t>
      </w:r>
      <w:r w:rsidRPr="00192CB7">
        <w:rPr>
          <w:rFonts w:ascii="Arial" w:hAnsi="Arial" w:cs="Arial"/>
          <w:color w:val="000000"/>
          <w:sz w:val="22"/>
          <w:szCs w:val="22"/>
          <w:lang w:val="fr-FR"/>
        </w:rPr>
        <w:t>ensation juste et équitable</w:t>
      </w:r>
      <w:r w:rsidR="009A512A" w:rsidRPr="00192CB7">
        <w:rPr>
          <w:rFonts w:ascii="Arial" w:hAnsi="Arial" w:cs="Arial"/>
          <w:color w:val="000000"/>
          <w:sz w:val="22"/>
          <w:szCs w:val="22"/>
          <w:lang w:val="fr-FR"/>
        </w:rPr>
        <w:t>, selon que de besoin;</w:t>
      </w:r>
    </w:p>
    <w:p w:rsidR="004F60C4" w:rsidRPr="004F507A" w:rsidRDefault="00FE10BC" w:rsidP="002B5624">
      <w:pPr>
        <w:numPr>
          <w:ilvl w:val="0"/>
          <w:numId w:val="7"/>
        </w:numPr>
        <w:spacing w:after="240"/>
        <w:ind w:left="1134" w:hanging="567"/>
        <w:rPr>
          <w:rFonts w:ascii="Arial" w:hAnsi="Arial" w:cs="Arial"/>
          <w:sz w:val="22"/>
          <w:szCs w:val="22"/>
          <w:lang w:val="fr-FR"/>
        </w:rPr>
      </w:pPr>
      <w:r w:rsidRPr="004F507A">
        <w:rPr>
          <w:rFonts w:ascii="Arial" w:hAnsi="Arial" w:cs="Arial"/>
          <w:color w:val="000000"/>
          <w:sz w:val="22"/>
          <w:szCs w:val="22"/>
          <w:lang w:val="fr-FR"/>
        </w:rPr>
        <w:t>encourager [et protége</w:t>
      </w:r>
      <w:r w:rsidR="00D41C28" w:rsidRPr="004F507A">
        <w:rPr>
          <w:rFonts w:ascii="Arial" w:hAnsi="Arial" w:cs="Arial"/>
          <w:color w:val="000000"/>
          <w:sz w:val="22"/>
          <w:szCs w:val="22"/>
          <w:lang w:val="fr-FR"/>
        </w:rPr>
        <w:t>r] la création et l</w:t>
      </w:r>
      <w:r w:rsidR="006D7B02" w:rsidRPr="004F507A">
        <w:rPr>
          <w:rFonts w:ascii="Arial" w:hAnsi="Arial" w:cs="Arial"/>
          <w:color w:val="000000"/>
          <w:sz w:val="22"/>
          <w:szCs w:val="22"/>
          <w:lang w:val="fr-FR"/>
        </w:rPr>
        <w:t>’</w:t>
      </w:r>
      <w:r w:rsidR="00D41C28" w:rsidRPr="004F507A">
        <w:rPr>
          <w:rFonts w:ascii="Arial" w:hAnsi="Arial" w:cs="Arial"/>
          <w:color w:val="000000"/>
          <w:sz w:val="22"/>
          <w:szCs w:val="22"/>
          <w:lang w:val="fr-FR"/>
        </w:rPr>
        <w:t xml:space="preserve">innovation </w:t>
      </w:r>
      <w:r w:rsidR="008A6717">
        <w:rPr>
          <w:rFonts w:ascii="Arial" w:hAnsi="Arial" w:cs="Arial"/>
          <w:color w:val="000000"/>
          <w:sz w:val="22"/>
          <w:szCs w:val="22"/>
          <w:lang w:val="fr-FR"/>
        </w:rPr>
        <w:t>[</w:t>
      </w:r>
      <w:r w:rsidR="00D41C28" w:rsidRPr="004F507A">
        <w:rPr>
          <w:rFonts w:ascii="Arial" w:hAnsi="Arial" w:cs="Arial"/>
          <w:color w:val="000000"/>
          <w:sz w:val="22"/>
          <w:szCs w:val="22"/>
          <w:lang w:val="fr-FR"/>
        </w:rPr>
        <w:t>fondées sur la tradition</w:t>
      </w:r>
      <w:r w:rsidR="008A6717">
        <w:rPr>
          <w:rFonts w:ascii="Arial" w:hAnsi="Arial" w:cs="Arial"/>
          <w:color w:val="000000"/>
          <w:sz w:val="22"/>
          <w:szCs w:val="22"/>
          <w:lang w:val="fr-FR"/>
        </w:rPr>
        <w:t>]</w:t>
      </w:r>
      <w:r w:rsidRPr="004F507A">
        <w:rPr>
          <w:rFonts w:ascii="Arial" w:hAnsi="Arial" w:cs="Arial"/>
          <w:color w:val="000000"/>
          <w:sz w:val="22"/>
          <w:szCs w:val="22"/>
          <w:lang w:val="fr-FR"/>
        </w:rPr>
        <w:t>;  et</w:t>
      </w:r>
    </w:p>
    <w:p w:rsidR="004F60C4" w:rsidRPr="004F507A" w:rsidRDefault="00FE10BC" w:rsidP="002B5624">
      <w:pPr>
        <w:numPr>
          <w:ilvl w:val="0"/>
          <w:numId w:val="7"/>
        </w:numPr>
        <w:spacing w:after="240"/>
        <w:ind w:left="1134" w:hanging="567"/>
        <w:rPr>
          <w:rFonts w:ascii="Arial" w:hAnsi="Arial" w:cs="Arial"/>
          <w:sz w:val="22"/>
          <w:szCs w:val="22"/>
          <w:lang w:val="fr-FR"/>
        </w:rPr>
      </w:pPr>
      <w:r w:rsidRPr="004F507A">
        <w:rPr>
          <w:rFonts w:ascii="Arial" w:hAnsi="Arial" w:cs="Arial"/>
          <w:color w:val="000000"/>
          <w:sz w:val="22"/>
          <w:szCs w:val="22"/>
          <w:lang w:val="fr-FR"/>
        </w:rPr>
        <w:t>Empêcher la délivrance indue de droits de propriété intellectuelle ou de brevets sur des savoirs traditionnels et des savoirs traditionnels associés aux ressources génétiques.</w:t>
      </w:r>
    </w:p>
    <w:p w:rsidR="004F60C4" w:rsidRPr="004F507A" w:rsidRDefault="00F20BD9" w:rsidP="002B5624">
      <w:pPr>
        <w:tabs>
          <w:tab w:val="left" w:pos="567"/>
        </w:tabs>
        <w:spacing w:after="240"/>
        <w:rPr>
          <w:rFonts w:ascii="Arial" w:hAnsi="Arial" w:cs="Arial"/>
          <w:i/>
          <w:sz w:val="22"/>
          <w:szCs w:val="22"/>
          <w:lang w:val="fr-FR"/>
        </w:rPr>
      </w:pPr>
      <w:r w:rsidRPr="004F507A">
        <w:rPr>
          <w:rFonts w:ascii="Arial" w:hAnsi="Arial" w:cs="Arial"/>
          <w:sz w:val="22"/>
          <w:szCs w:val="22"/>
          <w:lang w:val="fr-FR"/>
        </w:rPr>
        <w:fldChar w:fldCharType="begin"/>
      </w:r>
      <w:r w:rsidRPr="004F507A">
        <w:rPr>
          <w:rFonts w:ascii="Arial" w:hAnsi="Arial" w:cs="Arial"/>
          <w:sz w:val="22"/>
          <w:szCs w:val="22"/>
          <w:lang w:val="fr-FR"/>
        </w:rPr>
        <w:instrText xml:space="preserve"> AUTONUM  </w:instrText>
      </w:r>
      <w:r w:rsidRPr="004F507A">
        <w:rPr>
          <w:rFonts w:ascii="Arial" w:hAnsi="Arial" w:cs="Arial"/>
          <w:sz w:val="22"/>
          <w:szCs w:val="22"/>
          <w:lang w:val="fr-FR"/>
        </w:rPr>
        <w:fldChar w:fldCharType="end"/>
      </w:r>
      <w:r w:rsidRPr="004F507A">
        <w:rPr>
          <w:rFonts w:ascii="Arial" w:hAnsi="Arial" w:cs="Arial"/>
          <w:sz w:val="22"/>
          <w:szCs w:val="22"/>
          <w:lang w:val="fr-FR"/>
        </w:rPr>
        <w:tab/>
      </w:r>
      <w:r w:rsidR="00E8745A" w:rsidRPr="004F507A">
        <w:rPr>
          <w:rFonts w:ascii="Arial" w:hAnsi="Arial" w:cs="Arial"/>
          <w:color w:val="000000"/>
          <w:sz w:val="22"/>
          <w:szCs w:val="22"/>
          <w:lang w:val="fr-FR"/>
        </w:rPr>
        <w:t>Lors de l</w:t>
      </w:r>
      <w:r w:rsidR="006D7B02" w:rsidRPr="004F507A">
        <w:rPr>
          <w:rFonts w:ascii="Arial" w:hAnsi="Arial" w:cs="Arial"/>
          <w:color w:val="000000"/>
          <w:sz w:val="22"/>
          <w:szCs w:val="22"/>
          <w:lang w:val="fr-FR"/>
        </w:rPr>
        <w:t>’</w:t>
      </w:r>
      <w:r w:rsidR="00E8745A" w:rsidRPr="004F507A">
        <w:rPr>
          <w:rFonts w:ascii="Arial" w:hAnsi="Arial" w:cs="Arial"/>
          <w:color w:val="000000"/>
          <w:sz w:val="22"/>
          <w:szCs w:val="22"/>
          <w:lang w:val="fr-FR"/>
        </w:rPr>
        <w:t xml:space="preserve">examen des objectifs, les membres pourraient chercher à déterminer, parmi les </w:t>
      </w:r>
      <w:r w:rsidR="00394CE1" w:rsidRPr="004F507A">
        <w:rPr>
          <w:rFonts w:ascii="Arial" w:hAnsi="Arial" w:cs="Arial"/>
          <w:color w:val="000000"/>
          <w:sz w:val="22"/>
          <w:szCs w:val="22"/>
          <w:lang w:val="fr-FR"/>
        </w:rPr>
        <w:t>principes</w:t>
      </w:r>
      <w:r w:rsidR="00E8745A" w:rsidRPr="004F507A">
        <w:rPr>
          <w:rFonts w:ascii="Arial" w:hAnsi="Arial" w:cs="Arial"/>
          <w:color w:val="000000"/>
          <w:sz w:val="22"/>
          <w:szCs w:val="22"/>
          <w:lang w:val="fr-FR"/>
        </w:rPr>
        <w:t xml:space="preserve"> </w:t>
      </w:r>
      <w:r w:rsidR="008A6717">
        <w:rPr>
          <w:rFonts w:ascii="Arial" w:hAnsi="Arial" w:cs="Arial"/>
          <w:color w:val="000000"/>
          <w:sz w:val="22"/>
          <w:szCs w:val="22"/>
          <w:lang w:val="fr-FR"/>
        </w:rPr>
        <w:t>formulé</w:t>
      </w:r>
      <w:r w:rsidR="00E8745A" w:rsidRPr="004F507A">
        <w:rPr>
          <w:rFonts w:ascii="Arial" w:hAnsi="Arial" w:cs="Arial"/>
          <w:color w:val="000000"/>
          <w:sz w:val="22"/>
          <w:szCs w:val="22"/>
          <w:lang w:val="fr-FR"/>
        </w:rPr>
        <w:t>s dans les Objectifs de polit</w:t>
      </w:r>
      <w:r w:rsidR="00971615" w:rsidRPr="004F507A">
        <w:rPr>
          <w:rFonts w:ascii="Arial" w:hAnsi="Arial" w:cs="Arial"/>
          <w:color w:val="000000"/>
          <w:sz w:val="22"/>
          <w:szCs w:val="22"/>
          <w:lang w:val="fr-FR"/>
        </w:rPr>
        <w:t>ique générale figurant dans le d</w:t>
      </w:r>
      <w:r w:rsidR="00E8745A" w:rsidRPr="004F507A">
        <w:rPr>
          <w:rFonts w:ascii="Arial" w:hAnsi="Arial" w:cs="Arial"/>
          <w:color w:val="000000"/>
          <w:sz w:val="22"/>
          <w:szCs w:val="22"/>
          <w:lang w:val="fr-FR"/>
        </w:rPr>
        <w:t xml:space="preserve">ocument WIPO/GRTKF/IC/31/4, quels sont </w:t>
      </w:r>
      <w:r w:rsidR="002D1A4B" w:rsidRPr="004F507A">
        <w:rPr>
          <w:rFonts w:ascii="Arial" w:hAnsi="Arial" w:cs="Arial"/>
          <w:color w:val="000000"/>
          <w:sz w:val="22"/>
          <w:szCs w:val="22"/>
          <w:lang w:val="fr-FR"/>
        </w:rPr>
        <w:t>le</w:t>
      </w:r>
      <w:r w:rsidR="00E44584" w:rsidRPr="004F507A">
        <w:rPr>
          <w:rFonts w:ascii="Arial" w:hAnsi="Arial" w:cs="Arial"/>
          <w:color w:val="000000"/>
          <w:sz w:val="22"/>
          <w:szCs w:val="22"/>
          <w:lang w:val="fr-FR"/>
        </w:rPr>
        <w:t>s</w:t>
      </w:r>
      <w:r w:rsidR="002D1A4B" w:rsidRPr="004F507A">
        <w:rPr>
          <w:rFonts w:ascii="Arial" w:hAnsi="Arial" w:cs="Arial"/>
          <w:color w:val="000000"/>
          <w:sz w:val="22"/>
          <w:szCs w:val="22"/>
          <w:lang w:val="fr-FR"/>
        </w:rPr>
        <w:t xml:space="preserve"> plus directement liés à</w:t>
      </w:r>
      <w:r w:rsidR="00E8745A" w:rsidRPr="004F507A">
        <w:rPr>
          <w:rFonts w:ascii="Arial" w:hAnsi="Arial" w:cs="Arial"/>
          <w:color w:val="000000"/>
          <w:sz w:val="22"/>
          <w:szCs w:val="22"/>
          <w:lang w:val="fr-FR"/>
        </w:rPr>
        <w:t xml:space="preserve"> la propriété intellectuelle, sachant que le mandat de l</w:t>
      </w:r>
      <w:r w:rsidR="006D7B02" w:rsidRPr="004F507A">
        <w:rPr>
          <w:rFonts w:ascii="Arial" w:hAnsi="Arial" w:cs="Arial"/>
          <w:color w:val="000000"/>
          <w:sz w:val="22"/>
          <w:szCs w:val="22"/>
          <w:lang w:val="fr-FR"/>
        </w:rPr>
        <w:t>’</w:t>
      </w:r>
      <w:r w:rsidR="00E8745A" w:rsidRPr="004F507A">
        <w:rPr>
          <w:rFonts w:ascii="Arial" w:hAnsi="Arial" w:cs="Arial"/>
          <w:color w:val="000000"/>
          <w:sz w:val="22"/>
          <w:szCs w:val="22"/>
          <w:lang w:val="fr-FR"/>
        </w:rPr>
        <w:t xml:space="preserve">IGC est </w:t>
      </w:r>
      <w:r w:rsidR="006D7B02" w:rsidRPr="004F507A">
        <w:rPr>
          <w:rFonts w:ascii="Arial" w:hAnsi="Arial" w:cs="Arial"/>
          <w:i/>
          <w:color w:val="000000"/>
          <w:sz w:val="22"/>
          <w:szCs w:val="22"/>
          <w:lang w:val="fr-FR"/>
        </w:rPr>
        <w:t>“</w:t>
      </w:r>
      <w:r w:rsidR="00E8745A" w:rsidRPr="004F507A">
        <w:rPr>
          <w:rFonts w:ascii="Arial" w:hAnsi="Arial" w:cs="Arial"/>
          <w:i/>
          <w:color w:val="000000"/>
          <w:sz w:val="22"/>
          <w:szCs w:val="22"/>
          <w:lang w:val="fr-FR"/>
        </w:rPr>
        <w:t>…</w:t>
      </w:r>
      <w:r w:rsidR="00192CB7">
        <w:rPr>
          <w:rFonts w:ascii="Arial" w:hAnsi="Arial" w:cs="Arial"/>
          <w:i/>
          <w:color w:val="000000"/>
          <w:sz w:val="22"/>
          <w:szCs w:val="22"/>
          <w:lang w:val="fr-FR"/>
        </w:rPr>
        <w:t xml:space="preserve"> </w:t>
      </w:r>
      <w:r w:rsidR="00E8745A" w:rsidRPr="004F507A">
        <w:rPr>
          <w:rFonts w:ascii="Arial" w:hAnsi="Arial" w:cs="Arial"/>
          <w:i/>
          <w:color w:val="000000"/>
          <w:sz w:val="22"/>
          <w:szCs w:val="22"/>
          <w:lang w:val="fr-FR"/>
        </w:rPr>
        <w:t xml:space="preserve">de parvenir à un accord sur un ou plusieurs </w:t>
      </w:r>
      <w:r w:rsidR="00E8745A" w:rsidRPr="004F507A">
        <w:rPr>
          <w:rFonts w:ascii="Arial" w:hAnsi="Arial" w:cs="Arial"/>
          <w:i/>
          <w:color w:val="000000"/>
          <w:sz w:val="22"/>
          <w:szCs w:val="22"/>
          <w:lang w:val="fr-FR"/>
        </w:rPr>
        <w:lastRenderedPageBreak/>
        <w:t>instruments juridiques internationaux relatifs à la propriété intellectuelle, propres à garantir une protection équilibrée et effective des savoirs traditionnels</w:t>
      </w:r>
      <w:r w:rsidR="006D7B02" w:rsidRPr="004F507A">
        <w:rPr>
          <w:rFonts w:ascii="Arial" w:hAnsi="Arial" w:cs="Arial"/>
          <w:i/>
          <w:color w:val="000000"/>
          <w:sz w:val="22"/>
          <w:szCs w:val="22"/>
          <w:lang w:val="fr-FR"/>
        </w:rPr>
        <w:t>”</w:t>
      </w:r>
      <w:r w:rsidR="00E8745A" w:rsidRPr="004F507A">
        <w:rPr>
          <w:rFonts w:ascii="Arial" w:hAnsi="Arial" w:cs="Arial"/>
          <w:color w:val="000000"/>
          <w:sz w:val="22"/>
          <w:szCs w:val="22"/>
          <w:lang w:val="fr-FR"/>
        </w:rPr>
        <w:t>.</w:t>
      </w:r>
    </w:p>
    <w:p w:rsidR="004F60C4" w:rsidRPr="004F507A" w:rsidRDefault="00E8745A" w:rsidP="00192CB7">
      <w:pPr>
        <w:keepNext/>
        <w:keepLines/>
        <w:tabs>
          <w:tab w:val="left" w:pos="567"/>
        </w:tabs>
        <w:spacing w:after="240"/>
        <w:rPr>
          <w:rFonts w:ascii="Arial" w:hAnsi="Arial" w:cs="Arial"/>
          <w:sz w:val="22"/>
          <w:szCs w:val="22"/>
          <w:u w:val="single"/>
          <w:lang w:val="fr-FR"/>
        </w:rPr>
      </w:pPr>
      <w:r w:rsidRPr="004F507A">
        <w:rPr>
          <w:rFonts w:ascii="Arial" w:hAnsi="Arial" w:cs="Arial"/>
          <w:sz w:val="22"/>
          <w:szCs w:val="22"/>
          <w:u w:val="single"/>
          <w:lang w:val="fr-FR"/>
        </w:rPr>
        <w:t>Bénéficiaires</w:t>
      </w:r>
    </w:p>
    <w:p w:rsidR="004F60C4" w:rsidRPr="004F507A" w:rsidRDefault="007E26AD" w:rsidP="00192CB7">
      <w:pPr>
        <w:keepNext/>
        <w:keepLines/>
        <w:tabs>
          <w:tab w:val="left" w:pos="567"/>
        </w:tabs>
        <w:spacing w:after="240"/>
        <w:rPr>
          <w:rFonts w:ascii="Arial" w:hAnsi="Arial" w:cs="Arial"/>
          <w:sz w:val="22"/>
          <w:szCs w:val="22"/>
          <w:lang w:val="fr-FR"/>
        </w:rPr>
      </w:pPr>
      <w:r w:rsidRPr="004F507A">
        <w:rPr>
          <w:rFonts w:ascii="Arial" w:hAnsi="Arial" w:cs="Arial"/>
          <w:sz w:val="22"/>
          <w:szCs w:val="22"/>
          <w:lang w:val="fr-FR"/>
        </w:rPr>
        <w:fldChar w:fldCharType="begin"/>
      </w:r>
      <w:r w:rsidRPr="004F507A">
        <w:rPr>
          <w:rFonts w:ascii="Arial" w:hAnsi="Arial" w:cs="Arial"/>
          <w:sz w:val="22"/>
          <w:szCs w:val="22"/>
          <w:lang w:val="fr-FR"/>
        </w:rPr>
        <w:instrText xml:space="preserve"> AUTONUM  </w:instrText>
      </w:r>
      <w:r w:rsidRPr="004F507A">
        <w:rPr>
          <w:rFonts w:ascii="Arial" w:hAnsi="Arial" w:cs="Arial"/>
          <w:sz w:val="22"/>
          <w:szCs w:val="22"/>
          <w:lang w:val="fr-FR"/>
        </w:rPr>
        <w:fldChar w:fldCharType="end"/>
      </w:r>
      <w:r w:rsidRPr="004F507A">
        <w:rPr>
          <w:rFonts w:ascii="Arial" w:hAnsi="Arial" w:cs="Arial"/>
          <w:sz w:val="22"/>
          <w:szCs w:val="22"/>
          <w:lang w:val="fr-FR"/>
        </w:rPr>
        <w:tab/>
      </w:r>
      <w:r w:rsidR="00D41C28" w:rsidRPr="004F507A">
        <w:rPr>
          <w:rFonts w:ascii="Arial" w:hAnsi="Arial" w:cs="Arial"/>
          <w:color w:val="000000"/>
          <w:sz w:val="22"/>
          <w:szCs w:val="22"/>
          <w:lang w:val="fr-FR"/>
        </w:rPr>
        <w:t>À</w:t>
      </w:r>
      <w:r w:rsidR="00E8745A" w:rsidRPr="004F507A">
        <w:rPr>
          <w:rFonts w:ascii="Arial" w:hAnsi="Arial" w:cs="Arial"/>
          <w:color w:val="000000"/>
          <w:sz w:val="22"/>
          <w:szCs w:val="22"/>
          <w:lang w:val="fr-FR"/>
        </w:rPr>
        <w:t xml:space="preserve"> ses sessions précédentes, l</w:t>
      </w:r>
      <w:r w:rsidR="006D7B02" w:rsidRPr="004F507A">
        <w:rPr>
          <w:rFonts w:ascii="Arial" w:hAnsi="Arial" w:cs="Arial"/>
          <w:color w:val="000000"/>
          <w:sz w:val="22"/>
          <w:szCs w:val="22"/>
          <w:lang w:val="fr-FR"/>
        </w:rPr>
        <w:t>’</w:t>
      </w:r>
      <w:r w:rsidR="00E8745A" w:rsidRPr="004F507A">
        <w:rPr>
          <w:rFonts w:ascii="Arial" w:hAnsi="Arial" w:cs="Arial"/>
          <w:color w:val="000000"/>
          <w:sz w:val="22"/>
          <w:szCs w:val="22"/>
          <w:lang w:val="fr-FR"/>
        </w:rPr>
        <w:t xml:space="preserve">IGC a examiné la définition des </w:t>
      </w:r>
      <w:r w:rsidR="006D7B02" w:rsidRPr="004F507A">
        <w:rPr>
          <w:rFonts w:ascii="Arial" w:hAnsi="Arial" w:cs="Arial"/>
          <w:color w:val="000000"/>
          <w:sz w:val="22"/>
          <w:szCs w:val="22"/>
          <w:lang w:val="fr-FR"/>
        </w:rPr>
        <w:t>“</w:t>
      </w:r>
      <w:r w:rsidR="00E8745A" w:rsidRPr="004F507A">
        <w:rPr>
          <w:rFonts w:ascii="Arial" w:hAnsi="Arial" w:cs="Arial"/>
          <w:color w:val="000000"/>
          <w:sz w:val="22"/>
          <w:szCs w:val="22"/>
          <w:lang w:val="fr-FR"/>
        </w:rPr>
        <w:t>bénéficiaires</w:t>
      </w:r>
      <w:r w:rsidR="006D7B02" w:rsidRPr="004F507A">
        <w:rPr>
          <w:rFonts w:ascii="Arial" w:hAnsi="Arial" w:cs="Arial"/>
          <w:color w:val="000000"/>
          <w:sz w:val="22"/>
          <w:szCs w:val="22"/>
          <w:lang w:val="fr-FR"/>
        </w:rPr>
        <w:t>”</w:t>
      </w:r>
      <w:r w:rsidR="00E8745A" w:rsidRPr="004F507A">
        <w:rPr>
          <w:rFonts w:ascii="Arial" w:hAnsi="Arial" w:cs="Arial"/>
          <w:color w:val="000000"/>
          <w:sz w:val="22"/>
          <w:szCs w:val="22"/>
          <w:lang w:val="fr-FR"/>
        </w:rPr>
        <w:t xml:space="preserve"> et le choix des term</w:t>
      </w:r>
      <w:r w:rsidR="004F507A" w:rsidRPr="004F507A">
        <w:rPr>
          <w:rFonts w:ascii="Arial" w:hAnsi="Arial" w:cs="Arial"/>
          <w:color w:val="000000"/>
          <w:sz w:val="22"/>
          <w:szCs w:val="22"/>
          <w:lang w:val="fr-FR"/>
        </w:rPr>
        <w:t>es.  To</w:t>
      </w:r>
      <w:r w:rsidR="00CA0FD5" w:rsidRPr="004F507A">
        <w:rPr>
          <w:rFonts w:ascii="Arial" w:hAnsi="Arial" w:cs="Arial"/>
          <w:color w:val="000000"/>
          <w:sz w:val="22"/>
          <w:szCs w:val="22"/>
          <w:lang w:val="fr-FR"/>
        </w:rPr>
        <w:t>utefois, il n</w:t>
      </w:r>
      <w:r w:rsidR="006D7B02" w:rsidRPr="004F507A">
        <w:rPr>
          <w:rFonts w:ascii="Arial" w:hAnsi="Arial" w:cs="Arial"/>
          <w:color w:val="000000"/>
          <w:sz w:val="22"/>
          <w:szCs w:val="22"/>
          <w:lang w:val="fr-FR"/>
        </w:rPr>
        <w:t>’</w:t>
      </w:r>
      <w:r w:rsidR="00CA0FD5" w:rsidRPr="004F507A">
        <w:rPr>
          <w:rFonts w:ascii="Arial" w:hAnsi="Arial" w:cs="Arial"/>
          <w:color w:val="000000"/>
          <w:sz w:val="22"/>
          <w:szCs w:val="22"/>
          <w:lang w:val="fr-FR"/>
        </w:rPr>
        <w:t xml:space="preserve">y a pas </w:t>
      </w:r>
      <w:r w:rsidR="00D41C28" w:rsidRPr="004F507A">
        <w:rPr>
          <w:rFonts w:ascii="Arial" w:hAnsi="Arial" w:cs="Arial"/>
          <w:color w:val="000000"/>
          <w:sz w:val="22"/>
          <w:szCs w:val="22"/>
          <w:lang w:val="fr-FR"/>
        </w:rPr>
        <w:t>d</w:t>
      </w:r>
      <w:r w:rsidR="006D7B02" w:rsidRPr="004F507A">
        <w:rPr>
          <w:rFonts w:ascii="Arial" w:hAnsi="Arial" w:cs="Arial"/>
          <w:color w:val="000000"/>
          <w:sz w:val="22"/>
          <w:szCs w:val="22"/>
          <w:lang w:val="fr-FR"/>
        </w:rPr>
        <w:t>’</w:t>
      </w:r>
      <w:r w:rsidR="00D41C28" w:rsidRPr="004F507A">
        <w:rPr>
          <w:rFonts w:ascii="Arial" w:hAnsi="Arial" w:cs="Arial"/>
          <w:color w:val="000000"/>
          <w:sz w:val="22"/>
          <w:szCs w:val="22"/>
          <w:lang w:val="fr-FR"/>
        </w:rPr>
        <w:t>accord</w:t>
      </w:r>
      <w:r w:rsidR="00CA0FD5" w:rsidRPr="004F507A">
        <w:rPr>
          <w:rFonts w:ascii="Arial" w:hAnsi="Arial" w:cs="Arial"/>
          <w:color w:val="000000"/>
          <w:sz w:val="22"/>
          <w:szCs w:val="22"/>
          <w:lang w:val="fr-FR"/>
        </w:rPr>
        <w:t xml:space="preserve"> pour ce qui est de savoir dans quelle mesure la portée de l</w:t>
      </w:r>
      <w:r w:rsidR="006D7B02" w:rsidRPr="004F507A">
        <w:rPr>
          <w:rFonts w:ascii="Arial" w:hAnsi="Arial" w:cs="Arial"/>
          <w:color w:val="000000"/>
          <w:sz w:val="22"/>
          <w:szCs w:val="22"/>
          <w:lang w:val="fr-FR"/>
        </w:rPr>
        <w:t>’</w:t>
      </w:r>
      <w:r w:rsidR="00CA0FD5" w:rsidRPr="004F507A">
        <w:rPr>
          <w:rFonts w:ascii="Arial" w:hAnsi="Arial" w:cs="Arial"/>
          <w:color w:val="000000"/>
          <w:sz w:val="22"/>
          <w:szCs w:val="22"/>
          <w:lang w:val="fr-FR"/>
        </w:rPr>
        <w:t>instrument devrait s</w:t>
      </w:r>
      <w:r w:rsidR="006D7B02" w:rsidRPr="004F507A">
        <w:rPr>
          <w:rFonts w:ascii="Arial" w:hAnsi="Arial" w:cs="Arial"/>
          <w:color w:val="000000"/>
          <w:sz w:val="22"/>
          <w:szCs w:val="22"/>
          <w:lang w:val="fr-FR"/>
        </w:rPr>
        <w:t>’</w:t>
      </w:r>
      <w:r w:rsidR="00CA0FD5" w:rsidRPr="004F507A">
        <w:rPr>
          <w:rFonts w:ascii="Arial" w:hAnsi="Arial" w:cs="Arial"/>
          <w:color w:val="000000"/>
          <w:sz w:val="22"/>
          <w:szCs w:val="22"/>
          <w:lang w:val="fr-FR"/>
        </w:rPr>
        <w:t>étendre au</w:t>
      </w:r>
      <w:r w:rsidR="00525EB9">
        <w:rPr>
          <w:rFonts w:ascii="Arial" w:hAnsi="Arial" w:cs="Arial"/>
          <w:color w:val="000000"/>
          <w:sz w:val="22"/>
          <w:szCs w:val="22"/>
          <w:lang w:val="fr-FR"/>
        </w:rPr>
        <w:noBreakHyphen/>
      </w:r>
      <w:r w:rsidR="00CA0FD5" w:rsidRPr="004F507A">
        <w:rPr>
          <w:rFonts w:ascii="Arial" w:hAnsi="Arial" w:cs="Arial"/>
          <w:color w:val="000000"/>
          <w:sz w:val="22"/>
          <w:szCs w:val="22"/>
          <w:lang w:val="fr-FR"/>
        </w:rPr>
        <w:t>delà des peuples autochtones et des communautés locales, de manière à incorporer les natio</w:t>
      </w:r>
      <w:r w:rsidR="004F507A" w:rsidRPr="004F507A">
        <w:rPr>
          <w:rFonts w:ascii="Arial" w:hAnsi="Arial" w:cs="Arial"/>
          <w:color w:val="000000"/>
          <w:sz w:val="22"/>
          <w:szCs w:val="22"/>
          <w:lang w:val="fr-FR"/>
        </w:rPr>
        <w:t>ns.  En</w:t>
      </w:r>
      <w:r w:rsidR="00CA0FD5" w:rsidRPr="004F507A">
        <w:rPr>
          <w:rFonts w:ascii="Arial" w:hAnsi="Arial" w:cs="Arial"/>
          <w:color w:val="000000"/>
          <w:sz w:val="22"/>
          <w:szCs w:val="22"/>
          <w:lang w:val="fr-FR"/>
        </w:rPr>
        <w:t xml:space="preserve"> outre</w:t>
      </w:r>
      <w:r w:rsidR="00D41C28" w:rsidRPr="004F507A">
        <w:rPr>
          <w:rFonts w:ascii="Arial" w:hAnsi="Arial" w:cs="Arial"/>
          <w:color w:val="000000"/>
          <w:sz w:val="22"/>
          <w:szCs w:val="22"/>
          <w:lang w:val="fr-FR"/>
        </w:rPr>
        <w:t>, il est</w:t>
      </w:r>
      <w:r w:rsidR="00CA0FD5" w:rsidRPr="004F507A">
        <w:rPr>
          <w:rFonts w:ascii="Arial" w:hAnsi="Arial" w:cs="Arial"/>
          <w:color w:val="000000"/>
          <w:sz w:val="22"/>
          <w:szCs w:val="22"/>
          <w:lang w:val="fr-FR"/>
        </w:rPr>
        <w:t xml:space="preserve"> fait mention d</w:t>
      </w:r>
      <w:r w:rsidR="006D7B02" w:rsidRPr="004F507A">
        <w:rPr>
          <w:rFonts w:ascii="Arial" w:hAnsi="Arial" w:cs="Arial"/>
          <w:color w:val="000000"/>
          <w:sz w:val="22"/>
          <w:szCs w:val="22"/>
          <w:lang w:val="fr-FR"/>
        </w:rPr>
        <w:t>’</w:t>
      </w:r>
      <w:r w:rsidR="00CA0FD5" w:rsidRPr="004F507A">
        <w:rPr>
          <w:rFonts w:ascii="Arial" w:hAnsi="Arial" w:cs="Arial"/>
          <w:color w:val="000000"/>
          <w:sz w:val="22"/>
          <w:szCs w:val="22"/>
          <w:lang w:val="fr-FR"/>
        </w:rPr>
        <w:t>une autorité nationale appelée à jouer le rôle de dépositaire.</w:t>
      </w:r>
    </w:p>
    <w:p w:rsidR="004F60C4" w:rsidRPr="004F507A" w:rsidRDefault="00A928F5" w:rsidP="002B5624">
      <w:pPr>
        <w:tabs>
          <w:tab w:val="left" w:pos="567"/>
        </w:tabs>
        <w:spacing w:after="240"/>
        <w:rPr>
          <w:rFonts w:ascii="Arial" w:hAnsi="Arial" w:cs="Arial"/>
          <w:sz w:val="22"/>
          <w:szCs w:val="22"/>
          <w:lang w:val="fr-FR"/>
        </w:rPr>
      </w:pPr>
      <w:r w:rsidRPr="004F507A">
        <w:rPr>
          <w:rFonts w:ascii="Arial" w:hAnsi="Arial" w:cs="Arial"/>
          <w:sz w:val="22"/>
          <w:szCs w:val="22"/>
          <w:lang w:val="fr-FR"/>
        </w:rPr>
        <w:fldChar w:fldCharType="begin"/>
      </w:r>
      <w:r w:rsidRPr="004F507A">
        <w:rPr>
          <w:rFonts w:ascii="Arial" w:hAnsi="Arial" w:cs="Arial"/>
          <w:sz w:val="22"/>
          <w:szCs w:val="22"/>
          <w:lang w:val="fr-FR"/>
        </w:rPr>
        <w:instrText xml:space="preserve"> AUTONUM  </w:instrText>
      </w:r>
      <w:r w:rsidRPr="004F507A">
        <w:rPr>
          <w:rFonts w:ascii="Arial" w:hAnsi="Arial" w:cs="Arial"/>
          <w:sz w:val="22"/>
          <w:szCs w:val="22"/>
          <w:lang w:val="fr-FR"/>
        </w:rPr>
        <w:fldChar w:fldCharType="end"/>
      </w:r>
      <w:r w:rsidRPr="004F507A">
        <w:rPr>
          <w:rFonts w:ascii="Arial" w:hAnsi="Arial" w:cs="Arial"/>
          <w:sz w:val="22"/>
          <w:szCs w:val="22"/>
          <w:lang w:val="fr-FR"/>
        </w:rPr>
        <w:tab/>
      </w:r>
      <w:r w:rsidR="008E3716" w:rsidRPr="004F507A">
        <w:rPr>
          <w:rFonts w:ascii="Arial" w:hAnsi="Arial" w:cs="Arial"/>
          <w:color w:val="000000"/>
          <w:sz w:val="22"/>
          <w:szCs w:val="22"/>
          <w:lang w:val="fr-FR"/>
        </w:rPr>
        <w:t>Comme cela a déjà été évoqué lors de sessions précédentes, il convient de distinguer la question de l</w:t>
      </w:r>
      <w:r w:rsidR="006D7B02" w:rsidRPr="004F507A">
        <w:rPr>
          <w:rFonts w:ascii="Arial" w:hAnsi="Arial" w:cs="Arial"/>
          <w:color w:val="000000"/>
          <w:sz w:val="22"/>
          <w:szCs w:val="22"/>
          <w:lang w:val="fr-FR"/>
        </w:rPr>
        <w:t>’</w:t>
      </w:r>
      <w:r w:rsidR="008E3716" w:rsidRPr="004F507A">
        <w:rPr>
          <w:rFonts w:ascii="Arial" w:hAnsi="Arial" w:cs="Arial"/>
          <w:color w:val="000000"/>
          <w:sz w:val="22"/>
          <w:szCs w:val="22"/>
          <w:lang w:val="fr-FR"/>
        </w:rPr>
        <w:t xml:space="preserve">identification des bénéficiaires de celle qui consiste </w:t>
      </w:r>
      <w:r w:rsidR="006D7B02" w:rsidRPr="004F507A">
        <w:rPr>
          <w:rFonts w:ascii="Arial" w:hAnsi="Arial" w:cs="Arial"/>
          <w:color w:val="000000"/>
          <w:sz w:val="22"/>
          <w:szCs w:val="22"/>
          <w:lang w:val="fr-FR"/>
        </w:rPr>
        <w:t>à savoir</w:t>
      </w:r>
      <w:r w:rsidR="008E3716" w:rsidRPr="004F507A">
        <w:rPr>
          <w:rFonts w:ascii="Arial" w:hAnsi="Arial" w:cs="Arial"/>
          <w:color w:val="000000"/>
          <w:sz w:val="22"/>
          <w:szCs w:val="22"/>
          <w:lang w:val="fr-FR"/>
        </w:rPr>
        <w:t xml:space="preserve"> si une entité, par exemple une </w:t>
      </w:r>
      <w:r w:rsidR="006D7B02" w:rsidRPr="004F507A">
        <w:rPr>
          <w:rFonts w:ascii="Arial" w:hAnsi="Arial" w:cs="Arial"/>
          <w:color w:val="000000"/>
          <w:sz w:val="22"/>
          <w:szCs w:val="22"/>
          <w:lang w:val="fr-FR"/>
        </w:rPr>
        <w:t>“</w:t>
      </w:r>
      <w:r w:rsidR="008E3716" w:rsidRPr="004F507A">
        <w:rPr>
          <w:rFonts w:ascii="Arial" w:hAnsi="Arial" w:cs="Arial"/>
          <w:color w:val="000000"/>
          <w:sz w:val="22"/>
          <w:szCs w:val="22"/>
          <w:lang w:val="fr-FR"/>
        </w:rPr>
        <w:t>autorité compétente</w:t>
      </w:r>
      <w:r w:rsidR="006D7B02" w:rsidRPr="004F507A">
        <w:rPr>
          <w:rFonts w:ascii="Arial" w:hAnsi="Arial" w:cs="Arial"/>
          <w:color w:val="000000"/>
          <w:sz w:val="22"/>
          <w:szCs w:val="22"/>
          <w:lang w:val="fr-FR"/>
        </w:rPr>
        <w:t>”</w:t>
      </w:r>
      <w:r w:rsidR="008E3716" w:rsidRPr="004F507A">
        <w:rPr>
          <w:rFonts w:ascii="Arial" w:hAnsi="Arial" w:cs="Arial"/>
          <w:color w:val="000000"/>
          <w:sz w:val="22"/>
          <w:szCs w:val="22"/>
          <w:lang w:val="fr-FR"/>
        </w:rPr>
        <w:t>, pourrait être chargée, en vertu de la législation nationale, d</w:t>
      </w:r>
      <w:r w:rsidR="006D7B02" w:rsidRPr="004F507A">
        <w:rPr>
          <w:rFonts w:ascii="Arial" w:hAnsi="Arial" w:cs="Arial"/>
          <w:color w:val="000000"/>
          <w:sz w:val="22"/>
          <w:szCs w:val="22"/>
          <w:lang w:val="fr-FR"/>
        </w:rPr>
        <w:t>’</w:t>
      </w:r>
      <w:r w:rsidR="008E3716" w:rsidRPr="004F507A">
        <w:rPr>
          <w:rFonts w:ascii="Arial" w:hAnsi="Arial" w:cs="Arial"/>
          <w:color w:val="000000"/>
          <w:sz w:val="22"/>
          <w:szCs w:val="22"/>
          <w:lang w:val="fr-FR"/>
        </w:rPr>
        <w:t xml:space="preserve">exercer des droits dans les cas où </w:t>
      </w:r>
      <w:r w:rsidR="00D41C28" w:rsidRPr="004F507A">
        <w:rPr>
          <w:rFonts w:ascii="Arial" w:hAnsi="Arial" w:cs="Arial"/>
          <w:color w:val="000000"/>
          <w:sz w:val="22"/>
          <w:szCs w:val="22"/>
          <w:lang w:val="fr-FR"/>
        </w:rPr>
        <w:t>il n</w:t>
      </w:r>
      <w:r w:rsidR="006D7B02" w:rsidRPr="004F507A">
        <w:rPr>
          <w:rFonts w:ascii="Arial" w:hAnsi="Arial" w:cs="Arial"/>
          <w:color w:val="000000"/>
          <w:sz w:val="22"/>
          <w:szCs w:val="22"/>
          <w:lang w:val="fr-FR"/>
        </w:rPr>
        <w:t>’</w:t>
      </w:r>
      <w:r w:rsidR="00D41C28" w:rsidRPr="004F507A">
        <w:rPr>
          <w:rFonts w:ascii="Arial" w:hAnsi="Arial" w:cs="Arial"/>
          <w:color w:val="000000"/>
          <w:sz w:val="22"/>
          <w:szCs w:val="22"/>
          <w:lang w:val="fr-FR"/>
        </w:rPr>
        <w:t>est pas possible d</w:t>
      </w:r>
      <w:r w:rsidR="006D7B02" w:rsidRPr="004F507A">
        <w:rPr>
          <w:rFonts w:ascii="Arial" w:hAnsi="Arial" w:cs="Arial"/>
          <w:color w:val="000000"/>
          <w:sz w:val="22"/>
          <w:szCs w:val="22"/>
          <w:lang w:val="fr-FR"/>
        </w:rPr>
        <w:t>’</w:t>
      </w:r>
      <w:r w:rsidR="00D41C28" w:rsidRPr="004F507A">
        <w:rPr>
          <w:rFonts w:ascii="Arial" w:hAnsi="Arial" w:cs="Arial"/>
          <w:color w:val="000000"/>
          <w:sz w:val="22"/>
          <w:szCs w:val="22"/>
          <w:lang w:val="fr-FR"/>
        </w:rPr>
        <w:t xml:space="preserve">identifier </w:t>
      </w:r>
      <w:r w:rsidR="008E3716" w:rsidRPr="004F507A">
        <w:rPr>
          <w:rFonts w:ascii="Arial" w:hAnsi="Arial" w:cs="Arial"/>
          <w:color w:val="000000"/>
          <w:sz w:val="22"/>
          <w:szCs w:val="22"/>
          <w:lang w:val="fr-FR"/>
        </w:rPr>
        <w:t>les bénéficiair</w:t>
      </w:r>
      <w:r w:rsidR="004F507A" w:rsidRPr="004F507A">
        <w:rPr>
          <w:rFonts w:ascii="Arial" w:hAnsi="Arial" w:cs="Arial"/>
          <w:color w:val="000000"/>
          <w:sz w:val="22"/>
          <w:szCs w:val="22"/>
          <w:lang w:val="fr-FR"/>
        </w:rPr>
        <w:t>es.  Un</w:t>
      </w:r>
      <w:r w:rsidR="008E3716" w:rsidRPr="004F507A">
        <w:rPr>
          <w:rFonts w:ascii="Arial" w:hAnsi="Arial" w:cs="Arial"/>
          <w:color w:val="000000"/>
          <w:sz w:val="22"/>
          <w:szCs w:val="22"/>
          <w:lang w:val="fr-FR"/>
        </w:rPr>
        <w:t xml:space="preserve">e </w:t>
      </w:r>
      <w:r w:rsidR="006D7B02" w:rsidRPr="004F507A">
        <w:rPr>
          <w:rFonts w:ascii="Arial" w:hAnsi="Arial" w:cs="Arial"/>
          <w:color w:val="000000"/>
          <w:sz w:val="22"/>
          <w:szCs w:val="22"/>
          <w:lang w:val="fr-FR"/>
        </w:rPr>
        <w:t>“</w:t>
      </w:r>
      <w:r w:rsidR="008E3716" w:rsidRPr="004F507A">
        <w:rPr>
          <w:rFonts w:ascii="Arial" w:hAnsi="Arial" w:cs="Arial"/>
          <w:color w:val="000000"/>
          <w:sz w:val="22"/>
          <w:szCs w:val="22"/>
          <w:lang w:val="fr-FR"/>
        </w:rPr>
        <w:t>autorité compétente</w:t>
      </w:r>
      <w:r w:rsidR="006D7B02" w:rsidRPr="004F507A">
        <w:rPr>
          <w:rFonts w:ascii="Arial" w:hAnsi="Arial" w:cs="Arial"/>
          <w:color w:val="000000"/>
          <w:sz w:val="22"/>
          <w:szCs w:val="22"/>
          <w:lang w:val="fr-FR"/>
        </w:rPr>
        <w:t>”</w:t>
      </w:r>
      <w:r w:rsidR="008E3716" w:rsidRPr="004F507A">
        <w:rPr>
          <w:rFonts w:ascii="Arial" w:hAnsi="Arial" w:cs="Arial"/>
          <w:color w:val="000000"/>
          <w:sz w:val="22"/>
          <w:szCs w:val="22"/>
          <w:lang w:val="fr-FR"/>
        </w:rPr>
        <w:t xml:space="preserve"> </w:t>
      </w:r>
      <w:r w:rsidR="00D41C28" w:rsidRPr="004F507A">
        <w:rPr>
          <w:rFonts w:ascii="Arial" w:hAnsi="Arial" w:cs="Arial"/>
          <w:color w:val="000000"/>
          <w:sz w:val="22"/>
          <w:szCs w:val="22"/>
          <w:lang w:val="fr-FR"/>
        </w:rPr>
        <w:t>pourrait</w:t>
      </w:r>
      <w:r w:rsidR="008E3716" w:rsidRPr="004F507A">
        <w:rPr>
          <w:rFonts w:ascii="Arial" w:hAnsi="Arial" w:cs="Arial"/>
          <w:color w:val="000000"/>
          <w:sz w:val="22"/>
          <w:szCs w:val="22"/>
          <w:lang w:val="fr-FR"/>
        </w:rPr>
        <w:t xml:space="preserve"> aussi </w:t>
      </w:r>
      <w:r w:rsidR="00D41C28" w:rsidRPr="004F507A">
        <w:rPr>
          <w:rFonts w:ascii="Arial" w:hAnsi="Arial" w:cs="Arial"/>
          <w:color w:val="000000"/>
          <w:sz w:val="22"/>
          <w:szCs w:val="22"/>
          <w:lang w:val="fr-FR"/>
        </w:rPr>
        <w:t>intervenir</w:t>
      </w:r>
      <w:r w:rsidR="008E3716" w:rsidRPr="004F507A">
        <w:rPr>
          <w:rFonts w:ascii="Arial" w:hAnsi="Arial" w:cs="Arial"/>
          <w:color w:val="000000"/>
          <w:sz w:val="22"/>
          <w:szCs w:val="22"/>
          <w:lang w:val="fr-FR"/>
        </w:rPr>
        <w:t xml:space="preserve"> lorsque les bénéficiaires sollicitent une assistance pour la gestion et l</w:t>
      </w:r>
      <w:r w:rsidR="006D7B02" w:rsidRPr="004F507A">
        <w:rPr>
          <w:rFonts w:ascii="Arial" w:hAnsi="Arial" w:cs="Arial"/>
          <w:color w:val="000000"/>
          <w:sz w:val="22"/>
          <w:szCs w:val="22"/>
          <w:lang w:val="fr-FR"/>
        </w:rPr>
        <w:t>’</w:t>
      </w:r>
      <w:r w:rsidR="008A6717">
        <w:rPr>
          <w:rFonts w:ascii="Arial" w:hAnsi="Arial" w:cs="Arial"/>
          <w:color w:val="000000"/>
          <w:sz w:val="22"/>
          <w:szCs w:val="22"/>
          <w:lang w:val="fr-FR"/>
        </w:rPr>
        <w:t>application</w:t>
      </w:r>
      <w:r w:rsidR="008E3716" w:rsidRPr="004F507A">
        <w:rPr>
          <w:rFonts w:ascii="Arial" w:hAnsi="Arial" w:cs="Arial"/>
          <w:color w:val="000000"/>
          <w:sz w:val="22"/>
          <w:szCs w:val="22"/>
          <w:lang w:val="fr-FR"/>
        </w:rPr>
        <w:t xml:space="preserve"> de leurs droi</w:t>
      </w:r>
      <w:r w:rsidR="004F507A" w:rsidRPr="004F507A">
        <w:rPr>
          <w:rFonts w:ascii="Arial" w:hAnsi="Arial" w:cs="Arial"/>
          <w:color w:val="000000"/>
          <w:sz w:val="22"/>
          <w:szCs w:val="22"/>
          <w:lang w:val="fr-FR"/>
        </w:rPr>
        <w:t>ts.  On</w:t>
      </w:r>
      <w:r w:rsidR="008E3716" w:rsidRPr="004F507A">
        <w:rPr>
          <w:rFonts w:ascii="Arial" w:hAnsi="Arial" w:cs="Arial"/>
          <w:color w:val="000000"/>
          <w:sz w:val="22"/>
          <w:szCs w:val="22"/>
          <w:lang w:val="fr-FR"/>
        </w:rPr>
        <w:t xml:space="preserve"> note également que les </w:t>
      </w:r>
      <w:r w:rsidR="006D7B02" w:rsidRPr="004F507A">
        <w:rPr>
          <w:rFonts w:ascii="Arial" w:hAnsi="Arial" w:cs="Arial"/>
          <w:color w:val="000000"/>
          <w:sz w:val="22"/>
          <w:szCs w:val="22"/>
          <w:lang w:val="fr-FR"/>
        </w:rPr>
        <w:t>“</w:t>
      </w:r>
      <w:r w:rsidR="008E3716" w:rsidRPr="004F507A">
        <w:rPr>
          <w:rFonts w:ascii="Arial" w:hAnsi="Arial" w:cs="Arial"/>
          <w:color w:val="000000"/>
          <w:sz w:val="22"/>
          <w:szCs w:val="22"/>
          <w:lang w:val="fr-FR"/>
        </w:rPr>
        <w:t>autorités compétentes</w:t>
      </w:r>
      <w:r w:rsidR="006D7B02" w:rsidRPr="004F507A">
        <w:rPr>
          <w:rFonts w:ascii="Arial" w:hAnsi="Arial" w:cs="Arial"/>
          <w:color w:val="000000"/>
          <w:sz w:val="22"/>
          <w:szCs w:val="22"/>
          <w:lang w:val="fr-FR"/>
        </w:rPr>
        <w:t>”</w:t>
      </w:r>
      <w:r w:rsidR="008E3716" w:rsidRPr="004F507A">
        <w:rPr>
          <w:rFonts w:ascii="Arial" w:hAnsi="Arial" w:cs="Arial"/>
          <w:color w:val="000000"/>
          <w:sz w:val="22"/>
          <w:szCs w:val="22"/>
          <w:lang w:val="fr-FR"/>
        </w:rPr>
        <w:t xml:space="preserve"> sont traitées à l</w:t>
      </w:r>
      <w:r w:rsidR="006D7B02" w:rsidRPr="004F507A">
        <w:rPr>
          <w:rFonts w:ascii="Arial" w:hAnsi="Arial" w:cs="Arial"/>
          <w:color w:val="000000"/>
          <w:sz w:val="22"/>
          <w:szCs w:val="22"/>
          <w:lang w:val="fr-FR"/>
        </w:rPr>
        <w:t>’</w:t>
      </w:r>
      <w:r w:rsidR="008E3716" w:rsidRPr="004F507A">
        <w:rPr>
          <w:rFonts w:ascii="Arial" w:hAnsi="Arial" w:cs="Arial"/>
          <w:color w:val="000000"/>
          <w:sz w:val="22"/>
          <w:szCs w:val="22"/>
          <w:lang w:val="fr-FR"/>
        </w:rPr>
        <w:t>article</w:t>
      </w:r>
      <w:r w:rsidR="000E59D1" w:rsidRPr="004F507A">
        <w:rPr>
          <w:rFonts w:ascii="Arial" w:hAnsi="Arial" w:cs="Arial"/>
          <w:color w:val="000000"/>
          <w:sz w:val="22"/>
          <w:szCs w:val="22"/>
          <w:lang w:val="fr-FR"/>
        </w:rPr>
        <w:t> </w:t>
      </w:r>
      <w:r w:rsidR="008E3716" w:rsidRPr="004F507A">
        <w:rPr>
          <w:rFonts w:ascii="Arial" w:hAnsi="Arial" w:cs="Arial"/>
          <w:color w:val="000000"/>
          <w:sz w:val="22"/>
          <w:szCs w:val="22"/>
          <w:lang w:val="fr-FR"/>
        </w:rPr>
        <w:t>5, qui porte sur l</w:t>
      </w:r>
      <w:r w:rsidR="006D7B02" w:rsidRPr="004F507A">
        <w:rPr>
          <w:rFonts w:ascii="Arial" w:hAnsi="Arial" w:cs="Arial"/>
          <w:color w:val="000000"/>
          <w:sz w:val="22"/>
          <w:szCs w:val="22"/>
          <w:lang w:val="fr-FR"/>
        </w:rPr>
        <w:t>’</w:t>
      </w:r>
      <w:r w:rsidR="008E3716" w:rsidRPr="004F507A">
        <w:rPr>
          <w:rFonts w:ascii="Arial" w:hAnsi="Arial" w:cs="Arial"/>
          <w:color w:val="000000"/>
          <w:sz w:val="22"/>
          <w:szCs w:val="22"/>
          <w:lang w:val="fr-FR"/>
        </w:rPr>
        <w:t>administration des droits/des intérê</w:t>
      </w:r>
      <w:r w:rsidR="004F507A" w:rsidRPr="004F507A">
        <w:rPr>
          <w:rFonts w:ascii="Arial" w:hAnsi="Arial" w:cs="Arial"/>
          <w:color w:val="000000"/>
          <w:sz w:val="22"/>
          <w:szCs w:val="22"/>
          <w:lang w:val="fr-FR"/>
        </w:rPr>
        <w:t>ts.  Le</w:t>
      </w:r>
      <w:r w:rsidR="00183F4E" w:rsidRPr="004F507A">
        <w:rPr>
          <w:rFonts w:ascii="Arial" w:hAnsi="Arial" w:cs="Arial"/>
          <w:color w:val="000000"/>
          <w:sz w:val="22"/>
          <w:szCs w:val="22"/>
          <w:lang w:val="fr-FR"/>
        </w:rPr>
        <w:t xml:space="preserve">s États membres pourraient </w:t>
      </w:r>
      <w:r w:rsidR="008A6717">
        <w:rPr>
          <w:rFonts w:ascii="Arial" w:hAnsi="Arial" w:cs="Arial"/>
          <w:color w:val="000000"/>
          <w:sz w:val="22"/>
          <w:szCs w:val="22"/>
          <w:lang w:val="fr-FR"/>
        </w:rPr>
        <w:t>se demander s’il convient</w:t>
      </w:r>
      <w:r w:rsidR="00183F4E" w:rsidRPr="004F507A">
        <w:rPr>
          <w:rFonts w:ascii="Arial" w:hAnsi="Arial" w:cs="Arial"/>
          <w:color w:val="000000"/>
          <w:sz w:val="22"/>
          <w:szCs w:val="22"/>
          <w:lang w:val="fr-FR"/>
        </w:rPr>
        <w:t xml:space="preserve"> de traiter la question d</w:t>
      </w:r>
      <w:r w:rsidR="006D7B02" w:rsidRPr="004F507A">
        <w:rPr>
          <w:rFonts w:ascii="Arial" w:hAnsi="Arial" w:cs="Arial"/>
          <w:color w:val="000000"/>
          <w:sz w:val="22"/>
          <w:szCs w:val="22"/>
          <w:lang w:val="fr-FR"/>
        </w:rPr>
        <w:t>’“</w:t>
      </w:r>
      <w:r w:rsidR="00183F4E" w:rsidRPr="004F507A">
        <w:rPr>
          <w:rFonts w:ascii="Arial" w:hAnsi="Arial" w:cs="Arial"/>
          <w:color w:val="000000"/>
          <w:sz w:val="22"/>
          <w:szCs w:val="22"/>
          <w:lang w:val="fr-FR"/>
        </w:rPr>
        <w:t>autorité compétente</w:t>
      </w:r>
      <w:r w:rsidR="006D7B02" w:rsidRPr="004F507A">
        <w:rPr>
          <w:rFonts w:ascii="Arial" w:hAnsi="Arial" w:cs="Arial"/>
          <w:color w:val="000000"/>
          <w:sz w:val="22"/>
          <w:szCs w:val="22"/>
          <w:lang w:val="fr-FR"/>
        </w:rPr>
        <w:t>”</w:t>
      </w:r>
      <w:r w:rsidR="00183F4E" w:rsidRPr="004F507A">
        <w:rPr>
          <w:rFonts w:ascii="Arial" w:hAnsi="Arial" w:cs="Arial"/>
          <w:color w:val="000000"/>
          <w:sz w:val="22"/>
          <w:szCs w:val="22"/>
          <w:lang w:val="fr-FR"/>
        </w:rPr>
        <w:t xml:space="preserve"> à l</w:t>
      </w:r>
      <w:r w:rsidR="006D7B02" w:rsidRPr="004F507A">
        <w:rPr>
          <w:rFonts w:ascii="Arial" w:hAnsi="Arial" w:cs="Arial"/>
          <w:color w:val="000000"/>
          <w:sz w:val="22"/>
          <w:szCs w:val="22"/>
          <w:lang w:val="fr-FR"/>
        </w:rPr>
        <w:t>’</w:t>
      </w:r>
      <w:r w:rsidR="00183F4E" w:rsidRPr="004F507A">
        <w:rPr>
          <w:rFonts w:ascii="Arial" w:hAnsi="Arial" w:cs="Arial"/>
          <w:color w:val="000000"/>
          <w:sz w:val="22"/>
          <w:szCs w:val="22"/>
          <w:lang w:val="fr-FR"/>
        </w:rPr>
        <w:t>article</w:t>
      </w:r>
      <w:r w:rsidR="000E59D1" w:rsidRPr="004F507A">
        <w:rPr>
          <w:rFonts w:ascii="Arial" w:hAnsi="Arial" w:cs="Arial"/>
          <w:color w:val="000000"/>
          <w:sz w:val="22"/>
          <w:szCs w:val="22"/>
          <w:lang w:val="fr-FR"/>
        </w:rPr>
        <w:t> </w:t>
      </w:r>
      <w:r w:rsidR="00183F4E" w:rsidRPr="004F507A">
        <w:rPr>
          <w:rFonts w:ascii="Arial" w:hAnsi="Arial" w:cs="Arial"/>
          <w:color w:val="000000"/>
          <w:sz w:val="22"/>
          <w:szCs w:val="22"/>
          <w:lang w:val="fr-FR"/>
        </w:rPr>
        <w:t>5 plutôt qu</w:t>
      </w:r>
      <w:r w:rsidR="006D7B02" w:rsidRPr="004F507A">
        <w:rPr>
          <w:rFonts w:ascii="Arial" w:hAnsi="Arial" w:cs="Arial"/>
          <w:color w:val="000000"/>
          <w:sz w:val="22"/>
          <w:szCs w:val="22"/>
          <w:lang w:val="fr-FR"/>
        </w:rPr>
        <w:t>’</w:t>
      </w:r>
      <w:r w:rsidR="00183F4E" w:rsidRPr="004F507A">
        <w:rPr>
          <w:rFonts w:ascii="Arial" w:hAnsi="Arial" w:cs="Arial"/>
          <w:color w:val="000000"/>
          <w:sz w:val="22"/>
          <w:szCs w:val="22"/>
          <w:lang w:val="fr-FR"/>
        </w:rPr>
        <w:t>à l</w:t>
      </w:r>
      <w:r w:rsidR="006D7B02" w:rsidRPr="004F507A">
        <w:rPr>
          <w:rFonts w:ascii="Arial" w:hAnsi="Arial" w:cs="Arial"/>
          <w:color w:val="000000"/>
          <w:sz w:val="22"/>
          <w:szCs w:val="22"/>
          <w:lang w:val="fr-FR"/>
        </w:rPr>
        <w:t>’</w:t>
      </w:r>
      <w:r w:rsidR="00183F4E" w:rsidRPr="004F507A">
        <w:rPr>
          <w:rFonts w:ascii="Arial" w:hAnsi="Arial" w:cs="Arial"/>
          <w:color w:val="000000"/>
          <w:sz w:val="22"/>
          <w:szCs w:val="22"/>
          <w:lang w:val="fr-FR"/>
        </w:rPr>
        <w:t>article</w:t>
      </w:r>
      <w:r w:rsidR="000E59D1" w:rsidRPr="004F507A">
        <w:rPr>
          <w:rFonts w:ascii="Arial" w:hAnsi="Arial" w:cs="Arial"/>
          <w:color w:val="000000"/>
          <w:sz w:val="22"/>
          <w:szCs w:val="22"/>
          <w:lang w:val="fr-FR"/>
        </w:rPr>
        <w:t> </w:t>
      </w:r>
      <w:r w:rsidR="00183F4E" w:rsidRPr="004F507A">
        <w:rPr>
          <w:rFonts w:ascii="Arial" w:hAnsi="Arial" w:cs="Arial"/>
          <w:color w:val="000000"/>
          <w:sz w:val="22"/>
          <w:szCs w:val="22"/>
          <w:lang w:val="fr-FR"/>
        </w:rPr>
        <w:t>2.</w:t>
      </w:r>
    </w:p>
    <w:p w:rsidR="004F60C4" w:rsidRPr="004F507A" w:rsidRDefault="00041572" w:rsidP="002B5624">
      <w:pPr>
        <w:tabs>
          <w:tab w:val="left" w:pos="567"/>
        </w:tabs>
        <w:spacing w:after="240"/>
        <w:rPr>
          <w:rFonts w:ascii="Arial" w:hAnsi="Arial" w:cs="Arial"/>
          <w:sz w:val="22"/>
          <w:szCs w:val="22"/>
          <w:lang w:val="fr-FR"/>
        </w:rPr>
      </w:pPr>
      <w:r w:rsidRPr="004F507A">
        <w:rPr>
          <w:rFonts w:ascii="Arial" w:hAnsi="Arial" w:cs="Arial"/>
          <w:sz w:val="22"/>
          <w:szCs w:val="22"/>
          <w:lang w:val="fr-FR"/>
        </w:rPr>
        <w:fldChar w:fldCharType="begin"/>
      </w:r>
      <w:r w:rsidRPr="004F507A">
        <w:rPr>
          <w:rFonts w:ascii="Arial" w:hAnsi="Arial" w:cs="Arial"/>
          <w:sz w:val="22"/>
          <w:szCs w:val="22"/>
          <w:lang w:val="fr-FR"/>
        </w:rPr>
        <w:instrText xml:space="preserve"> AUTONUM  </w:instrText>
      </w:r>
      <w:r w:rsidRPr="004F507A">
        <w:rPr>
          <w:rFonts w:ascii="Arial" w:hAnsi="Arial" w:cs="Arial"/>
          <w:sz w:val="22"/>
          <w:szCs w:val="22"/>
          <w:lang w:val="fr-FR"/>
        </w:rPr>
        <w:fldChar w:fldCharType="end"/>
      </w:r>
      <w:r w:rsidRPr="004F507A">
        <w:rPr>
          <w:rFonts w:ascii="Arial" w:hAnsi="Arial" w:cs="Arial"/>
          <w:sz w:val="22"/>
          <w:szCs w:val="22"/>
          <w:lang w:val="fr-FR"/>
        </w:rPr>
        <w:tab/>
      </w:r>
      <w:r w:rsidR="00D904EA" w:rsidRPr="004F507A">
        <w:rPr>
          <w:rFonts w:ascii="Arial" w:hAnsi="Arial" w:cs="Arial"/>
          <w:color w:val="000000"/>
          <w:sz w:val="22"/>
          <w:szCs w:val="22"/>
          <w:lang w:val="fr-FR"/>
        </w:rPr>
        <w:t>Dans la mesure où l</w:t>
      </w:r>
      <w:r w:rsidR="006D7B02" w:rsidRPr="004F507A">
        <w:rPr>
          <w:rFonts w:ascii="Arial" w:hAnsi="Arial" w:cs="Arial"/>
          <w:color w:val="000000"/>
          <w:sz w:val="22"/>
          <w:szCs w:val="22"/>
          <w:lang w:val="fr-FR"/>
        </w:rPr>
        <w:t>’</w:t>
      </w:r>
      <w:r w:rsidR="00D904EA" w:rsidRPr="004F507A">
        <w:rPr>
          <w:rFonts w:ascii="Arial" w:hAnsi="Arial" w:cs="Arial"/>
          <w:color w:val="000000"/>
          <w:sz w:val="22"/>
          <w:szCs w:val="22"/>
          <w:lang w:val="fr-FR"/>
        </w:rPr>
        <w:t>identification des bénéficiaires est étroitement liée à la portée de l</w:t>
      </w:r>
      <w:r w:rsidR="006D7B02" w:rsidRPr="004F507A">
        <w:rPr>
          <w:rFonts w:ascii="Arial" w:hAnsi="Arial" w:cs="Arial"/>
          <w:color w:val="000000"/>
          <w:sz w:val="22"/>
          <w:szCs w:val="22"/>
          <w:lang w:val="fr-FR"/>
        </w:rPr>
        <w:t>’</w:t>
      </w:r>
      <w:r w:rsidR="00D904EA" w:rsidRPr="004F507A">
        <w:rPr>
          <w:rFonts w:ascii="Arial" w:hAnsi="Arial" w:cs="Arial"/>
          <w:color w:val="000000"/>
          <w:sz w:val="22"/>
          <w:szCs w:val="22"/>
          <w:lang w:val="fr-FR"/>
        </w:rPr>
        <w:t xml:space="preserve">instrument dans son ensemble, il sera important que les États membres parviennent à une communauté de vues pour ce qui est de savoir qui </w:t>
      </w:r>
      <w:r w:rsidR="00D41C28" w:rsidRPr="004F507A">
        <w:rPr>
          <w:rFonts w:ascii="Arial" w:hAnsi="Arial" w:cs="Arial"/>
          <w:color w:val="000000"/>
          <w:sz w:val="22"/>
          <w:szCs w:val="22"/>
          <w:lang w:val="fr-FR"/>
        </w:rPr>
        <w:t>devraient être les bénéficiaires</w:t>
      </w:r>
      <w:r w:rsidR="00D904EA" w:rsidRPr="004F507A">
        <w:rPr>
          <w:rFonts w:ascii="Arial" w:hAnsi="Arial" w:cs="Arial"/>
          <w:color w:val="000000"/>
          <w:sz w:val="22"/>
          <w:szCs w:val="22"/>
          <w:lang w:val="fr-FR"/>
        </w:rPr>
        <w:t>.</w:t>
      </w:r>
    </w:p>
    <w:p w:rsidR="004F60C4" w:rsidRPr="004F507A" w:rsidRDefault="00D904EA" w:rsidP="002B5624">
      <w:pPr>
        <w:tabs>
          <w:tab w:val="left" w:pos="567"/>
        </w:tabs>
        <w:spacing w:after="240"/>
        <w:rPr>
          <w:rFonts w:ascii="Arial" w:hAnsi="Arial" w:cs="Arial"/>
          <w:sz w:val="22"/>
          <w:szCs w:val="22"/>
          <w:u w:val="single"/>
          <w:lang w:val="fr-FR"/>
        </w:rPr>
      </w:pPr>
      <w:r w:rsidRPr="004F507A">
        <w:rPr>
          <w:rFonts w:ascii="Arial" w:hAnsi="Arial" w:cs="Arial"/>
          <w:sz w:val="22"/>
          <w:szCs w:val="22"/>
          <w:u w:val="single"/>
          <w:lang w:val="fr-FR"/>
        </w:rPr>
        <w:t>Objet</w:t>
      </w:r>
    </w:p>
    <w:p w:rsidR="004F60C4" w:rsidRPr="004F507A" w:rsidRDefault="00041572" w:rsidP="002B5624">
      <w:pPr>
        <w:tabs>
          <w:tab w:val="left" w:pos="567"/>
        </w:tabs>
        <w:spacing w:after="240"/>
        <w:rPr>
          <w:rFonts w:ascii="Arial" w:hAnsi="Arial" w:cs="Arial"/>
          <w:sz w:val="22"/>
          <w:szCs w:val="22"/>
          <w:lang w:val="fr-FR"/>
        </w:rPr>
      </w:pPr>
      <w:r w:rsidRPr="004F507A">
        <w:rPr>
          <w:rFonts w:ascii="Arial" w:hAnsi="Arial" w:cs="Arial"/>
          <w:sz w:val="22"/>
          <w:szCs w:val="22"/>
          <w:lang w:val="fr-FR"/>
        </w:rPr>
        <w:fldChar w:fldCharType="begin"/>
      </w:r>
      <w:r w:rsidRPr="004F507A">
        <w:rPr>
          <w:rFonts w:ascii="Arial" w:hAnsi="Arial" w:cs="Arial"/>
          <w:sz w:val="22"/>
          <w:szCs w:val="22"/>
          <w:lang w:val="fr-FR"/>
        </w:rPr>
        <w:instrText xml:space="preserve"> AUTONUM  </w:instrText>
      </w:r>
      <w:r w:rsidRPr="004F507A">
        <w:rPr>
          <w:rFonts w:ascii="Arial" w:hAnsi="Arial" w:cs="Arial"/>
          <w:sz w:val="22"/>
          <w:szCs w:val="22"/>
          <w:lang w:val="fr-FR"/>
        </w:rPr>
        <w:fldChar w:fldCharType="end"/>
      </w:r>
      <w:r w:rsidRPr="004F507A">
        <w:rPr>
          <w:rFonts w:ascii="Arial" w:hAnsi="Arial" w:cs="Arial"/>
          <w:sz w:val="22"/>
          <w:szCs w:val="22"/>
          <w:lang w:val="fr-FR"/>
        </w:rPr>
        <w:tab/>
      </w:r>
      <w:r w:rsidR="00D904EA" w:rsidRPr="004F507A">
        <w:rPr>
          <w:rFonts w:ascii="Arial" w:hAnsi="Arial" w:cs="Arial"/>
          <w:color w:val="000000"/>
          <w:sz w:val="22"/>
          <w:szCs w:val="22"/>
          <w:lang w:val="fr-FR"/>
        </w:rPr>
        <w:t>Le texte relatif aux savoirs traditionnels décrit l</w:t>
      </w:r>
      <w:r w:rsidR="006D7B02" w:rsidRPr="004F507A">
        <w:rPr>
          <w:rFonts w:ascii="Arial" w:hAnsi="Arial" w:cs="Arial"/>
          <w:color w:val="000000"/>
          <w:sz w:val="22"/>
          <w:szCs w:val="22"/>
          <w:lang w:val="fr-FR"/>
        </w:rPr>
        <w:t>’</w:t>
      </w:r>
      <w:r w:rsidR="00D904EA" w:rsidRPr="004F507A">
        <w:rPr>
          <w:rFonts w:ascii="Arial" w:hAnsi="Arial" w:cs="Arial"/>
          <w:color w:val="000000"/>
          <w:sz w:val="22"/>
          <w:szCs w:val="22"/>
          <w:lang w:val="fr-FR"/>
        </w:rPr>
        <w:t xml:space="preserve">objet de la protection, bien </w:t>
      </w:r>
      <w:r w:rsidR="009F203D" w:rsidRPr="004F507A">
        <w:rPr>
          <w:rFonts w:ascii="Arial" w:hAnsi="Arial" w:cs="Arial"/>
          <w:color w:val="000000"/>
          <w:sz w:val="22"/>
          <w:szCs w:val="22"/>
          <w:lang w:val="fr-FR"/>
        </w:rPr>
        <w:t>qu</w:t>
      </w:r>
      <w:r w:rsidR="006D7B02" w:rsidRPr="004F507A">
        <w:rPr>
          <w:rFonts w:ascii="Arial" w:hAnsi="Arial" w:cs="Arial"/>
          <w:color w:val="000000"/>
          <w:sz w:val="22"/>
          <w:szCs w:val="22"/>
          <w:lang w:val="fr-FR"/>
        </w:rPr>
        <w:t>’</w:t>
      </w:r>
      <w:r w:rsidR="009F203D" w:rsidRPr="004F507A">
        <w:rPr>
          <w:rFonts w:ascii="Arial" w:hAnsi="Arial" w:cs="Arial"/>
          <w:color w:val="000000"/>
          <w:sz w:val="22"/>
          <w:szCs w:val="22"/>
          <w:lang w:val="fr-FR"/>
        </w:rPr>
        <w:t>il n</w:t>
      </w:r>
      <w:r w:rsidR="006D7B02" w:rsidRPr="004F507A">
        <w:rPr>
          <w:rFonts w:ascii="Arial" w:hAnsi="Arial" w:cs="Arial"/>
          <w:color w:val="000000"/>
          <w:sz w:val="22"/>
          <w:szCs w:val="22"/>
          <w:lang w:val="fr-FR"/>
        </w:rPr>
        <w:t>’</w:t>
      </w:r>
      <w:r w:rsidR="009F203D" w:rsidRPr="004F507A">
        <w:rPr>
          <w:rFonts w:ascii="Arial" w:hAnsi="Arial" w:cs="Arial"/>
          <w:color w:val="000000"/>
          <w:sz w:val="22"/>
          <w:szCs w:val="22"/>
          <w:lang w:val="fr-FR"/>
        </w:rPr>
        <w:t>y ait pas d</w:t>
      </w:r>
      <w:r w:rsidR="006D7B02" w:rsidRPr="004F507A">
        <w:rPr>
          <w:rFonts w:ascii="Arial" w:hAnsi="Arial" w:cs="Arial"/>
          <w:color w:val="000000"/>
          <w:sz w:val="22"/>
          <w:szCs w:val="22"/>
          <w:lang w:val="fr-FR"/>
        </w:rPr>
        <w:t>’</w:t>
      </w:r>
      <w:r w:rsidR="009F203D" w:rsidRPr="004F507A">
        <w:rPr>
          <w:rFonts w:ascii="Arial" w:hAnsi="Arial" w:cs="Arial"/>
          <w:color w:val="000000"/>
          <w:sz w:val="22"/>
          <w:szCs w:val="22"/>
          <w:lang w:val="fr-FR"/>
        </w:rPr>
        <w:t>accord à ce sujet</w:t>
      </w:r>
      <w:r w:rsidR="00D904EA" w:rsidRPr="004F507A">
        <w:rPr>
          <w:rFonts w:ascii="Arial" w:hAnsi="Arial" w:cs="Arial"/>
          <w:color w:val="000000"/>
          <w:sz w:val="22"/>
          <w:szCs w:val="22"/>
          <w:lang w:val="fr-FR"/>
        </w:rPr>
        <w:t>, à l</w:t>
      </w:r>
      <w:r w:rsidR="006D7B02" w:rsidRPr="004F507A">
        <w:rPr>
          <w:rFonts w:ascii="Arial" w:hAnsi="Arial" w:cs="Arial"/>
          <w:color w:val="000000"/>
          <w:sz w:val="22"/>
          <w:szCs w:val="22"/>
          <w:lang w:val="fr-FR"/>
        </w:rPr>
        <w:t>’</w:t>
      </w:r>
      <w:r w:rsidR="00D904EA" w:rsidRPr="004F507A">
        <w:rPr>
          <w:rFonts w:ascii="Arial" w:hAnsi="Arial" w:cs="Arial"/>
          <w:color w:val="000000"/>
          <w:sz w:val="22"/>
          <w:szCs w:val="22"/>
          <w:lang w:val="fr-FR"/>
        </w:rPr>
        <w:t>alinéa</w:t>
      </w:r>
      <w:r w:rsidR="000E59D1" w:rsidRPr="004F507A">
        <w:rPr>
          <w:rFonts w:ascii="Arial" w:hAnsi="Arial" w:cs="Arial"/>
          <w:color w:val="000000"/>
          <w:sz w:val="22"/>
          <w:szCs w:val="22"/>
          <w:lang w:val="fr-FR"/>
        </w:rPr>
        <w:t> </w:t>
      </w:r>
      <w:r w:rsidR="00D904EA" w:rsidRPr="004F507A">
        <w:rPr>
          <w:rFonts w:ascii="Arial" w:hAnsi="Arial" w:cs="Arial"/>
          <w:color w:val="000000"/>
          <w:sz w:val="22"/>
          <w:szCs w:val="22"/>
          <w:lang w:val="fr-FR"/>
        </w:rPr>
        <w:t>1 de l</w:t>
      </w:r>
      <w:r w:rsidR="006D7B02" w:rsidRPr="004F507A">
        <w:rPr>
          <w:rFonts w:ascii="Arial" w:hAnsi="Arial" w:cs="Arial"/>
          <w:color w:val="000000"/>
          <w:sz w:val="22"/>
          <w:szCs w:val="22"/>
          <w:lang w:val="fr-FR"/>
        </w:rPr>
        <w:t>’</w:t>
      </w:r>
      <w:r w:rsidR="00D904EA" w:rsidRPr="004F507A">
        <w:rPr>
          <w:rFonts w:ascii="Arial" w:hAnsi="Arial" w:cs="Arial"/>
          <w:color w:val="000000"/>
          <w:sz w:val="22"/>
          <w:szCs w:val="22"/>
          <w:lang w:val="fr-FR"/>
        </w:rPr>
        <w:t>article</w:t>
      </w:r>
      <w:r w:rsidR="000E59D1" w:rsidRPr="004F507A">
        <w:rPr>
          <w:rFonts w:ascii="Arial" w:hAnsi="Arial" w:cs="Arial"/>
          <w:color w:val="000000"/>
          <w:sz w:val="22"/>
          <w:szCs w:val="22"/>
          <w:lang w:val="fr-FR"/>
        </w:rPr>
        <w:t> </w:t>
      </w:r>
      <w:r w:rsidR="00D904EA" w:rsidRPr="004F507A">
        <w:rPr>
          <w:rFonts w:ascii="Arial" w:hAnsi="Arial" w:cs="Arial"/>
          <w:color w:val="000000"/>
          <w:sz w:val="22"/>
          <w:szCs w:val="22"/>
          <w:lang w:val="fr-FR"/>
        </w:rPr>
        <w:t>1.  L</w:t>
      </w:r>
      <w:r w:rsidR="006D7B02" w:rsidRPr="004F507A">
        <w:rPr>
          <w:rFonts w:ascii="Arial" w:hAnsi="Arial" w:cs="Arial"/>
          <w:color w:val="000000"/>
          <w:sz w:val="22"/>
          <w:szCs w:val="22"/>
          <w:lang w:val="fr-FR"/>
        </w:rPr>
        <w:t>’</w:t>
      </w:r>
      <w:r w:rsidR="00D904EA" w:rsidRPr="004F507A">
        <w:rPr>
          <w:rFonts w:ascii="Arial" w:hAnsi="Arial" w:cs="Arial"/>
          <w:color w:val="000000"/>
          <w:sz w:val="22"/>
          <w:szCs w:val="22"/>
          <w:lang w:val="fr-FR"/>
        </w:rPr>
        <w:t>alinéa</w:t>
      </w:r>
      <w:r w:rsidR="000E59D1" w:rsidRPr="004F507A">
        <w:rPr>
          <w:rFonts w:ascii="Arial" w:hAnsi="Arial" w:cs="Arial"/>
          <w:color w:val="000000"/>
          <w:sz w:val="22"/>
          <w:szCs w:val="22"/>
          <w:lang w:val="fr-FR"/>
        </w:rPr>
        <w:t> </w:t>
      </w:r>
      <w:r w:rsidR="008A6717">
        <w:rPr>
          <w:rFonts w:ascii="Arial" w:hAnsi="Arial" w:cs="Arial"/>
          <w:color w:val="000000"/>
          <w:sz w:val="22"/>
          <w:szCs w:val="22"/>
          <w:lang w:val="fr-FR"/>
        </w:rPr>
        <w:t>2 vise à définir d</w:t>
      </w:r>
      <w:r w:rsidR="00D904EA" w:rsidRPr="004F507A">
        <w:rPr>
          <w:rFonts w:ascii="Arial" w:hAnsi="Arial" w:cs="Arial"/>
          <w:color w:val="000000"/>
          <w:sz w:val="22"/>
          <w:szCs w:val="22"/>
          <w:lang w:val="fr-FR"/>
        </w:rPr>
        <w:t>es critères à remplir pour bénéficier de la protecti</w:t>
      </w:r>
      <w:r w:rsidR="004F507A" w:rsidRPr="004F507A">
        <w:rPr>
          <w:rFonts w:ascii="Arial" w:hAnsi="Arial" w:cs="Arial"/>
          <w:color w:val="000000"/>
          <w:sz w:val="22"/>
          <w:szCs w:val="22"/>
          <w:lang w:val="fr-FR"/>
        </w:rPr>
        <w:t>on.  To</w:t>
      </w:r>
      <w:r w:rsidR="00CA2225" w:rsidRPr="004F507A">
        <w:rPr>
          <w:rFonts w:ascii="Arial" w:hAnsi="Arial" w:cs="Arial"/>
          <w:color w:val="000000"/>
          <w:sz w:val="22"/>
          <w:szCs w:val="22"/>
          <w:lang w:val="fr-FR"/>
        </w:rPr>
        <w:t xml:space="preserve">utefois, on note que la plupart des éléments clés </w:t>
      </w:r>
      <w:r w:rsidR="008A6717">
        <w:rPr>
          <w:rFonts w:ascii="Arial" w:hAnsi="Arial" w:cs="Arial"/>
          <w:color w:val="000000"/>
          <w:sz w:val="22"/>
          <w:szCs w:val="22"/>
          <w:lang w:val="fr-FR"/>
        </w:rPr>
        <w:t>cité</w:t>
      </w:r>
      <w:r w:rsidR="00CA2225" w:rsidRPr="004F507A">
        <w:rPr>
          <w:rFonts w:ascii="Arial" w:hAnsi="Arial" w:cs="Arial"/>
          <w:color w:val="000000"/>
          <w:sz w:val="22"/>
          <w:szCs w:val="22"/>
          <w:lang w:val="fr-FR"/>
        </w:rPr>
        <w:t>s à l</w:t>
      </w:r>
      <w:r w:rsidR="006D7B02" w:rsidRPr="004F507A">
        <w:rPr>
          <w:rFonts w:ascii="Arial" w:hAnsi="Arial" w:cs="Arial"/>
          <w:color w:val="000000"/>
          <w:sz w:val="22"/>
          <w:szCs w:val="22"/>
          <w:lang w:val="fr-FR"/>
        </w:rPr>
        <w:t>’</w:t>
      </w:r>
      <w:r w:rsidR="00CA2225" w:rsidRPr="004F507A">
        <w:rPr>
          <w:rFonts w:ascii="Arial" w:hAnsi="Arial" w:cs="Arial"/>
          <w:color w:val="000000"/>
          <w:sz w:val="22"/>
          <w:szCs w:val="22"/>
          <w:lang w:val="fr-FR"/>
        </w:rPr>
        <w:t>alinéa</w:t>
      </w:r>
      <w:r w:rsidR="000E59D1" w:rsidRPr="004F507A">
        <w:rPr>
          <w:rFonts w:ascii="Arial" w:hAnsi="Arial" w:cs="Arial"/>
          <w:color w:val="000000"/>
          <w:sz w:val="22"/>
          <w:szCs w:val="22"/>
          <w:lang w:val="fr-FR"/>
        </w:rPr>
        <w:t> </w:t>
      </w:r>
      <w:r w:rsidR="00CA2225" w:rsidRPr="004F507A">
        <w:rPr>
          <w:rFonts w:ascii="Arial" w:hAnsi="Arial" w:cs="Arial"/>
          <w:color w:val="000000"/>
          <w:sz w:val="22"/>
          <w:szCs w:val="22"/>
          <w:lang w:val="fr-FR"/>
        </w:rPr>
        <w:t xml:space="preserve">1 </w:t>
      </w:r>
      <w:r w:rsidR="008A6717">
        <w:rPr>
          <w:rFonts w:ascii="Arial" w:hAnsi="Arial" w:cs="Arial"/>
          <w:color w:val="000000"/>
          <w:sz w:val="22"/>
          <w:szCs w:val="22"/>
          <w:lang w:val="fr-FR"/>
        </w:rPr>
        <w:t>figurent</w:t>
      </w:r>
      <w:r w:rsidR="00CA2225" w:rsidRPr="004F507A">
        <w:rPr>
          <w:rFonts w:ascii="Arial" w:hAnsi="Arial" w:cs="Arial"/>
          <w:color w:val="000000"/>
          <w:sz w:val="22"/>
          <w:szCs w:val="22"/>
          <w:lang w:val="fr-FR"/>
        </w:rPr>
        <w:t xml:space="preserve"> également à l</w:t>
      </w:r>
      <w:r w:rsidR="006D7B02" w:rsidRPr="004F507A">
        <w:rPr>
          <w:rFonts w:ascii="Arial" w:hAnsi="Arial" w:cs="Arial"/>
          <w:color w:val="000000"/>
          <w:sz w:val="22"/>
          <w:szCs w:val="22"/>
          <w:lang w:val="fr-FR"/>
        </w:rPr>
        <w:t>’</w:t>
      </w:r>
      <w:r w:rsidR="00CA2225" w:rsidRPr="004F507A">
        <w:rPr>
          <w:rFonts w:ascii="Arial" w:hAnsi="Arial" w:cs="Arial"/>
          <w:color w:val="000000"/>
          <w:sz w:val="22"/>
          <w:szCs w:val="22"/>
          <w:lang w:val="fr-FR"/>
        </w:rPr>
        <w:t>alinéa</w:t>
      </w:r>
      <w:r w:rsidR="000E59D1" w:rsidRPr="004F507A">
        <w:rPr>
          <w:rFonts w:ascii="Arial" w:hAnsi="Arial" w:cs="Arial"/>
          <w:color w:val="000000"/>
          <w:sz w:val="22"/>
          <w:szCs w:val="22"/>
          <w:lang w:val="fr-FR"/>
        </w:rPr>
        <w:t> </w:t>
      </w:r>
      <w:r w:rsidR="00CA2225" w:rsidRPr="004F507A">
        <w:rPr>
          <w:rFonts w:ascii="Arial" w:hAnsi="Arial" w:cs="Arial"/>
          <w:color w:val="000000"/>
          <w:sz w:val="22"/>
          <w:szCs w:val="22"/>
          <w:lang w:val="fr-FR"/>
        </w:rPr>
        <w:t>2.</w:t>
      </w:r>
      <w:r w:rsidR="00F37517" w:rsidRPr="004F507A">
        <w:rPr>
          <w:rFonts w:ascii="Arial" w:hAnsi="Arial"/>
          <w:color w:val="000000"/>
          <w:sz w:val="22"/>
          <w:lang w:val="fr-FR"/>
        </w:rPr>
        <w:t xml:space="preserve"> </w:t>
      </w:r>
      <w:r w:rsidR="00227E86" w:rsidRPr="004F507A">
        <w:rPr>
          <w:rFonts w:ascii="Arial" w:hAnsi="Arial"/>
          <w:color w:val="000000"/>
          <w:sz w:val="22"/>
          <w:lang w:val="fr-FR"/>
        </w:rPr>
        <w:t xml:space="preserve"> </w:t>
      </w:r>
      <w:r w:rsidR="00CA2225" w:rsidRPr="004F507A">
        <w:rPr>
          <w:rFonts w:ascii="Arial" w:hAnsi="Arial" w:cs="Arial"/>
          <w:sz w:val="22"/>
          <w:szCs w:val="22"/>
          <w:lang w:val="fr-FR"/>
        </w:rPr>
        <w:t>S</w:t>
      </w:r>
      <w:r w:rsidR="006D7B02" w:rsidRPr="004F507A">
        <w:rPr>
          <w:rFonts w:ascii="Arial" w:hAnsi="Arial" w:cs="Arial"/>
          <w:sz w:val="22"/>
          <w:szCs w:val="22"/>
          <w:lang w:val="fr-FR"/>
        </w:rPr>
        <w:t>’</w:t>
      </w:r>
      <w:r w:rsidR="00CA2225" w:rsidRPr="004F507A">
        <w:rPr>
          <w:rFonts w:ascii="Arial" w:hAnsi="Arial" w:cs="Arial"/>
          <w:sz w:val="22"/>
          <w:szCs w:val="22"/>
          <w:lang w:val="fr-FR"/>
        </w:rPr>
        <w:t>il est vrai que ces deux</w:t>
      </w:r>
      <w:r w:rsidR="000E59D1" w:rsidRPr="004F507A">
        <w:rPr>
          <w:rFonts w:ascii="Arial" w:hAnsi="Arial" w:cs="Arial"/>
          <w:sz w:val="22"/>
          <w:szCs w:val="22"/>
          <w:lang w:val="fr-FR"/>
        </w:rPr>
        <w:t> </w:t>
      </w:r>
      <w:r w:rsidR="00CA2225" w:rsidRPr="004F507A">
        <w:rPr>
          <w:rFonts w:ascii="Arial" w:hAnsi="Arial" w:cs="Arial"/>
          <w:sz w:val="22"/>
          <w:szCs w:val="22"/>
          <w:lang w:val="fr-FR"/>
        </w:rPr>
        <w:t>alinéas sont similaires, l</w:t>
      </w:r>
      <w:r w:rsidR="006D7B02" w:rsidRPr="004F507A">
        <w:rPr>
          <w:rFonts w:ascii="Arial" w:hAnsi="Arial" w:cs="Arial"/>
          <w:sz w:val="22"/>
          <w:szCs w:val="22"/>
          <w:lang w:val="fr-FR"/>
        </w:rPr>
        <w:t>’</w:t>
      </w:r>
      <w:r w:rsidR="00CA2225" w:rsidRPr="004F507A">
        <w:rPr>
          <w:rFonts w:ascii="Arial" w:hAnsi="Arial" w:cs="Arial"/>
          <w:sz w:val="22"/>
          <w:szCs w:val="22"/>
          <w:lang w:val="fr-FR"/>
        </w:rPr>
        <w:t>alinéa</w:t>
      </w:r>
      <w:r w:rsidR="000E59D1" w:rsidRPr="004F507A">
        <w:rPr>
          <w:rFonts w:ascii="Arial" w:hAnsi="Arial" w:cs="Arial"/>
          <w:sz w:val="22"/>
          <w:szCs w:val="22"/>
          <w:lang w:val="fr-FR"/>
        </w:rPr>
        <w:t> </w:t>
      </w:r>
      <w:r w:rsidR="00CA2225" w:rsidRPr="004F507A">
        <w:rPr>
          <w:rFonts w:ascii="Arial" w:hAnsi="Arial" w:cs="Arial"/>
          <w:sz w:val="22"/>
          <w:szCs w:val="22"/>
          <w:lang w:val="fr-FR"/>
        </w:rPr>
        <w:t>2 vise</w:t>
      </w:r>
      <w:r w:rsidR="009F203D" w:rsidRPr="004F507A">
        <w:rPr>
          <w:rFonts w:ascii="Arial" w:hAnsi="Arial" w:cs="Arial"/>
          <w:sz w:val="22"/>
          <w:szCs w:val="22"/>
          <w:lang w:val="fr-FR"/>
        </w:rPr>
        <w:t>,</w:t>
      </w:r>
      <w:r w:rsidR="00CA2225" w:rsidRPr="004F507A">
        <w:rPr>
          <w:rFonts w:ascii="Arial" w:hAnsi="Arial" w:cs="Arial"/>
          <w:sz w:val="22"/>
          <w:szCs w:val="22"/>
          <w:lang w:val="fr-FR"/>
        </w:rPr>
        <w:t xml:space="preserve"> selon moi</w:t>
      </w:r>
      <w:r w:rsidR="009F203D" w:rsidRPr="004F507A">
        <w:rPr>
          <w:rFonts w:ascii="Arial" w:hAnsi="Arial" w:cs="Arial"/>
          <w:sz w:val="22"/>
          <w:szCs w:val="22"/>
          <w:lang w:val="fr-FR"/>
        </w:rPr>
        <w:t>,</w:t>
      </w:r>
      <w:r w:rsidR="00CA2225" w:rsidRPr="004F507A">
        <w:rPr>
          <w:rFonts w:ascii="Arial" w:hAnsi="Arial" w:cs="Arial"/>
          <w:sz w:val="22"/>
          <w:szCs w:val="22"/>
          <w:lang w:val="fr-FR"/>
        </w:rPr>
        <w:t xml:space="preserve"> à introduire le concept de </w:t>
      </w:r>
      <w:r w:rsidR="006D7B02" w:rsidRPr="004F507A">
        <w:rPr>
          <w:rFonts w:ascii="Arial" w:hAnsi="Arial" w:cs="Arial"/>
          <w:sz w:val="22"/>
          <w:szCs w:val="22"/>
          <w:lang w:val="fr-FR"/>
        </w:rPr>
        <w:t>“</w:t>
      </w:r>
      <w:r w:rsidR="00CA2225" w:rsidRPr="004F507A">
        <w:rPr>
          <w:rFonts w:ascii="Arial" w:hAnsi="Arial" w:cs="Arial"/>
          <w:sz w:val="22"/>
          <w:szCs w:val="22"/>
          <w:lang w:val="fr-FR"/>
        </w:rPr>
        <w:t>savoirs traditionnels protégés</w:t>
      </w:r>
      <w:r w:rsidR="006D7B02" w:rsidRPr="004F507A">
        <w:rPr>
          <w:rFonts w:ascii="Arial" w:hAnsi="Arial" w:cs="Arial"/>
          <w:sz w:val="22"/>
          <w:szCs w:val="22"/>
          <w:lang w:val="fr-FR"/>
        </w:rPr>
        <w:t>”</w:t>
      </w:r>
      <w:r w:rsidR="00CA2225" w:rsidRPr="004F507A">
        <w:rPr>
          <w:rFonts w:ascii="Arial" w:hAnsi="Arial" w:cs="Arial"/>
          <w:sz w:val="22"/>
          <w:szCs w:val="22"/>
          <w:lang w:val="fr-FR"/>
        </w:rPr>
        <w:t>, c</w:t>
      </w:r>
      <w:r w:rsidR="006D7B02" w:rsidRPr="004F507A">
        <w:rPr>
          <w:rFonts w:ascii="Arial" w:hAnsi="Arial" w:cs="Arial"/>
          <w:sz w:val="22"/>
          <w:szCs w:val="22"/>
          <w:lang w:val="fr-FR"/>
        </w:rPr>
        <w:t>’</w:t>
      </w:r>
      <w:r w:rsidR="00CA2225" w:rsidRPr="004F507A">
        <w:rPr>
          <w:rFonts w:ascii="Arial" w:hAnsi="Arial" w:cs="Arial"/>
          <w:sz w:val="22"/>
          <w:szCs w:val="22"/>
          <w:lang w:val="fr-FR"/>
        </w:rPr>
        <w:t>est</w:t>
      </w:r>
      <w:r w:rsidR="00525EB9">
        <w:rPr>
          <w:rFonts w:ascii="Arial" w:hAnsi="Arial" w:cs="Arial"/>
          <w:sz w:val="22"/>
          <w:szCs w:val="22"/>
          <w:lang w:val="fr-FR"/>
        </w:rPr>
        <w:noBreakHyphen/>
      </w:r>
      <w:r w:rsidR="00CA2225" w:rsidRPr="004F507A">
        <w:rPr>
          <w:rFonts w:ascii="Arial" w:hAnsi="Arial" w:cs="Arial"/>
          <w:sz w:val="22"/>
          <w:szCs w:val="22"/>
          <w:lang w:val="fr-FR"/>
        </w:rPr>
        <w:t>à</w:t>
      </w:r>
      <w:r w:rsidR="00525EB9">
        <w:rPr>
          <w:rFonts w:ascii="Arial" w:hAnsi="Arial" w:cs="Arial"/>
          <w:sz w:val="22"/>
          <w:szCs w:val="22"/>
          <w:lang w:val="fr-FR"/>
        </w:rPr>
        <w:noBreakHyphen/>
      </w:r>
      <w:r w:rsidR="00CA2225" w:rsidRPr="004F507A">
        <w:rPr>
          <w:rFonts w:ascii="Arial" w:hAnsi="Arial" w:cs="Arial"/>
          <w:sz w:val="22"/>
          <w:szCs w:val="22"/>
          <w:lang w:val="fr-FR"/>
        </w:rPr>
        <w:t>dire à définir les savoirs traditionnels qu</w:t>
      </w:r>
      <w:r w:rsidR="006D7B02" w:rsidRPr="004F507A">
        <w:rPr>
          <w:rFonts w:ascii="Arial" w:hAnsi="Arial" w:cs="Arial"/>
          <w:sz w:val="22"/>
          <w:szCs w:val="22"/>
          <w:lang w:val="fr-FR"/>
        </w:rPr>
        <w:t>’</w:t>
      </w:r>
      <w:r w:rsidR="00CA2225" w:rsidRPr="004F507A">
        <w:rPr>
          <w:rFonts w:ascii="Arial" w:hAnsi="Arial" w:cs="Arial"/>
          <w:sz w:val="22"/>
          <w:szCs w:val="22"/>
          <w:lang w:val="fr-FR"/>
        </w:rPr>
        <w:t xml:space="preserve">il convient de protéger </w:t>
      </w:r>
      <w:r w:rsidR="00424A26" w:rsidRPr="004F507A">
        <w:rPr>
          <w:rFonts w:ascii="Arial" w:hAnsi="Arial" w:cs="Arial"/>
          <w:sz w:val="22"/>
          <w:szCs w:val="22"/>
          <w:lang w:val="fr-FR"/>
        </w:rPr>
        <w:t>à l</w:t>
      </w:r>
      <w:r w:rsidR="006D7B02" w:rsidRPr="004F507A">
        <w:rPr>
          <w:rFonts w:ascii="Arial" w:hAnsi="Arial" w:cs="Arial"/>
          <w:sz w:val="22"/>
          <w:szCs w:val="22"/>
          <w:lang w:val="fr-FR"/>
        </w:rPr>
        <w:t>’</w:t>
      </w:r>
      <w:r w:rsidR="00424A26" w:rsidRPr="004F507A">
        <w:rPr>
          <w:rFonts w:ascii="Arial" w:hAnsi="Arial" w:cs="Arial"/>
          <w:sz w:val="22"/>
          <w:szCs w:val="22"/>
          <w:lang w:val="fr-FR"/>
        </w:rPr>
        <w:t>aide</w:t>
      </w:r>
      <w:r w:rsidR="00CA2225" w:rsidRPr="004F507A">
        <w:rPr>
          <w:rFonts w:ascii="Arial" w:hAnsi="Arial" w:cs="Arial"/>
          <w:sz w:val="22"/>
          <w:szCs w:val="22"/>
          <w:lang w:val="fr-FR"/>
        </w:rPr>
        <w:t xml:space="preserve"> de droits particuliers.</w:t>
      </w:r>
    </w:p>
    <w:p w:rsidR="004F60C4" w:rsidRPr="004F507A" w:rsidRDefault="00F20BD9" w:rsidP="002B5624">
      <w:pPr>
        <w:tabs>
          <w:tab w:val="left" w:pos="567"/>
        </w:tabs>
        <w:spacing w:after="240"/>
        <w:rPr>
          <w:rFonts w:ascii="Arial" w:hAnsi="Arial" w:cs="Arial"/>
          <w:sz w:val="22"/>
          <w:szCs w:val="22"/>
          <w:lang w:val="fr-FR"/>
        </w:rPr>
      </w:pPr>
      <w:r w:rsidRPr="004F507A">
        <w:rPr>
          <w:rFonts w:ascii="Arial" w:hAnsi="Arial" w:cs="Arial"/>
          <w:sz w:val="22"/>
          <w:szCs w:val="22"/>
          <w:lang w:val="fr-FR"/>
        </w:rPr>
        <w:fldChar w:fldCharType="begin"/>
      </w:r>
      <w:r w:rsidRPr="004F507A">
        <w:rPr>
          <w:rFonts w:ascii="Arial" w:hAnsi="Arial" w:cs="Arial"/>
          <w:sz w:val="22"/>
          <w:szCs w:val="22"/>
          <w:lang w:val="fr-FR"/>
        </w:rPr>
        <w:instrText xml:space="preserve"> AUTONUM  </w:instrText>
      </w:r>
      <w:r w:rsidRPr="004F507A">
        <w:rPr>
          <w:rFonts w:ascii="Arial" w:hAnsi="Arial" w:cs="Arial"/>
          <w:sz w:val="22"/>
          <w:szCs w:val="22"/>
          <w:lang w:val="fr-FR"/>
        </w:rPr>
        <w:fldChar w:fldCharType="end"/>
      </w:r>
      <w:r w:rsidRPr="004F507A">
        <w:rPr>
          <w:rFonts w:ascii="Arial" w:hAnsi="Arial" w:cs="Arial"/>
          <w:sz w:val="22"/>
          <w:szCs w:val="22"/>
          <w:lang w:val="fr-FR"/>
        </w:rPr>
        <w:tab/>
      </w:r>
      <w:r w:rsidR="00424A26" w:rsidRPr="004F507A">
        <w:rPr>
          <w:rFonts w:ascii="Arial" w:hAnsi="Arial" w:cs="Arial"/>
          <w:color w:val="000000"/>
          <w:sz w:val="22"/>
          <w:szCs w:val="22"/>
          <w:lang w:val="fr-FR"/>
        </w:rPr>
        <w:t>L</w:t>
      </w:r>
      <w:r w:rsidR="006D7B02" w:rsidRPr="004F507A">
        <w:rPr>
          <w:rFonts w:ascii="Arial" w:hAnsi="Arial" w:cs="Arial"/>
          <w:color w:val="000000"/>
          <w:sz w:val="22"/>
          <w:szCs w:val="22"/>
          <w:lang w:val="fr-FR"/>
        </w:rPr>
        <w:t>’</w:t>
      </w:r>
      <w:r w:rsidR="00424A26" w:rsidRPr="004F507A">
        <w:rPr>
          <w:rFonts w:ascii="Arial" w:hAnsi="Arial" w:cs="Arial"/>
          <w:color w:val="000000"/>
          <w:sz w:val="22"/>
          <w:szCs w:val="22"/>
          <w:lang w:val="fr-FR"/>
        </w:rPr>
        <w:t>article</w:t>
      </w:r>
      <w:r w:rsidR="000E59D1" w:rsidRPr="004F507A">
        <w:rPr>
          <w:rFonts w:ascii="Arial" w:hAnsi="Arial" w:cs="Arial"/>
          <w:color w:val="000000"/>
          <w:sz w:val="22"/>
          <w:szCs w:val="22"/>
          <w:lang w:val="fr-FR"/>
        </w:rPr>
        <w:t> </w:t>
      </w:r>
      <w:r w:rsidR="00424A26" w:rsidRPr="004F507A">
        <w:rPr>
          <w:rFonts w:ascii="Arial" w:hAnsi="Arial" w:cs="Arial"/>
          <w:color w:val="000000"/>
          <w:sz w:val="22"/>
          <w:szCs w:val="22"/>
          <w:lang w:val="fr-FR"/>
        </w:rPr>
        <w:t xml:space="preserve">3, </w:t>
      </w:r>
      <w:r w:rsidR="00192CB7">
        <w:rPr>
          <w:rFonts w:ascii="Arial" w:hAnsi="Arial" w:cs="Arial"/>
          <w:color w:val="000000"/>
          <w:sz w:val="22"/>
          <w:szCs w:val="22"/>
          <w:lang w:val="fr-FR"/>
        </w:rPr>
        <w:t>“</w:t>
      </w:r>
      <w:r w:rsidR="00424A26" w:rsidRPr="004F507A">
        <w:rPr>
          <w:rFonts w:ascii="Arial" w:hAnsi="Arial" w:cs="Arial"/>
          <w:color w:val="000000"/>
          <w:sz w:val="22"/>
          <w:szCs w:val="22"/>
          <w:lang w:val="fr-FR"/>
        </w:rPr>
        <w:t>Objet de la protection</w:t>
      </w:r>
      <w:r w:rsidR="00192CB7">
        <w:rPr>
          <w:rFonts w:ascii="Arial" w:hAnsi="Arial" w:cs="Arial"/>
          <w:color w:val="000000"/>
          <w:sz w:val="22"/>
          <w:szCs w:val="22"/>
          <w:lang w:val="fr-FR"/>
        </w:rPr>
        <w:t>”</w:t>
      </w:r>
      <w:r w:rsidR="00424A26" w:rsidRPr="004F507A">
        <w:rPr>
          <w:rFonts w:ascii="Arial" w:hAnsi="Arial" w:cs="Arial"/>
          <w:color w:val="000000"/>
          <w:sz w:val="22"/>
          <w:szCs w:val="22"/>
          <w:lang w:val="fr-FR"/>
        </w:rPr>
        <w:t xml:space="preserve">, décrit </w:t>
      </w:r>
      <w:r w:rsidR="00D41C28" w:rsidRPr="004F507A">
        <w:rPr>
          <w:rFonts w:ascii="Arial" w:hAnsi="Arial" w:cs="Arial"/>
          <w:color w:val="000000"/>
          <w:sz w:val="22"/>
          <w:szCs w:val="22"/>
          <w:lang w:val="fr-FR"/>
        </w:rPr>
        <w:t>également</w:t>
      </w:r>
      <w:r w:rsidR="00424A26" w:rsidRPr="004F507A">
        <w:rPr>
          <w:rFonts w:ascii="Arial" w:hAnsi="Arial" w:cs="Arial"/>
          <w:color w:val="000000"/>
          <w:sz w:val="22"/>
          <w:szCs w:val="22"/>
          <w:lang w:val="fr-FR"/>
        </w:rPr>
        <w:t xml:space="preserve"> des critères à remplir pour bénéficier de la protection, mais </w:t>
      </w:r>
      <w:r w:rsidR="00D41C28" w:rsidRPr="004F507A">
        <w:rPr>
          <w:rFonts w:ascii="Arial" w:hAnsi="Arial" w:cs="Arial"/>
          <w:color w:val="000000"/>
          <w:sz w:val="22"/>
          <w:szCs w:val="22"/>
          <w:lang w:val="fr-FR"/>
        </w:rPr>
        <w:t xml:space="preserve">qui </w:t>
      </w:r>
      <w:r w:rsidR="00424A26" w:rsidRPr="004F507A">
        <w:rPr>
          <w:rFonts w:ascii="Arial" w:hAnsi="Arial" w:cs="Arial"/>
          <w:color w:val="000000"/>
          <w:sz w:val="22"/>
          <w:szCs w:val="22"/>
          <w:lang w:val="fr-FR"/>
        </w:rPr>
        <w:t>diff</w:t>
      </w:r>
      <w:r w:rsidR="00D41C28" w:rsidRPr="004F507A">
        <w:rPr>
          <w:rFonts w:ascii="Arial" w:hAnsi="Arial" w:cs="Arial"/>
          <w:color w:val="000000"/>
          <w:sz w:val="22"/>
          <w:szCs w:val="22"/>
          <w:lang w:val="fr-FR"/>
        </w:rPr>
        <w:t>è</w:t>
      </w:r>
      <w:r w:rsidR="00424A26" w:rsidRPr="004F507A">
        <w:rPr>
          <w:rFonts w:ascii="Arial" w:hAnsi="Arial" w:cs="Arial"/>
          <w:color w:val="000000"/>
          <w:sz w:val="22"/>
          <w:szCs w:val="22"/>
          <w:lang w:val="fr-FR"/>
        </w:rPr>
        <w:t>rent de ceux de l</w:t>
      </w:r>
      <w:r w:rsidR="006D7B02" w:rsidRPr="004F507A">
        <w:rPr>
          <w:rFonts w:ascii="Arial" w:hAnsi="Arial" w:cs="Arial"/>
          <w:color w:val="000000"/>
          <w:sz w:val="22"/>
          <w:szCs w:val="22"/>
          <w:lang w:val="fr-FR"/>
        </w:rPr>
        <w:t>’</w:t>
      </w:r>
      <w:r w:rsidR="00424A26" w:rsidRPr="004F507A">
        <w:rPr>
          <w:rFonts w:ascii="Arial" w:hAnsi="Arial" w:cs="Arial"/>
          <w:color w:val="000000"/>
          <w:sz w:val="22"/>
          <w:szCs w:val="22"/>
          <w:lang w:val="fr-FR"/>
        </w:rPr>
        <w:t>alinéa</w:t>
      </w:r>
      <w:r w:rsidR="000E59D1" w:rsidRPr="004F507A">
        <w:rPr>
          <w:rFonts w:ascii="Arial" w:hAnsi="Arial" w:cs="Arial"/>
          <w:color w:val="000000"/>
          <w:sz w:val="22"/>
          <w:szCs w:val="22"/>
          <w:lang w:val="fr-FR"/>
        </w:rPr>
        <w:t> </w:t>
      </w:r>
      <w:r w:rsidR="00424A26" w:rsidRPr="004F507A">
        <w:rPr>
          <w:rFonts w:ascii="Arial" w:hAnsi="Arial" w:cs="Arial"/>
          <w:color w:val="000000"/>
          <w:sz w:val="22"/>
          <w:szCs w:val="22"/>
          <w:lang w:val="fr-FR"/>
        </w:rPr>
        <w:t>2 de l</w:t>
      </w:r>
      <w:r w:rsidR="006D7B02" w:rsidRPr="004F507A">
        <w:rPr>
          <w:rFonts w:ascii="Arial" w:hAnsi="Arial" w:cs="Arial"/>
          <w:color w:val="000000"/>
          <w:sz w:val="22"/>
          <w:szCs w:val="22"/>
          <w:lang w:val="fr-FR"/>
        </w:rPr>
        <w:t>’</w:t>
      </w:r>
      <w:r w:rsidR="00424A26" w:rsidRPr="004F507A">
        <w:rPr>
          <w:rFonts w:ascii="Arial" w:hAnsi="Arial" w:cs="Arial"/>
          <w:color w:val="000000"/>
          <w:sz w:val="22"/>
          <w:szCs w:val="22"/>
          <w:lang w:val="fr-FR"/>
        </w:rPr>
        <w:t>article</w:t>
      </w:r>
      <w:r w:rsidR="000E59D1" w:rsidRPr="004F507A">
        <w:rPr>
          <w:rFonts w:ascii="Arial" w:hAnsi="Arial" w:cs="Arial"/>
          <w:color w:val="000000"/>
          <w:sz w:val="22"/>
          <w:szCs w:val="22"/>
          <w:lang w:val="fr-FR"/>
        </w:rPr>
        <w:t> </w:t>
      </w:r>
      <w:r w:rsidR="00424A26" w:rsidRPr="004F507A">
        <w:rPr>
          <w:rFonts w:ascii="Arial" w:hAnsi="Arial" w:cs="Arial"/>
          <w:color w:val="000000"/>
          <w:sz w:val="22"/>
          <w:szCs w:val="22"/>
          <w:lang w:val="fr-FR"/>
        </w:rPr>
        <w:t>1.  L</w:t>
      </w:r>
      <w:r w:rsidR="006D7B02" w:rsidRPr="004F507A">
        <w:rPr>
          <w:rFonts w:ascii="Arial" w:hAnsi="Arial" w:cs="Arial"/>
          <w:color w:val="000000"/>
          <w:sz w:val="22"/>
          <w:szCs w:val="22"/>
          <w:lang w:val="fr-FR"/>
        </w:rPr>
        <w:t>’</w:t>
      </w:r>
      <w:r w:rsidR="00424A26" w:rsidRPr="004F507A">
        <w:rPr>
          <w:rFonts w:ascii="Arial" w:hAnsi="Arial" w:cs="Arial"/>
          <w:color w:val="000000"/>
          <w:sz w:val="22"/>
          <w:szCs w:val="22"/>
          <w:lang w:val="fr-FR"/>
        </w:rPr>
        <w:t>IGC pourrait réfléchir à l</w:t>
      </w:r>
      <w:r w:rsidR="006D7B02" w:rsidRPr="004F507A">
        <w:rPr>
          <w:rFonts w:ascii="Arial" w:hAnsi="Arial" w:cs="Arial"/>
          <w:color w:val="000000"/>
          <w:sz w:val="22"/>
          <w:szCs w:val="22"/>
          <w:lang w:val="fr-FR"/>
        </w:rPr>
        <w:t>’</w:t>
      </w:r>
      <w:r w:rsidR="00424A26" w:rsidRPr="004F507A">
        <w:rPr>
          <w:rFonts w:ascii="Arial" w:hAnsi="Arial" w:cs="Arial"/>
          <w:color w:val="000000"/>
          <w:sz w:val="22"/>
          <w:szCs w:val="22"/>
          <w:lang w:val="fr-FR"/>
        </w:rPr>
        <w:t xml:space="preserve">endroit où il convient de </w:t>
      </w:r>
      <w:r w:rsidR="003405A9" w:rsidRPr="004F507A">
        <w:rPr>
          <w:rFonts w:ascii="Arial" w:hAnsi="Arial" w:cs="Arial"/>
          <w:color w:val="000000"/>
          <w:sz w:val="22"/>
          <w:szCs w:val="22"/>
          <w:lang w:val="fr-FR"/>
        </w:rPr>
        <w:t>formuler</w:t>
      </w:r>
      <w:r w:rsidR="00424A26" w:rsidRPr="004F507A">
        <w:rPr>
          <w:rFonts w:ascii="Arial" w:hAnsi="Arial" w:cs="Arial"/>
          <w:color w:val="000000"/>
          <w:sz w:val="22"/>
          <w:szCs w:val="22"/>
          <w:lang w:val="fr-FR"/>
        </w:rPr>
        <w:t xml:space="preserve"> </w:t>
      </w:r>
      <w:r w:rsidR="008A6717">
        <w:rPr>
          <w:rFonts w:ascii="Arial" w:hAnsi="Arial" w:cs="Arial"/>
          <w:color w:val="000000"/>
          <w:sz w:val="22"/>
          <w:szCs w:val="22"/>
          <w:lang w:val="fr-FR"/>
        </w:rPr>
        <w:t>de tels</w:t>
      </w:r>
      <w:r w:rsidR="00D41C28" w:rsidRPr="004F507A">
        <w:rPr>
          <w:rFonts w:ascii="Arial" w:hAnsi="Arial" w:cs="Arial"/>
          <w:color w:val="000000"/>
          <w:sz w:val="22"/>
          <w:szCs w:val="22"/>
          <w:lang w:val="fr-FR"/>
        </w:rPr>
        <w:t xml:space="preserve"> critères, </w:t>
      </w:r>
      <w:r w:rsidR="00424A26" w:rsidRPr="004F507A">
        <w:rPr>
          <w:rFonts w:ascii="Arial" w:hAnsi="Arial" w:cs="Arial"/>
          <w:color w:val="000000"/>
          <w:sz w:val="22"/>
          <w:szCs w:val="22"/>
          <w:lang w:val="fr-FR"/>
        </w:rPr>
        <w:t>ainsi qu</w:t>
      </w:r>
      <w:r w:rsidR="006D7B02" w:rsidRPr="004F507A">
        <w:rPr>
          <w:rFonts w:ascii="Arial" w:hAnsi="Arial" w:cs="Arial"/>
          <w:color w:val="000000"/>
          <w:sz w:val="22"/>
          <w:szCs w:val="22"/>
          <w:lang w:val="fr-FR"/>
        </w:rPr>
        <w:t>’</w:t>
      </w:r>
      <w:r w:rsidR="00424A26" w:rsidRPr="004F507A">
        <w:rPr>
          <w:rFonts w:ascii="Arial" w:hAnsi="Arial" w:cs="Arial"/>
          <w:color w:val="000000"/>
          <w:sz w:val="22"/>
          <w:szCs w:val="22"/>
          <w:lang w:val="fr-FR"/>
        </w:rPr>
        <w:t>à l</w:t>
      </w:r>
      <w:r w:rsidR="006D7B02" w:rsidRPr="004F507A">
        <w:rPr>
          <w:rFonts w:ascii="Arial" w:hAnsi="Arial" w:cs="Arial"/>
          <w:color w:val="000000"/>
          <w:sz w:val="22"/>
          <w:szCs w:val="22"/>
          <w:lang w:val="fr-FR"/>
        </w:rPr>
        <w:t>’</w:t>
      </w:r>
      <w:r w:rsidR="00424A26" w:rsidRPr="004F507A">
        <w:rPr>
          <w:rFonts w:ascii="Arial" w:hAnsi="Arial" w:cs="Arial"/>
          <w:color w:val="000000"/>
          <w:sz w:val="22"/>
          <w:szCs w:val="22"/>
          <w:lang w:val="fr-FR"/>
        </w:rPr>
        <w:t xml:space="preserve">opportunité </w:t>
      </w:r>
      <w:r w:rsidR="00D41C28" w:rsidRPr="004F507A">
        <w:rPr>
          <w:rFonts w:ascii="Arial" w:hAnsi="Arial" w:cs="Arial"/>
          <w:color w:val="000000"/>
          <w:sz w:val="22"/>
          <w:szCs w:val="22"/>
          <w:lang w:val="fr-FR"/>
        </w:rPr>
        <w:t xml:space="preserve">de tous les </w:t>
      </w:r>
      <w:r w:rsidR="00AD195A" w:rsidRPr="004F507A">
        <w:rPr>
          <w:rFonts w:ascii="Arial" w:hAnsi="Arial" w:cs="Arial"/>
          <w:color w:val="000000"/>
          <w:sz w:val="22"/>
          <w:szCs w:val="22"/>
          <w:lang w:val="fr-FR"/>
        </w:rPr>
        <w:t>fusionn</w:t>
      </w:r>
      <w:r w:rsidR="004F507A" w:rsidRPr="004F507A">
        <w:rPr>
          <w:rFonts w:ascii="Arial" w:hAnsi="Arial" w:cs="Arial"/>
          <w:color w:val="000000"/>
          <w:sz w:val="22"/>
          <w:szCs w:val="22"/>
          <w:lang w:val="fr-FR"/>
        </w:rPr>
        <w:t>er.  On</w:t>
      </w:r>
      <w:r w:rsidR="003405A9" w:rsidRPr="004F507A">
        <w:rPr>
          <w:rFonts w:ascii="Arial" w:hAnsi="Arial" w:cs="Arial"/>
          <w:color w:val="000000"/>
          <w:sz w:val="22"/>
          <w:szCs w:val="22"/>
          <w:lang w:val="fr-FR"/>
        </w:rPr>
        <w:t xml:space="preserve"> peut en outre se demander</w:t>
      </w:r>
      <w:r w:rsidR="00AD195A" w:rsidRPr="004F507A">
        <w:rPr>
          <w:rFonts w:ascii="Arial" w:hAnsi="Arial" w:cs="Arial"/>
          <w:color w:val="000000"/>
          <w:sz w:val="22"/>
          <w:szCs w:val="22"/>
          <w:lang w:val="fr-FR"/>
        </w:rPr>
        <w:t xml:space="preserve"> s</w:t>
      </w:r>
      <w:r w:rsidR="006D7B02" w:rsidRPr="004F507A">
        <w:rPr>
          <w:rFonts w:ascii="Arial" w:hAnsi="Arial" w:cs="Arial"/>
          <w:color w:val="000000"/>
          <w:sz w:val="22"/>
          <w:szCs w:val="22"/>
          <w:lang w:val="fr-FR"/>
        </w:rPr>
        <w:t>’</w:t>
      </w:r>
      <w:r w:rsidR="00AD195A" w:rsidRPr="004F507A">
        <w:rPr>
          <w:rFonts w:ascii="Arial" w:hAnsi="Arial" w:cs="Arial"/>
          <w:color w:val="000000"/>
          <w:sz w:val="22"/>
          <w:szCs w:val="22"/>
          <w:lang w:val="fr-FR"/>
        </w:rPr>
        <w:t xml:space="preserve">il est </w:t>
      </w:r>
      <w:r w:rsidR="004241CB" w:rsidRPr="004F507A">
        <w:rPr>
          <w:rFonts w:ascii="Arial" w:hAnsi="Arial" w:cs="Arial"/>
          <w:color w:val="000000"/>
          <w:sz w:val="22"/>
          <w:szCs w:val="22"/>
          <w:lang w:val="fr-FR"/>
        </w:rPr>
        <w:t xml:space="preserve">de toute façon </w:t>
      </w:r>
      <w:r w:rsidR="00AD195A" w:rsidRPr="004F507A">
        <w:rPr>
          <w:rFonts w:ascii="Arial" w:hAnsi="Arial" w:cs="Arial"/>
          <w:color w:val="000000"/>
          <w:sz w:val="22"/>
          <w:szCs w:val="22"/>
          <w:lang w:val="fr-FR"/>
        </w:rPr>
        <w:t xml:space="preserve">nécessaire </w:t>
      </w:r>
      <w:r w:rsidR="003405A9" w:rsidRPr="004F507A">
        <w:rPr>
          <w:rFonts w:ascii="Arial" w:hAnsi="Arial" w:cs="Arial"/>
          <w:color w:val="000000"/>
          <w:sz w:val="22"/>
          <w:szCs w:val="22"/>
          <w:lang w:val="fr-FR"/>
        </w:rPr>
        <w:t>de faire figurer</w:t>
      </w:r>
      <w:r w:rsidR="00AD195A" w:rsidRPr="004F507A">
        <w:rPr>
          <w:rFonts w:ascii="Arial" w:hAnsi="Arial" w:cs="Arial"/>
          <w:color w:val="000000"/>
          <w:sz w:val="22"/>
          <w:szCs w:val="22"/>
          <w:lang w:val="fr-FR"/>
        </w:rPr>
        <w:t xml:space="preserve"> des critères pour </w:t>
      </w:r>
      <w:r w:rsidR="00D41C28" w:rsidRPr="004F507A">
        <w:rPr>
          <w:rFonts w:ascii="Arial" w:hAnsi="Arial" w:cs="Arial"/>
          <w:color w:val="000000"/>
          <w:sz w:val="22"/>
          <w:szCs w:val="22"/>
          <w:lang w:val="fr-FR"/>
        </w:rPr>
        <w:t xml:space="preserve">bénéficier de </w:t>
      </w:r>
      <w:r w:rsidR="00AD195A" w:rsidRPr="004F507A">
        <w:rPr>
          <w:rFonts w:ascii="Arial" w:hAnsi="Arial" w:cs="Arial"/>
          <w:color w:val="000000"/>
          <w:sz w:val="22"/>
          <w:szCs w:val="22"/>
          <w:lang w:val="fr-FR"/>
        </w:rPr>
        <w:t>la protection à l</w:t>
      </w:r>
      <w:r w:rsidR="006D7B02" w:rsidRPr="004F507A">
        <w:rPr>
          <w:rFonts w:ascii="Arial" w:hAnsi="Arial" w:cs="Arial"/>
          <w:color w:val="000000"/>
          <w:sz w:val="22"/>
          <w:szCs w:val="22"/>
          <w:lang w:val="fr-FR"/>
        </w:rPr>
        <w:t>’</w:t>
      </w:r>
      <w:r w:rsidR="00AD195A" w:rsidRPr="004F507A">
        <w:rPr>
          <w:rFonts w:ascii="Arial" w:hAnsi="Arial" w:cs="Arial"/>
          <w:color w:val="000000"/>
          <w:sz w:val="22"/>
          <w:szCs w:val="22"/>
          <w:lang w:val="fr-FR"/>
        </w:rPr>
        <w:t>article</w:t>
      </w:r>
      <w:r w:rsidR="000E59D1" w:rsidRPr="004F507A">
        <w:rPr>
          <w:rFonts w:ascii="Arial" w:hAnsi="Arial" w:cs="Arial"/>
          <w:color w:val="000000"/>
          <w:sz w:val="22"/>
          <w:szCs w:val="22"/>
          <w:lang w:val="fr-FR"/>
        </w:rPr>
        <w:t> </w:t>
      </w:r>
      <w:r w:rsidR="00AD195A" w:rsidRPr="004F507A">
        <w:rPr>
          <w:rFonts w:ascii="Arial" w:hAnsi="Arial" w:cs="Arial"/>
          <w:color w:val="000000"/>
          <w:sz w:val="22"/>
          <w:szCs w:val="22"/>
          <w:lang w:val="fr-FR"/>
        </w:rPr>
        <w:t>1, dans la mesure où, de l</w:t>
      </w:r>
      <w:r w:rsidR="006D7B02" w:rsidRPr="004F507A">
        <w:rPr>
          <w:rFonts w:ascii="Arial" w:hAnsi="Arial" w:cs="Arial"/>
          <w:color w:val="000000"/>
          <w:sz w:val="22"/>
          <w:szCs w:val="22"/>
          <w:lang w:val="fr-FR"/>
        </w:rPr>
        <w:t>’</w:t>
      </w:r>
      <w:r w:rsidR="00AD195A" w:rsidRPr="004F507A">
        <w:rPr>
          <w:rFonts w:ascii="Arial" w:hAnsi="Arial" w:cs="Arial"/>
          <w:color w:val="000000"/>
          <w:sz w:val="22"/>
          <w:szCs w:val="22"/>
          <w:lang w:val="fr-FR"/>
        </w:rPr>
        <w:t xml:space="preserve">avis de certaines délégations, </w:t>
      </w:r>
      <w:r w:rsidR="003405A9" w:rsidRPr="004F507A">
        <w:rPr>
          <w:rFonts w:ascii="Arial" w:hAnsi="Arial" w:cs="Arial"/>
          <w:color w:val="000000"/>
          <w:sz w:val="22"/>
          <w:szCs w:val="22"/>
          <w:lang w:val="fr-FR"/>
        </w:rPr>
        <w:t>l</w:t>
      </w:r>
      <w:r w:rsidR="006D7B02" w:rsidRPr="004F507A">
        <w:rPr>
          <w:rFonts w:ascii="Arial" w:hAnsi="Arial" w:cs="Arial"/>
          <w:color w:val="000000"/>
          <w:sz w:val="22"/>
          <w:szCs w:val="22"/>
          <w:lang w:val="fr-FR"/>
        </w:rPr>
        <w:t>’</w:t>
      </w:r>
      <w:r w:rsidR="003405A9" w:rsidRPr="004F507A">
        <w:rPr>
          <w:rFonts w:ascii="Arial" w:hAnsi="Arial" w:cs="Arial"/>
          <w:color w:val="000000"/>
          <w:sz w:val="22"/>
          <w:szCs w:val="22"/>
          <w:lang w:val="fr-FR"/>
        </w:rPr>
        <w:t xml:space="preserve">étendue de la protection et les exceptions et limitations </w:t>
      </w:r>
      <w:r w:rsidR="00585562" w:rsidRPr="004F507A">
        <w:rPr>
          <w:rFonts w:ascii="Arial" w:hAnsi="Arial" w:cs="Arial"/>
          <w:color w:val="000000"/>
          <w:sz w:val="22"/>
          <w:szCs w:val="22"/>
          <w:lang w:val="fr-FR"/>
        </w:rPr>
        <w:t>pourrai</w:t>
      </w:r>
      <w:r w:rsidR="003405A9" w:rsidRPr="004F507A">
        <w:rPr>
          <w:rFonts w:ascii="Arial" w:hAnsi="Arial" w:cs="Arial"/>
          <w:color w:val="000000"/>
          <w:sz w:val="22"/>
          <w:szCs w:val="22"/>
          <w:lang w:val="fr-FR"/>
        </w:rPr>
        <w:t>en</w:t>
      </w:r>
      <w:r w:rsidR="00585562" w:rsidRPr="004F507A">
        <w:rPr>
          <w:rFonts w:ascii="Arial" w:hAnsi="Arial" w:cs="Arial"/>
          <w:color w:val="000000"/>
          <w:sz w:val="22"/>
          <w:szCs w:val="22"/>
          <w:lang w:val="fr-FR"/>
        </w:rPr>
        <w:t xml:space="preserve">t </w:t>
      </w:r>
      <w:r w:rsidR="003405A9" w:rsidRPr="004F507A">
        <w:rPr>
          <w:rFonts w:ascii="Arial" w:hAnsi="Arial" w:cs="Arial"/>
          <w:color w:val="000000"/>
          <w:sz w:val="22"/>
          <w:szCs w:val="22"/>
          <w:lang w:val="fr-FR"/>
        </w:rPr>
        <w:t xml:space="preserve">suffire pour </w:t>
      </w:r>
      <w:r w:rsidR="00585562" w:rsidRPr="004F507A">
        <w:rPr>
          <w:rFonts w:ascii="Arial" w:hAnsi="Arial" w:cs="Arial"/>
          <w:color w:val="000000"/>
          <w:sz w:val="22"/>
          <w:szCs w:val="22"/>
          <w:lang w:val="fr-FR"/>
        </w:rPr>
        <w:t>définir ce qu</w:t>
      </w:r>
      <w:r w:rsidR="006D7B02" w:rsidRPr="004F507A">
        <w:rPr>
          <w:rFonts w:ascii="Arial" w:hAnsi="Arial" w:cs="Arial"/>
          <w:color w:val="000000"/>
          <w:sz w:val="22"/>
          <w:szCs w:val="22"/>
          <w:lang w:val="fr-FR"/>
        </w:rPr>
        <w:t>’</w:t>
      </w:r>
      <w:r w:rsidR="00585562" w:rsidRPr="004F507A">
        <w:rPr>
          <w:rFonts w:ascii="Arial" w:hAnsi="Arial" w:cs="Arial"/>
          <w:color w:val="000000"/>
          <w:sz w:val="22"/>
          <w:szCs w:val="22"/>
          <w:lang w:val="fr-FR"/>
        </w:rPr>
        <w:t>il convient de protéger en définitive</w:t>
      </w:r>
      <w:r w:rsidR="00AD195A" w:rsidRPr="004F507A">
        <w:rPr>
          <w:rFonts w:ascii="Arial" w:hAnsi="Arial" w:cs="Arial"/>
          <w:color w:val="000000"/>
          <w:sz w:val="22"/>
          <w:szCs w:val="22"/>
          <w:lang w:val="fr-FR"/>
        </w:rPr>
        <w:t>.</w:t>
      </w:r>
    </w:p>
    <w:p w:rsidR="004F60C4" w:rsidRPr="004F507A" w:rsidRDefault="00AD195A" w:rsidP="002B5624">
      <w:pPr>
        <w:tabs>
          <w:tab w:val="left" w:pos="567"/>
        </w:tabs>
        <w:spacing w:after="240"/>
        <w:rPr>
          <w:rFonts w:ascii="Arial" w:hAnsi="Arial" w:cs="Arial"/>
          <w:sz w:val="22"/>
          <w:szCs w:val="22"/>
          <w:u w:val="single"/>
          <w:lang w:val="fr-FR"/>
        </w:rPr>
      </w:pPr>
      <w:r w:rsidRPr="004F507A">
        <w:rPr>
          <w:rFonts w:ascii="Arial" w:hAnsi="Arial" w:cs="Arial"/>
          <w:sz w:val="22"/>
          <w:szCs w:val="22"/>
          <w:u w:val="single"/>
          <w:lang w:val="fr-FR"/>
        </w:rPr>
        <w:t>Étendue de la protection</w:t>
      </w:r>
    </w:p>
    <w:p w:rsidR="004F60C4" w:rsidRPr="004F507A" w:rsidRDefault="00D663B7" w:rsidP="002B5624">
      <w:pPr>
        <w:tabs>
          <w:tab w:val="left" w:pos="567"/>
        </w:tabs>
        <w:spacing w:after="240"/>
        <w:rPr>
          <w:rFonts w:ascii="Arial" w:hAnsi="Arial" w:cs="Arial"/>
          <w:sz w:val="22"/>
          <w:szCs w:val="22"/>
          <w:lang w:val="fr-FR"/>
        </w:rPr>
      </w:pPr>
      <w:r w:rsidRPr="004F507A">
        <w:rPr>
          <w:rFonts w:ascii="Arial" w:hAnsi="Arial" w:cs="Arial"/>
          <w:sz w:val="22"/>
          <w:szCs w:val="22"/>
          <w:lang w:val="fr-FR"/>
        </w:rPr>
        <w:fldChar w:fldCharType="begin"/>
      </w:r>
      <w:r w:rsidRPr="004F507A">
        <w:rPr>
          <w:rFonts w:ascii="Arial" w:hAnsi="Arial" w:cs="Arial"/>
          <w:sz w:val="22"/>
          <w:szCs w:val="22"/>
          <w:lang w:val="fr-FR"/>
        </w:rPr>
        <w:instrText xml:space="preserve"> AUTONUM  </w:instrText>
      </w:r>
      <w:r w:rsidRPr="004F507A">
        <w:rPr>
          <w:rFonts w:ascii="Arial" w:hAnsi="Arial" w:cs="Arial"/>
          <w:sz w:val="22"/>
          <w:szCs w:val="22"/>
          <w:lang w:val="fr-FR"/>
        </w:rPr>
        <w:fldChar w:fldCharType="end"/>
      </w:r>
      <w:r w:rsidRPr="004F507A">
        <w:rPr>
          <w:rFonts w:ascii="Arial" w:hAnsi="Arial" w:cs="Arial"/>
          <w:sz w:val="22"/>
          <w:szCs w:val="22"/>
          <w:lang w:val="fr-FR"/>
        </w:rPr>
        <w:tab/>
      </w:r>
      <w:r w:rsidR="003C7B75" w:rsidRPr="004F507A">
        <w:rPr>
          <w:rFonts w:ascii="Arial" w:hAnsi="Arial" w:cs="Arial"/>
          <w:color w:val="000000"/>
          <w:sz w:val="22"/>
          <w:szCs w:val="22"/>
          <w:lang w:val="fr-FR"/>
        </w:rPr>
        <w:t>Comme évoqué plus haut, l</w:t>
      </w:r>
      <w:r w:rsidR="006D7B02" w:rsidRPr="004F507A">
        <w:rPr>
          <w:rFonts w:ascii="Arial" w:hAnsi="Arial" w:cs="Arial"/>
          <w:color w:val="000000"/>
          <w:sz w:val="22"/>
          <w:szCs w:val="22"/>
          <w:lang w:val="fr-FR"/>
        </w:rPr>
        <w:t>’</w:t>
      </w:r>
      <w:r w:rsidR="003C7B75" w:rsidRPr="004F507A">
        <w:rPr>
          <w:rFonts w:ascii="Arial" w:hAnsi="Arial" w:cs="Arial"/>
          <w:color w:val="000000"/>
          <w:sz w:val="22"/>
          <w:szCs w:val="22"/>
          <w:lang w:val="fr-FR"/>
        </w:rPr>
        <w:t>IGC, à sa vingt</w:t>
      </w:r>
      <w:r w:rsidR="00525EB9">
        <w:rPr>
          <w:rFonts w:ascii="Arial" w:hAnsi="Arial" w:cs="Arial"/>
          <w:color w:val="000000"/>
          <w:sz w:val="22"/>
          <w:szCs w:val="22"/>
          <w:lang w:val="fr-FR"/>
        </w:rPr>
        <w:noBreakHyphen/>
      </w:r>
      <w:r w:rsidR="003C7B75" w:rsidRPr="004F507A">
        <w:rPr>
          <w:rFonts w:ascii="Arial" w:hAnsi="Arial" w:cs="Arial"/>
          <w:color w:val="000000"/>
          <w:sz w:val="22"/>
          <w:szCs w:val="22"/>
          <w:lang w:val="fr-FR"/>
        </w:rPr>
        <w:t>septième</w:t>
      </w:r>
      <w:r w:rsidR="000E59D1" w:rsidRPr="004F507A">
        <w:rPr>
          <w:rFonts w:ascii="Arial" w:hAnsi="Arial" w:cs="Arial"/>
          <w:color w:val="000000"/>
          <w:sz w:val="22"/>
          <w:szCs w:val="22"/>
          <w:lang w:val="fr-FR"/>
        </w:rPr>
        <w:t> </w:t>
      </w:r>
      <w:r w:rsidR="003C7B75" w:rsidRPr="004F507A">
        <w:rPr>
          <w:rFonts w:ascii="Arial" w:hAnsi="Arial" w:cs="Arial"/>
          <w:color w:val="000000"/>
          <w:sz w:val="22"/>
          <w:szCs w:val="22"/>
          <w:lang w:val="fr-FR"/>
        </w:rPr>
        <w:t>session, a présenté une approche progressive concernant l</w:t>
      </w:r>
      <w:r w:rsidR="006D7B02" w:rsidRPr="004F507A">
        <w:rPr>
          <w:rFonts w:ascii="Arial" w:hAnsi="Arial" w:cs="Arial"/>
          <w:color w:val="000000"/>
          <w:sz w:val="22"/>
          <w:szCs w:val="22"/>
          <w:lang w:val="fr-FR"/>
        </w:rPr>
        <w:t>’</w:t>
      </w:r>
      <w:r w:rsidR="003C7B75" w:rsidRPr="004F507A">
        <w:rPr>
          <w:rFonts w:ascii="Arial" w:hAnsi="Arial" w:cs="Arial"/>
          <w:color w:val="000000"/>
          <w:sz w:val="22"/>
          <w:szCs w:val="22"/>
          <w:lang w:val="fr-FR"/>
        </w:rPr>
        <w:t xml:space="preserve">étendue de la protection, selon laquelle les titulaires de droits </w:t>
      </w:r>
      <w:r w:rsidR="004241CB" w:rsidRPr="004F507A">
        <w:rPr>
          <w:rFonts w:ascii="Arial" w:hAnsi="Arial" w:cs="Arial"/>
          <w:color w:val="000000"/>
          <w:sz w:val="22"/>
          <w:szCs w:val="22"/>
          <w:lang w:val="fr-FR"/>
        </w:rPr>
        <w:t>bénéfici</w:t>
      </w:r>
      <w:r w:rsidR="003C7B75" w:rsidRPr="004F507A">
        <w:rPr>
          <w:rFonts w:ascii="Arial" w:hAnsi="Arial" w:cs="Arial"/>
          <w:color w:val="000000"/>
          <w:sz w:val="22"/>
          <w:szCs w:val="22"/>
          <w:lang w:val="fr-FR"/>
        </w:rPr>
        <w:t>eraient de différents types ou niveaux de droits ou de mesures, en fonction de la nature</w:t>
      </w:r>
      <w:r w:rsidR="003C7B75" w:rsidRPr="004F507A">
        <w:rPr>
          <w:rStyle w:val="FootnoteReference"/>
          <w:rFonts w:ascii="Arial" w:hAnsi="Arial" w:cs="Arial"/>
          <w:color w:val="000000"/>
          <w:sz w:val="22"/>
          <w:szCs w:val="22"/>
          <w:lang w:val="fr-FR"/>
        </w:rPr>
        <w:footnoteReference w:id="3"/>
      </w:r>
      <w:r w:rsidR="003C7B75" w:rsidRPr="004F507A">
        <w:rPr>
          <w:rFonts w:ascii="Arial" w:hAnsi="Arial" w:cs="Arial"/>
          <w:color w:val="000000"/>
          <w:sz w:val="22"/>
          <w:szCs w:val="22"/>
          <w:lang w:val="fr-FR"/>
        </w:rPr>
        <w:t xml:space="preserve"> et des caractéristiques de l</w:t>
      </w:r>
      <w:r w:rsidR="006D7B02" w:rsidRPr="004F507A">
        <w:rPr>
          <w:rFonts w:ascii="Arial" w:hAnsi="Arial" w:cs="Arial"/>
          <w:color w:val="000000"/>
          <w:sz w:val="22"/>
          <w:szCs w:val="22"/>
          <w:lang w:val="fr-FR"/>
        </w:rPr>
        <w:t>’</w:t>
      </w:r>
      <w:r w:rsidR="003C7B75" w:rsidRPr="004F507A">
        <w:rPr>
          <w:rFonts w:ascii="Arial" w:hAnsi="Arial" w:cs="Arial"/>
          <w:color w:val="000000"/>
          <w:sz w:val="22"/>
          <w:szCs w:val="22"/>
          <w:lang w:val="fr-FR"/>
        </w:rPr>
        <w:t xml:space="preserve">objet, du niveau de contrôle que les bénéficiaires conservent sur </w:t>
      </w:r>
      <w:r w:rsidR="004241CB" w:rsidRPr="004F507A">
        <w:rPr>
          <w:rFonts w:ascii="Arial" w:hAnsi="Arial" w:cs="Arial"/>
          <w:color w:val="000000"/>
          <w:sz w:val="22"/>
          <w:szCs w:val="22"/>
          <w:lang w:val="fr-FR"/>
        </w:rPr>
        <w:t>ce dernier</w:t>
      </w:r>
      <w:r w:rsidR="003C7B75" w:rsidRPr="004F507A">
        <w:rPr>
          <w:rFonts w:ascii="Arial" w:hAnsi="Arial" w:cs="Arial"/>
          <w:color w:val="000000"/>
          <w:sz w:val="22"/>
          <w:szCs w:val="22"/>
          <w:lang w:val="fr-FR"/>
        </w:rPr>
        <w:t xml:space="preserve"> et de son degré de diffusion</w:t>
      </w:r>
      <w:r w:rsidR="003C7B75" w:rsidRPr="004F507A">
        <w:rPr>
          <w:rFonts w:ascii="Arial" w:hAnsi="Arial" w:cs="Arial"/>
          <w:sz w:val="22"/>
          <w:szCs w:val="22"/>
          <w:lang w:val="fr-FR"/>
        </w:rPr>
        <w:t>.</w:t>
      </w:r>
    </w:p>
    <w:p w:rsidR="004F60C4" w:rsidRPr="004F507A" w:rsidRDefault="00D663B7" w:rsidP="002B5624">
      <w:pPr>
        <w:tabs>
          <w:tab w:val="left" w:pos="567"/>
        </w:tabs>
        <w:spacing w:after="240"/>
        <w:rPr>
          <w:rFonts w:ascii="Arial" w:hAnsi="Arial" w:cs="Arial"/>
          <w:sz w:val="22"/>
          <w:szCs w:val="22"/>
          <w:lang w:val="fr-FR"/>
        </w:rPr>
      </w:pPr>
      <w:r w:rsidRPr="004F507A">
        <w:rPr>
          <w:rFonts w:ascii="Arial" w:hAnsi="Arial" w:cs="Arial"/>
          <w:sz w:val="22"/>
          <w:szCs w:val="22"/>
          <w:lang w:val="fr-FR"/>
        </w:rPr>
        <w:lastRenderedPageBreak/>
        <w:fldChar w:fldCharType="begin"/>
      </w:r>
      <w:r w:rsidRPr="004F507A">
        <w:rPr>
          <w:rFonts w:ascii="Arial" w:hAnsi="Arial" w:cs="Arial"/>
          <w:sz w:val="22"/>
          <w:szCs w:val="22"/>
          <w:lang w:val="fr-FR"/>
        </w:rPr>
        <w:instrText xml:space="preserve"> AUTONUM  </w:instrText>
      </w:r>
      <w:r w:rsidRPr="004F507A">
        <w:rPr>
          <w:rFonts w:ascii="Arial" w:hAnsi="Arial" w:cs="Arial"/>
          <w:sz w:val="22"/>
          <w:szCs w:val="22"/>
          <w:lang w:val="fr-FR"/>
        </w:rPr>
        <w:fldChar w:fldCharType="end"/>
      </w:r>
      <w:r w:rsidRPr="004F507A">
        <w:rPr>
          <w:rFonts w:ascii="Arial" w:hAnsi="Arial" w:cs="Arial"/>
          <w:sz w:val="22"/>
          <w:szCs w:val="22"/>
          <w:lang w:val="fr-FR"/>
        </w:rPr>
        <w:tab/>
      </w:r>
      <w:r w:rsidR="007D7C03" w:rsidRPr="004F507A">
        <w:rPr>
          <w:rFonts w:ascii="Arial" w:hAnsi="Arial" w:cs="Arial"/>
          <w:color w:val="000000"/>
          <w:sz w:val="22"/>
          <w:szCs w:val="22"/>
          <w:lang w:val="fr-FR"/>
        </w:rPr>
        <w:t>L</w:t>
      </w:r>
      <w:r w:rsidR="006D7B02" w:rsidRPr="004F507A">
        <w:rPr>
          <w:rFonts w:ascii="Arial" w:hAnsi="Arial" w:cs="Arial"/>
          <w:color w:val="000000"/>
          <w:sz w:val="22"/>
          <w:szCs w:val="22"/>
          <w:lang w:val="fr-FR"/>
        </w:rPr>
        <w:t>’</w:t>
      </w:r>
      <w:r w:rsidR="00677BA0" w:rsidRPr="004F507A">
        <w:rPr>
          <w:rFonts w:ascii="Arial" w:hAnsi="Arial" w:cs="Arial"/>
          <w:color w:val="000000"/>
          <w:sz w:val="22"/>
          <w:szCs w:val="22"/>
          <w:lang w:val="fr-FR"/>
        </w:rPr>
        <w:t xml:space="preserve">approche </w:t>
      </w:r>
      <w:r w:rsidR="004241CB" w:rsidRPr="004F507A">
        <w:rPr>
          <w:rFonts w:ascii="Arial" w:hAnsi="Arial" w:cs="Arial"/>
          <w:color w:val="000000"/>
          <w:sz w:val="22"/>
          <w:szCs w:val="22"/>
          <w:lang w:val="fr-FR"/>
        </w:rPr>
        <w:t>progressive</w:t>
      </w:r>
      <w:r w:rsidR="007D7C03" w:rsidRPr="004F507A">
        <w:rPr>
          <w:rFonts w:ascii="Arial" w:hAnsi="Arial" w:cs="Arial"/>
          <w:color w:val="000000"/>
          <w:sz w:val="22"/>
          <w:szCs w:val="22"/>
          <w:lang w:val="fr-FR"/>
        </w:rPr>
        <w:t xml:space="preserve"> </w:t>
      </w:r>
      <w:r w:rsidR="00677BA0" w:rsidRPr="004F507A">
        <w:rPr>
          <w:rFonts w:ascii="Arial" w:hAnsi="Arial" w:cs="Arial"/>
          <w:color w:val="000000"/>
          <w:sz w:val="22"/>
          <w:szCs w:val="22"/>
          <w:lang w:val="fr-FR"/>
        </w:rPr>
        <w:t xml:space="preserve">établit une protection différenciée </w:t>
      </w:r>
      <w:r w:rsidR="00D256E9" w:rsidRPr="004F507A">
        <w:rPr>
          <w:rFonts w:ascii="Arial" w:hAnsi="Arial" w:cs="Arial"/>
          <w:color w:val="000000"/>
          <w:sz w:val="22"/>
          <w:szCs w:val="22"/>
          <w:lang w:val="fr-FR"/>
        </w:rPr>
        <w:t>applicable à</w:t>
      </w:r>
      <w:r w:rsidR="00677BA0" w:rsidRPr="004F507A">
        <w:rPr>
          <w:rFonts w:ascii="Arial" w:hAnsi="Arial" w:cs="Arial"/>
          <w:color w:val="000000"/>
          <w:sz w:val="22"/>
          <w:szCs w:val="22"/>
          <w:lang w:val="fr-FR"/>
        </w:rPr>
        <w:t xml:space="preserve"> une gamme de savoirs traditionnels </w:t>
      </w:r>
      <w:r w:rsidR="004241CB" w:rsidRPr="004F507A">
        <w:rPr>
          <w:rFonts w:ascii="Arial" w:hAnsi="Arial" w:cs="Arial"/>
          <w:color w:val="000000"/>
          <w:sz w:val="22"/>
          <w:szCs w:val="22"/>
          <w:lang w:val="fr-FR"/>
        </w:rPr>
        <w:t>all</w:t>
      </w:r>
      <w:r w:rsidR="00677BA0" w:rsidRPr="004F507A">
        <w:rPr>
          <w:rFonts w:ascii="Arial" w:hAnsi="Arial" w:cs="Arial"/>
          <w:color w:val="000000"/>
          <w:sz w:val="22"/>
          <w:szCs w:val="22"/>
          <w:lang w:val="fr-FR"/>
        </w:rPr>
        <w:t xml:space="preserve">ant de ceux qui sont </w:t>
      </w:r>
      <w:r w:rsidR="004241CB" w:rsidRPr="004F507A">
        <w:rPr>
          <w:rFonts w:ascii="Arial" w:hAnsi="Arial" w:cs="Arial"/>
          <w:color w:val="000000"/>
          <w:sz w:val="22"/>
          <w:szCs w:val="22"/>
          <w:lang w:val="fr-FR"/>
        </w:rPr>
        <w:t>accessibles au</w:t>
      </w:r>
      <w:r w:rsidR="00677BA0" w:rsidRPr="004F507A">
        <w:rPr>
          <w:rFonts w:ascii="Arial" w:hAnsi="Arial" w:cs="Arial"/>
          <w:color w:val="000000"/>
          <w:sz w:val="22"/>
          <w:szCs w:val="22"/>
          <w:lang w:val="fr-FR"/>
        </w:rPr>
        <w:t xml:space="preserve"> </w:t>
      </w:r>
      <w:r w:rsidR="008A6717">
        <w:rPr>
          <w:rFonts w:ascii="Arial" w:hAnsi="Arial" w:cs="Arial"/>
          <w:color w:val="000000"/>
          <w:sz w:val="22"/>
          <w:szCs w:val="22"/>
          <w:lang w:val="fr-FR"/>
        </w:rPr>
        <w:t xml:space="preserve">grand </w:t>
      </w:r>
      <w:r w:rsidR="00677BA0" w:rsidRPr="004F507A">
        <w:rPr>
          <w:rFonts w:ascii="Arial" w:hAnsi="Arial" w:cs="Arial"/>
          <w:color w:val="000000"/>
          <w:sz w:val="22"/>
          <w:szCs w:val="22"/>
          <w:lang w:val="fr-FR"/>
        </w:rPr>
        <w:t>public à ceux qui sont secrets ou inconnus en dehors de la communauté et contrôlés par</w:t>
      </w:r>
      <w:r w:rsidR="004241CB" w:rsidRPr="004F507A">
        <w:rPr>
          <w:rFonts w:ascii="Arial" w:hAnsi="Arial" w:cs="Arial"/>
          <w:color w:val="000000"/>
          <w:sz w:val="22"/>
          <w:szCs w:val="22"/>
          <w:lang w:val="fr-FR"/>
        </w:rPr>
        <w:t xml:space="preserve"> les</w:t>
      </w:r>
      <w:r w:rsidR="00677BA0" w:rsidRPr="004F507A">
        <w:rPr>
          <w:rFonts w:ascii="Arial" w:hAnsi="Arial" w:cs="Arial"/>
          <w:color w:val="000000"/>
          <w:sz w:val="22"/>
          <w:szCs w:val="22"/>
          <w:lang w:val="fr-FR"/>
        </w:rPr>
        <w:t xml:space="preserve"> </w:t>
      </w:r>
      <w:r w:rsidR="004241CB" w:rsidRPr="004F507A">
        <w:rPr>
          <w:rFonts w:ascii="Arial" w:hAnsi="Arial" w:cs="Arial"/>
          <w:color w:val="000000"/>
          <w:sz w:val="22"/>
          <w:szCs w:val="22"/>
          <w:lang w:val="fr-FR"/>
        </w:rPr>
        <w:t>bénéficiaires</w:t>
      </w:r>
      <w:r w:rsidR="00677BA0" w:rsidRPr="004F507A">
        <w:rPr>
          <w:rStyle w:val="FootnoteReference"/>
          <w:rFonts w:ascii="Arial" w:hAnsi="Arial" w:cs="Arial"/>
          <w:color w:val="000000"/>
          <w:sz w:val="22"/>
          <w:szCs w:val="22"/>
          <w:lang w:val="fr-FR"/>
        </w:rPr>
        <w:footnoteReference w:id="4"/>
      </w:r>
      <w:r w:rsidR="00677BA0" w:rsidRPr="004F507A">
        <w:rPr>
          <w:rFonts w:ascii="Arial" w:hAnsi="Arial" w:cs="Arial"/>
          <w:color w:val="000000"/>
          <w:sz w:val="22"/>
          <w:szCs w:val="22"/>
          <w:lang w:val="fr-FR"/>
        </w:rPr>
        <w:t>.</w:t>
      </w:r>
    </w:p>
    <w:p w:rsidR="004F60C4" w:rsidRPr="004F507A" w:rsidRDefault="00F20BD9" w:rsidP="002B5624">
      <w:pPr>
        <w:tabs>
          <w:tab w:val="left" w:pos="567"/>
        </w:tabs>
        <w:spacing w:after="240"/>
        <w:rPr>
          <w:rFonts w:ascii="Arial" w:hAnsi="Arial" w:cs="Arial"/>
          <w:sz w:val="22"/>
          <w:szCs w:val="22"/>
          <w:lang w:val="fr-FR"/>
        </w:rPr>
      </w:pPr>
      <w:r w:rsidRPr="004F507A">
        <w:rPr>
          <w:rFonts w:ascii="Arial" w:hAnsi="Arial" w:cs="Arial"/>
          <w:sz w:val="22"/>
          <w:szCs w:val="22"/>
          <w:lang w:val="fr-FR"/>
        </w:rPr>
        <w:fldChar w:fldCharType="begin"/>
      </w:r>
      <w:r w:rsidRPr="004F507A">
        <w:rPr>
          <w:rFonts w:ascii="Arial" w:hAnsi="Arial" w:cs="Arial"/>
          <w:sz w:val="22"/>
          <w:szCs w:val="22"/>
          <w:lang w:val="fr-FR"/>
        </w:rPr>
        <w:instrText xml:space="preserve"> AUTONUM  </w:instrText>
      </w:r>
      <w:r w:rsidRPr="004F507A">
        <w:rPr>
          <w:rFonts w:ascii="Arial" w:hAnsi="Arial" w:cs="Arial"/>
          <w:sz w:val="22"/>
          <w:szCs w:val="22"/>
          <w:lang w:val="fr-FR"/>
        </w:rPr>
        <w:fldChar w:fldCharType="end"/>
      </w:r>
      <w:r w:rsidRPr="004F507A">
        <w:rPr>
          <w:rFonts w:ascii="Arial" w:hAnsi="Arial" w:cs="Arial"/>
          <w:sz w:val="22"/>
          <w:szCs w:val="22"/>
          <w:lang w:val="fr-FR"/>
        </w:rPr>
        <w:tab/>
      </w:r>
      <w:r w:rsidR="002F145C" w:rsidRPr="004F507A">
        <w:rPr>
          <w:rFonts w:ascii="Arial" w:hAnsi="Arial" w:cs="Arial"/>
          <w:color w:val="000000"/>
          <w:sz w:val="22"/>
          <w:szCs w:val="22"/>
          <w:lang w:val="fr-FR"/>
        </w:rPr>
        <w:t>Si l</w:t>
      </w:r>
      <w:r w:rsidR="006D7B02" w:rsidRPr="004F507A">
        <w:rPr>
          <w:rFonts w:ascii="Arial" w:hAnsi="Arial" w:cs="Arial"/>
          <w:color w:val="000000"/>
          <w:sz w:val="22"/>
          <w:szCs w:val="22"/>
          <w:lang w:val="fr-FR"/>
        </w:rPr>
        <w:t>’</w:t>
      </w:r>
      <w:r w:rsidR="002F145C" w:rsidRPr="004F507A">
        <w:rPr>
          <w:rFonts w:ascii="Arial" w:hAnsi="Arial" w:cs="Arial"/>
          <w:color w:val="000000"/>
          <w:sz w:val="22"/>
          <w:szCs w:val="22"/>
          <w:lang w:val="fr-FR"/>
        </w:rPr>
        <w:t>on suit</w:t>
      </w:r>
      <w:r w:rsidR="00934E3B" w:rsidRPr="004F507A">
        <w:rPr>
          <w:rFonts w:ascii="Arial" w:hAnsi="Arial" w:cs="Arial"/>
          <w:color w:val="000000"/>
          <w:sz w:val="22"/>
          <w:szCs w:val="22"/>
          <w:lang w:val="fr-FR"/>
        </w:rPr>
        <w:t xml:space="preserve"> cette approche, l</w:t>
      </w:r>
      <w:r w:rsidR="006D7B02" w:rsidRPr="004F507A">
        <w:rPr>
          <w:rFonts w:ascii="Arial" w:hAnsi="Arial" w:cs="Arial"/>
          <w:color w:val="000000"/>
          <w:sz w:val="22"/>
          <w:szCs w:val="22"/>
          <w:lang w:val="fr-FR"/>
        </w:rPr>
        <w:t>’</w:t>
      </w:r>
      <w:r w:rsidR="00934E3B" w:rsidRPr="004F507A">
        <w:rPr>
          <w:rFonts w:ascii="Arial" w:hAnsi="Arial" w:cs="Arial"/>
          <w:color w:val="000000"/>
          <w:sz w:val="22"/>
          <w:szCs w:val="22"/>
          <w:lang w:val="fr-FR"/>
        </w:rPr>
        <w:t xml:space="preserve">application de droits patrimoniaux exclusifs pourrait être appropriée pour certaines formes de savoirs traditionnels (par exemple, les savoirs traditionnels secrets ou qui peuvent être attribués uniquement à des peuples autochtones ou </w:t>
      </w:r>
      <w:r w:rsidR="002F145C" w:rsidRPr="004F507A">
        <w:rPr>
          <w:rFonts w:ascii="Arial" w:hAnsi="Arial" w:cs="Arial"/>
          <w:color w:val="000000"/>
          <w:sz w:val="22"/>
          <w:szCs w:val="22"/>
          <w:lang w:val="fr-FR"/>
        </w:rPr>
        <w:t xml:space="preserve">à </w:t>
      </w:r>
      <w:r w:rsidR="00934E3B" w:rsidRPr="004F507A">
        <w:rPr>
          <w:rFonts w:ascii="Arial" w:hAnsi="Arial" w:cs="Arial"/>
          <w:color w:val="000000"/>
          <w:sz w:val="22"/>
          <w:szCs w:val="22"/>
          <w:lang w:val="fr-FR"/>
        </w:rPr>
        <w:t>des communautés locales en particulier), tandis qu</w:t>
      </w:r>
      <w:r w:rsidR="006D7B02" w:rsidRPr="004F507A">
        <w:rPr>
          <w:rFonts w:ascii="Arial" w:hAnsi="Arial" w:cs="Arial"/>
          <w:color w:val="000000"/>
          <w:sz w:val="22"/>
          <w:szCs w:val="22"/>
          <w:lang w:val="fr-FR"/>
        </w:rPr>
        <w:t>’</w:t>
      </w:r>
      <w:r w:rsidR="00934E3B" w:rsidRPr="004F507A">
        <w:rPr>
          <w:rFonts w:ascii="Arial" w:hAnsi="Arial" w:cs="Arial"/>
          <w:color w:val="000000"/>
          <w:sz w:val="22"/>
          <w:szCs w:val="22"/>
          <w:lang w:val="fr-FR"/>
        </w:rPr>
        <w:t xml:space="preserve">un modèle fondé sur des droits moraux pourrait convenir, par exemple, pour des savoirs traditionnels déjà divulgués et à la disposition du public, mais qui peuvent néanmoins être attribués à des peuples autochtones ou </w:t>
      </w:r>
      <w:r w:rsidR="002F145C" w:rsidRPr="004F507A">
        <w:rPr>
          <w:rFonts w:ascii="Arial" w:hAnsi="Arial" w:cs="Arial"/>
          <w:color w:val="000000"/>
          <w:sz w:val="22"/>
          <w:szCs w:val="22"/>
          <w:lang w:val="fr-FR"/>
        </w:rPr>
        <w:t xml:space="preserve">à </w:t>
      </w:r>
      <w:r w:rsidR="00934E3B" w:rsidRPr="004F507A">
        <w:rPr>
          <w:rFonts w:ascii="Arial" w:hAnsi="Arial" w:cs="Arial"/>
          <w:color w:val="000000"/>
          <w:sz w:val="22"/>
          <w:szCs w:val="22"/>
          <w:lang w:val="fr-FR"/>
        </w:rPr>
        <w:t>des communautés locales en particulier.</w:t>
      </w:r>
    </w:p>
    <w:p w:rsidR="006D7B02" w:rsidRPr="004F507A" w:rsidRDefault="000769D8" w:rsidP="002B5624">
      <w:pPr>
        <w:tabs>
          <w:tab w:val="left" w:pos="567"/>
        </w:tabs>
        <w:spacing w:after="240"/>
        <w:rPr>
          <w:rFonts w:ascii="Arial" w:hAnsi="Arial" w:cs="Arial"/>
          <w:sz w:val="22"/>
          <w:szCs w:val="22"/>
          <w:lang w:val="fr-FR"/>
        </w:rPr>
      </w:pPr>
      <w:r w:rsidRPr="004F507A">
        <w:rPr>
          <w:rFonts w:ascii="Arial" w:hAnsi="Arial" w:cs="Arial"/>
          <w:sz w:val="22"/>
          <w:szCs w:val="22"/>
          <w:lang w:val="fr-FR"/>
        </w:rPr>
        <w:fldChar w:fldCharType="begin"/>
      </w:r>
      <w:r w:rsidRPr="004F507A">
        <w:rPr>
          <w:rFonts w:ascii="Arial" w:hAnsi="Arial" w:cs="Arial"/>
          <w:sz w:val="22"/>
          <w:szCs w:val="22"/>
          <w:lang w:val="fr-FR"/>
        </w:rPr>
        <w:instrText xml:space="preserve"> AUTONUM  </w:instrText>
      </w:r>
      <w:r w:rsidRPr="004F507A">
        <w:rPr>
          <w:rFonts w:ascii="Arial" w:hAnsi="Arial" w:cs="Arial"/>
          <w:sz w:val="22"/>
          <w:szCs w:val="22"/>
          <w:lang w:val="fr-FR"/>
        </w:rPr>
        <w:fldChar w:fldCharType="end"/>
      </w:r>
      <w:r w:rsidRPr="004F507A">
        <w:rPr>
          <w:rFonts w:ascii="Arial" w:hAnsi="Arial" w:cs="Arial"/>
          <w:sz w:val="22"/>
          <w:szCs w:val="22"/>
          <w:lang w:val="fr-FR"/>
        </w:rPr>
        <w:tab/>
      </w:r>
      <w:r w:rsidR="0013158A" w:rsidRPr="004F507A">
        <w:rPr>
          <w:rFonts w:ascii="Arial" w:hAnsi="Arial" w:cs="Arial"/>
          <w:color w:val="000000"/>
          <w:sz w:val="22"/>
          <w:szCs w:val="22"/>
          <w:lang w:val="fr-FR"/>
        </w:rPr>
        <w:t>S</w:t>
      </w:r>
      <w:r w:rsidR="006D7B02" w:rsidRPr="004F507A">
        <w:rPr>
          <w:rFonts w:ascii="Arial" w:hAnsi="Arial" w:cs="Arial"/>
          <w:color w:val="000000"/>
          <w:sz w:val="22"/>
          <w:szCs w:val="22"/>
          <w:lang w:val="fr-FR"/>
        </w:rPr>
        <w:t>’</w:t>
      </w:r>
      <w:r w:rsidR="0013158A" w:rsidRPr="004F507A">
        <w:rPr>
          <w:rFonts w:ascii="Arial" w:hAnsi="Arial" w:cs="Arial"/>
          <w:color w:val="000000"/>
          <w:sz w:val="22"/>
          <w:szCs w:val="22"/>
          <w:lang w:val="fr-FR"/>
        </w:rPr>
        <w:t>il revient à l</w:t>
      </w:r>
      <w:r w:rsidR="006D7B02" w:rsidRPr="004F507A">
        <w:rPr>
          <w:rFonts w:ascii="Arial" w:hAnsi="Arial" w:cs="Arial"/>
          <w:color w:val="000000"/>
          <w:sz w:val="22"/>
          <w:szCs w:val="22"/>
          <w:lang w:val="fr-FR"/>
        </w:rPr>
        <w:t>’</w:t>
      </w:r>
      <w:r w:rsidR="0013158A" w:rsidRPr="004F507A">
        <w:rPr>
          <w:rFonts w:ascii="Arial" w:hAnsi="Arial" w:cs="Arial"/>
          <w:color w:val="000000"/>
          <w:sz w:val="22"/>
          <w:szCs w:val="22"/>
          <w:lang w:val="fr-FR"/>
        </w:rPr>
        <w:t xml:space="preserve">IGC </w:t>
      </w:r>
      <w:r w:rsidR="006D4A64" w:rsidRPr="004F507A">
        <w:rPr>
          <w:rFonts w:ascii="Arial" w:hAnsi="Arial" w:cs="Arial"/>
          <w:color w:val="000000"/>
          <w:sz w:val="22"/>
          <w:szCs w:val="22"/>
          <w:lang w:val="fr-FR"/>
        </w:rPr>
        <w:t>de prendre une décision</w:t>
      </w:r>
      <w:r w:rsidR="0013158A" w:rsidRPr="004F507A">
        <w:rPr>
          <w:rFonts w:ascii="Arial" w:hAnsi="Arial" w:cs="Arial"/>
          <w:color w:val="000000"/>
          <w:sz w:val="22"/>
          <w:szCs w:val="22"/>
          <w:lang w:val="fr-FR"/>
        </w:rPr>
        <w:t>, la protection différenciée associée à l</w:t>
      </w:r>
      <w:r w:rsidR="006D7B02" w:rsidRPr="004F507A">
        <w:rPr>
          <w:rFonts w:ascii="Arial" w:hAnsi="Arial" w:cs="Arial"/>
          <w:color w:val="000000"/>
          <w:sz w:val="22"/>
          <w:szCs w:val="22"/>
          <w:lang w:val="fr-FR"/>
        </w:rPr>
        <w:t>’</w:t>
      </w:r>
      <w:r w:rsidR="0013158A" w:rsidRPr="004F507A">
        <w:rPr>
          <w:rFonts w:ascii="Arial" w:hAnsi="Arial" w:cs="Arial"/>
          <w:color w:val="000000"/>
          <w:sz w:val="22"/>
          <w:szCs w:val="22"/>
          <w:lang w:val="fr-FR"/>
        </w:rPr>
        <w:t xml:space="preserve">approche progressive offre selon moi </w:t>
      </w:r>
      <w:r w:rsidR="002F145C" w:rsidRPr="004F507A">
        <w:rPr>
          <w:rFonts w:ascii="Arial" w:hAnsi="Arial" w:cs="Arial"/>
          <w:color w:val="000000"/>
          <w:sz w:val="22"/>
          <w:szCs w:val="22"/>
          <w:lang w:val="fr-FR"/>
        </w:rPr>
        <w:t>un moyen</w:t>
      </w:r>
      <w:r w:rsidR="0013158A" w:rsidRPr="004F507A">
        <w:rPr>
          <w:rFonts w:ascii="Arial" w:hAnsi="Arial" w:cs="Arial"/>
          <w:color w:val="000000"/>
          <w:sz w:val="22"/>
          <w:szCs w:val="22"/>
          <w:lang w:val="fr-FR"/>
        </w:rPr>
        <w:t xml:space="preserve"> </w:t>
      </w:r>
      <w:r w:rsidR="002F145C" w:rsidRPr="004F507A">
        <w:rPr>
          <w:rFonts w:ascii="Arial" w:hAnsi="Arial" w:cs="Arial"/>
          <w:color w:val="000000"/>
          <w:sz w:val="22"/>
          <w:szCs w:val="22"/>
          <w:lang w:val="fr-FR"/>
        </w:rPr>
        <w:t>de tenir compte de</w:t>
      </w:r>
      <w:r w:rsidR="0013158A" w:rsidRPr="004F507A">
        <w:rPr>
          <w:rFonts w:ascii="Arial" w:hAnsi="Arial" w:cs="Arial"/>
          <w:color w:val="000000"/>
          <w:sz w:val="22"/>
          <w:szCs w:val="22"/>
          <w:lang w:val="fr-FR"/>
        </w:rPr>
        <w:t xml:space="preserve"> l</w:t>
      </w:r>
      <w:r w:rsidR="006D7B02" w:rsidRPr="004F507A">
        <w:rPr>
          <w:rFonts w:ascii="Arial" w:hAnsi="Arial" w:cs="Arial"/>
          <w:color w:val="000000"/>
          <w:sz w:val="22"/>
          <w:szCs w:val="22"/>
          <w:lang w:val="fr-FR"/>
        </w:rPr>
        <w:t>’</w:t>
      </w:r>
      <w:r w:rsidR="0013158A" w:rsidRPr="004F507A">
        <w:rPr>
          <w:rFonts w:ascii="Arial" w:hAnsi="Arial" w:cs="Arial"/>
          <w:color w:val="000000"/>
          <w:sz w:val="22"/>
          <w:szCs w:val="22"/>
          <w:lang w:val="fr-FR"/>
        </w:rPr>
        <w:t>équilibre mentionné dans le mandat de l</w:t>
      </w:r>
      <w:r w:rsidR="006D7B02" w:rsidRPr="004F507A">
        <w:rPr>
          <w:rFonts w:ascii="Arial" w:hAnsi="Arial" w:cs="Arial"/>
          <w:color w:val="000000"/>
          <w:sz w:val="22"/>
          <w:szCs w:val="22"/>
          <w:lang w:val="fr-FR"/>
        </w:rPr>
        <w:t>’</w:t>
      </w:r>
      <w:r w:rsidR="0013158A" w:rsidRPr="004F507A">
        <w:rPr>
          <w:rFonts w:ascii="Arial" w:hAnsi="Arial" w:cs="Arial"/>
          <w:color w:val="000000"/>
          <w:sz w:val="22"/>
          <w:szCs w:val="22"/>
          <w:lang w:val="fr-FR"/>
        </w:rPr>
        <w:t>IGC</w:t>
      </w:r>
      <w:r w:rsidR="002F145C" w:rsidRPr="004F507A">
        <w:rPr>
          <w:rFonts w:ascii="Arial" w:hAnsi="Arial" w:cs="Arial"/>
          <w:color w:val="000000"/>
          <w:sz w:val="22"/>
          <w:szCs w:val="22"/>
          <w:lang w:val="fr-FR"/>
        </w:rPr>
        <w:t>,</w:t>
      </w:r>
      <w:r w:rsidR="0013158A" w:rsidRPr="004F507A">
        <w:rPr>
          <w:rFonts w:ascii="Arial" w:hAnsi="Arial" w:cs="Arial"/>
          <w:color w:val="000000"/>
          <w:sz w:val="22"/>
          <w:szCs w:val="22"/>
          <w:lang w:val="fr-FR"/>
        </w:rPr>
        <w:t xml:space="preserve"> </w:t>
      </w:r>
      <w:r w:rsidR="002F145C" w:rsidRPr="004F507A">
        <w:rPr>
          <w:rFonts w:ascii="Arial" w:hAnsi="Arial" w:cs="Arial"/>
          <w:color w:val="000000"/>
          <w:sz w:val="22"/>
          <w:szCs w:val="22"/>
          <w:lang w:val="fr-FR"/>
        </w:rPr>
        <w:t>des rapports</w:t>
      </w:r>
      <w:r w:rsidR="0013158A" w:rsidRPr="004F507A">
        <w:rPr>
          <w:rFonts w:ascii="Arial" w:hAnsi="Arial" w:cs="Arial"/>
          <w:color w:val="000000"/>
          <w:sz w:val="22"/>
          <w:szCs w:val="22"/>
          <w:lang w:val="fr-FR"/>
        </w:rPr>
        <w:t xml:space="preserve"> avec le domaine public ainsi que des droits et des intérêts des </w:t>
      </w:r>
      <w:r w:rsidR="00134C7D" w:rsidRPr="004F507A">
        <w:rPr>
          <w:rFonts w:ascii="Arial" w:hAnsi="Arial" w:cs="Arial"/>
          <w:color w:val="000000"/>
          <w:sz w:val="22"/>
          <w:szCs w:val="22"/>
          <w:lang w:val="fr-FR"/>
        </w:rPr>
        <w:t>propriét</w:t>
      </w:r>
      <w:r w:rsidR="0013158A" w:rsidRPr="004F507A">
        <w:rPr>
          <w:rFonts w:ascii="Arial" w:hAnsi="Arial" w:cs="Arial"/>
          <w:color w:val="000000"/>
          <w:sz w:val="22"/>
          <w:szCs w:val="22"/>
          <w:lang w:val="fr-FR"/>
        </w:rPr>
        <w:t>aires et des utilisateu</w:t>
      </w:r>
      <w:r w:rsidR="004F507A" w:rsidRPr="004F507A">
        <w:rPr>
          <w:rFonts w:ascii="Arial" w:hAnsi="Arial" w:cs="Arial"/>
          <w:color w:val="000000"/>
          <w:sz w:val="22"/>
          <w:szCs w:val="22"/>
          <w:lang w:val="fr-FR"/>
        </w:rPr>
        <w:t>rs.  El</w:t>
      </w:r>
      <w:r w:rsidR="006D4A64" w:rsidRPr="004F507A">
        <w:rPr>
          <w:rFonts w:ascii="Arial" w:hAnsi="Arial" w:cs="Arial"/>
          <w:color w:val="000000"/>
          <w:sz w:val="22"/>
          <w:szCs w:val="22"/>
          <w:lang w:val="fr-FR"/>
        </w:rPr>
        <w:t xml:space="preserve">le pourrait </w:t>
      </w:r>
      <w:r w:rsidR="002F145C" w:rsidRPr="004F507A">
        <w:rPr>
          <w:rFonts w:ascii="Arial" w:hAnsi="Arial" w:cs="Arial"/>
          <w:color w:val="000000"/>
          <w:sz w:val="22"/>
          <w:szCs w:val="22"/>
          <w:lang w:val="fr-FR"/>
        </w:rPr>
        <w:t>permettre de parvenir à un</w:t>
      </w:r>
      <w:r w:rsidR="006D4A64" w:rsidRPr="004F507A">
        <w:rPr>
          <w:rFonts w:ascii="Arial" w:hAnsi="Arial" w:cs="Arial"/>
          <w:color w:val="000000"/>
          <w:sz w:val="22"/>
          <w:szCs w:val="22"/>
          <w:lang w:val="fr-FR"/>
        </w:rPr>
        <w:t xml:space="preserve"> équilibre entre les objectifs de l</w:t>
      </w:r>
      <w:r w:rsidR="006D7B02" w:rsidRPr="004F507A">
        <w:rPr>
          <w:rFonts w:ascii="Arial" w:hAnsi="Arial" w:cs="Arial"/>
          <w:color w:val="000000"/>
          <w:sz w:val="22"/>
          <w:szCs w:val="22"/>
          <w:lang w:val="fr-FR"/>
        </w:rPr>
        <w:t>’</w:t>
      </w:r>
      <w:r w:rsidR="006D4A64" w:rsidRPr="004F507A">
        <w:rPr>
          <w:rFonts w:ascii="Arial" w:hAnsi="Arial" w:cs="Arial"/>
          <w:color w:val="000000"/>
          <w:sz w:val="22"/>
          <w:szCs w:val="22"/>
          <w:lang w:val="fr-FR"/>
        </w:rPr>
        <w:t xml:space="preserve">instrument (protection et accès), </w:t>
      </w:r>
      <w:r w:rsidR="002F145C" w:rsidRPr="004F507A">
        <w:rPr>
          <w:rFonts w:ascii="Arial" w:hAnsi="Arial" w:cs="Arial"/>
          <w:color w:val="000000"/>
          <w:sz w:val="22"/>
          <w:szCs w:val="22"/>
          <w:lang w:val="fr-FR"/>
        </w:rPr>
        <w:t>en vue de</w:t>
      </w:r>
      <w:r w:rsidR="006D4A64" w:rsidRPr="004F507A">
        <w:rPr>
          <w:rFonts w:ascii="Arial" w:hAnsi="Arial" w:cs="Arial"/>
          <w:color w:val="000000"/>
          <w:sz w:val="22"/>
          <w:szCs w:val="22"/>
          <w:lang w:val="fr-FR"/>
        </w:rPr>
        <w:t xml:space="preserve"> débloquer certaines des questions </w:t>
      </w:r>
      <w:r w:rsidR="002F145C" w:rsidRPr="004F507A">
        <w:rPr>
          <w:rFonts w:ascii="Arial" w:hAnsi="Arial" w:cs="Arial"/>
          <w:color w:val="000000"/>
          <w:sz w:val="22"/>
          <w:szCs w:val="22"/>
          <w:lang w:val="fr-FR"/>
        </w:rPr>
        <w:t>essentiel</w:t>
      </w:r>
      <w:r w:rsidR="006D4A64" w:rsidRPr="004F507A">
        <w:rPr>
          <w:rFonts w:ascii="Arial" w:hAnsi="Arial" w:cs="Arial"/>
          <w:color w:val="000000"/>
          <w:sz w:val="22"/>
          <w:szCs w:val="22"/>
          <w:lang w:val="fr-FR"/>
        </w:rPr>
        <w:t xml:space="preserve">les </w:t>
      </w:r>
      <w:r w:rsidR="002F145C" w:rsidRPr="004F507A">
        <w:rPr>
          <w:rFonts w:ascii="Arial" w:hAnsi="Arial" w:cs="Arial"/>
          <w:color w:val="000000"/>
          <w:sz w:val="22"/>
          <w:szCs w:val="22"/>
          <w:lang w:val="fr-FR"/>
        </w:rPr>
        <w:t>ay</w:t>
      </w:r>
      <w:r w:rsidR="006D4A64" w:rsidRPr="004F507A">
        <w:rPr>
          <w:rFonts w:ascii="Arial" w:hAnsi="Arial" w:cs="Arial"/>
          <w:color w:val="000000"/>
          <w:sz w:val="22"/>
          <w:szCs w:val="22"/>
          <w:lang w:val="fr-FR"/>
        </w:rPr>
        <w:t xml:space="preserve">ant </w:t>
      </w:r>
      <w:r w:rsidR="002F145C" w:rsidRPr="004F507A">
        <w:rPr>
          <w:rFonts w:ascii="Arial" w:hAnsi="Arial" w:cs="Arial"/>
          <w:color w:val="000000"/>
          <w:sz w:val="22"/>
          <w:szCs w:val="22"/>
          <w:lang w:val="fr-FR"/>
        </w:rPr>
        <w:t>trait aux</w:t>
      </w:r>
      <w:r w:rsidR="006D4A64" w:rsidRPr="004F507A">
        <w:rPr>
          <w:rFonts w:ascii="Arial" w:hAnsi="Arial" w:cs="Arial"/>
          <w:color w:val="000000"/>
          <w:sz w:val="22"/>
          <w:szCs w:val="22"/>
          <w:lang w:val="fr-FR"/>
        </w:rPr>
        <w:t xml:space="preserve"> niveaux de protection à attribuer aux savoirs traditionnels, tout en </w:t>
      </w:r>
      <w:r w:rsidR="002F145C" w:rsidRPr="004F507A">
        <w:rPr>
          <w:rFonts w:ascii="Arial" w:hAnsi="Arial" w:cs="Arial"/>
          <w:color w:val="000000"/>
          <w:sz w:val="22"/>
          <w:szCs w:val="22"/>
          <w:lang w:val="fr-FR"/>
        </w:rPr>
        <w:t>préservant les</w:t>
      </w:r>
      <w:r w:rsidR="006D4A64" w:rsidRPr="004F507A">
        <w:rPr>
          <w:rFonts w:ascii="Arial" w:hAnsi="Arial" w:cs="Arial"/>
          <w:color w:val="000000"/>
          <w:sz w:val="22"/>
          <w:szCs w:val="22"/>
          <w:lang w:val="fr-FR"/>
        </w:rPr>
        <w:t xml:space="preserve"> intérêts des </w:t>
      </w:r>
      <w:r w:rsidR="00134C7D" w:rsidRPr="004F507A">
        <w:rPr>
          <w:rFonts w:ascii="Arial" w:hAnsi="Arial" w:cs="Arial"/>
          <w:color w:val="000000"/>
          <w:sz w:val="22"/>
          <w:szCs w:val="22"/>
          <w:lang w:val="fr-FR"/>
        </w:rPr>
        <w:t>propriét</w:t>
      </w:r>
      <w:r w:rsidR="002F145C" w:rsidRPr="004F507A">
        <w:rPr>
          <w:rFonts w:ascii="Arial" w:hAnsi="Arial" w:cs="Arial"/>
          <w:color w:val="000000"/>
          <w:sz w:val="22"/>
          <w:szCs w:val="22"/>
          <w:lang w:val="fr-FR"/>
        </w:rPr>
        <w:t>aires (bénéficiaires) et</w:t>
      </w:r>
      <w:r w:rsidR="006D4A64" w:rsidRPr="004F507A">
        <w:rPr>
          <w:rFonts w:ascii="Arial" w:hAnsi="Arial" w:cs="Arial"/>
          <w:color w:val="000000"/>
          <w:sz w:val="22"/>
          <w:szCs w:val="22"/>
          <w:lang w:val="fr-FR"/>
        </w:rPr>
        <w:t xml:space="preserve"> des utilisateurs (universités, organismes de recherche</w:t>
      </w:r>
      <w:r w:rsidR="00525EB9">
        <w:rPr>
          <w:rFonts w:ascii="Arial" w:hAnsi="Arial" w:cs="Arial"/>
          <w:color w:val="000000"/>
          <w:sz w:val="22"/>
          <w:szCs w:val="22"/>
          <w:lang w:val="fr-FR"/>
        </w:rPr>
        <w:noBreakHyphen/>
      </w:r>
      <w:r w:rsidR="006D4A64" w:rsidRPr="004F507A">
        <w:rPr>
          <w:rFonts w:ascii="Arial" w:hAnsi="Arial" w:cs="Arial"/>
          <w:color w:val="000000"/>
          <w:sz w:val="22"/>
          <w:szCs w:val="22"/>
          <w:lang w:val="fr-FR"/>
        </w:rPr>
        <w:t xml:space="preserve">développement, secteur privé, etc.) </w:t>
      </w:r>
      <w:r w:rsidR="002F145C" w:rsidRPr="004F507A">
        <w:rPr>
          <w:rFonts w:ascii="Arial" w:hAnsi="Arial" w:cs="Arial"/>
          <w:color w:val="000000"/>
          <w:sz w:val="22"/>
          <w:szCs w:val="22"/>
          <w:lang w:val="fr-FR"/>
        </w:rPr>
        <w:t>ainsi que</w:t>
      </w:r>
      <w:r w:rsidR="006D4A64" w:rsidRPr="004F507A">
        <w:rPr>
          <w:rFonts w:ascii="Arial" w:hAnsi="Arial" w:cs="Arial"/>
          <w:color w:val="000000"/>
          <w:sz w:val="22"/>
          <w:szCs w:val="22"/>
          <w:lang w:val="fr-FR"/>
        </w:rPr>
        <w:t xml:space="preserve"> l</w:t>
      </w:r>
      <w:r w:rsidR="006D7B02" w:rsidRPr="004F507A">
        <w:rPr>
          <w:rFonts w:ascii="Arial" w:hAnsi="Arial" w:cs="Arial"/>
          <w:color w:val="000000"/>
          <w:sz w:val="22"/>
          <w:szCs w:val="22"/>
          <w:lang w:val="fr-FR"/>
        </w:rPr>
        <w:t>’</w:t>
      </w:r>
      <w:r w:rsidR="006D4A64" w:rsidRPr="004F507A">
        <w:rPr>
          <w:rFonts w:ascii="Arial" w:hAnsi="Arial" w:cs="Arial"/>
          <w:color w:val="000000"/>
          <w:sz w:val="22"/>
          <w:szCs w:val="22"/>
          <w:lang w:val="fr-FR"/>
        </w:rPr>
        <w:t xml:space="preserve">intérêt </w:t>
      </w:r>
      <w:r w:rsidR="00775754" w:rsidRPr="004F507A">
        <w:rPr>
          <w:rFonts w:ascii="Arial" w:hAnsi="Arial" w:cs="Arial"/>
          <w:color w:val="000000"/>
          <w:sz w:val="22"/>
          <w:szCs w:val="22"/>
          <w:lang w:val="fr-FR"/>
        </w:rPr>
        <w:t xml:space="preserve">du </w:t>
      </w:r>
      <w:r w:rsidR="006D4A64" w:rsidRPr="004F507A">
        <w:rPr>
          <w:rFonts w:ascii="Arial" w:hAnsi="Arial" w:cs="Arial"/>
          <w:color w:val="000000"/>
          <w:sz w:val="22"/>
          <w:szCs w:val="22"/>
          <w:lang w:val="fr-FR"/>
        </w:rPr>
        <w:t>public au sens large.</w:t>
      </w:r>
    </w:p>
    <w:p w:rsidR="004F60C4" w:rsidRPr="004F507A" w:rsidRDefault="000769D8" w:rsidP="002B5624">
      <w:pPr>
        <w:tabs>
          <w:tab w:val="left" w:pos="567"/>
        </w:tabs>
        <w:spacing w:after="240"/>
        <w:rPr>
          <w:rFonts w:ascii="Arial" w:hAnsi="Arial" w:cs="Arial"/>
          <w:sz w:val="22"/>
          <w:szCs w:val="22"/>
          <w:lang w:val="fr-FR"/>
        </w:rPr>
      </w:pPr>
      <w:r w:rsidRPr="004F507A">
        <w:rPr>
          <w:rFonts w:ascii="Arial" w:hAnsi="Arial" w:cs="Arial"/>
          <w:sz w:val="22"/>
          <w:szCs w:val="22"/>
          <w:lang w:val="fr-FR"/>
        </w:rPr>
        <w:fldChar w:fldCharType="begin"/>
      </w:r>
      <w:r w:rsidRPr="004F507A">
        <w:rPr>
          <w:rFonts w:ascii="Arial" w:hAnsi="Arial" w:cs="Arial"/>
          <w:sz w:val="22"/>
          <w:szCs w:val="22"/>
          <w:lang w:val="fr-FR"/>
        </w:rPr>
        <w:instrText xml:space="preserve"> AUTONUM  </w:instrText>
      </w:r>
      <w:r w:rsidRPr="004F507A">
        <w:rPr>
          <w:rFonts w:ascii="Arial" w:hAnsi="Arial" w:cs="Arial"/>
          <w:sz w:val="22"/>
          <w:szCs w:val="22"/>
          <w:lang w:val="fr-FR"/>
        </w:rPr>
        <w:fldChar w:fldCharType="end"/>
      </w:r>
      <w:r w:rsidRPr="004F507A">
        <w:rPr>
          <w:rFonts w:ascii="Arial" w:hAnsi="Arial" w:cs="Arial"/>
          <w:sz w:val="22"/>
          <w:szCs w:val="22"/>
          <w:lang w:val="fr-FR"/>
        </w:rPr>
        <w:tab/>
      </w:r>
      <w:r w:rsidR="00107398" w:rsidRPr="004F507A">
        <w:rPr>
          <w:rFonts w:ascii="Arial" w:hAnsi="Arial" w:cs="Arial"/>
          <w:sz w:val="22"/>
          <w:szCs w:val="22"/>
          <w:lang w:val="fr-FR"/>
        </w:rPr>
        <w:t>S</w:t>
      </w:r>
      <w:r w:rsidR="006D7B02" w:rsidRPr="004F507A">
        <w:rPr>
          <w:rFonts w:ascii="Arial" w:hAnsi="Arial" w:cs="Arial"/>
          <w:sz w:val="22"/>
          <w:szCs w:val="22"/>
          <w:lang w:val="fr-FR"/>
        </w:rPr>
        <w:t>’</w:t>
      </w:r>
      <w:r w:rsidR="00107398" w:rsidRPr="004F507A">
        <w:rPr>
          <w:rFonts w:ascii="Arial" w:hAnsi="Arial" w:cs="Arial"/>
          <w:sz w:val="22"/>
          <w:szCs w:val="22"/>
          <w:lang w:val="fr-FR"/>
        </w:rPr>
        <w:t>il est convenu d</w:t>
      </w:r>
      <w:r w:rsidR="006D7B02" w:rsidRPr="004F507A">
        <w:rPr>
          <w:rFonts w:ascii="Arial" w:hAnsi="Arial" w:cs="Arial"/>
          <w:sz w:val="22"/>
          <w:szCs w:val="22"/>
          <w:lang w:val="fr-FR"/>
        </w:rPr>
        <w:t>’</w:t>
      </w:r>
      <w:r w:rsidR="00107398" w:rsidRPr="004F507A">
        <w:rPr>
          <w:rFonts w:ascii="Arial" w:hAnsi="Arial" w:cs="Arial"/>
          <w:sz w:val="22"/>
          <w:szCs w:val="22"/>
          <w:lang w:val="fr-FR"/>
        </w:rPr>
        <w:t>adopter cette approche progressive, l</w:t>
      </w:r>
      <w:r w:rsidR="006D7B02" w:rsidRPr="004F507A">
        <w:rPr>
          <w:rFonts w:ascii="Arial" w:hAnsi="Arial" w:cs="Arial"/>
          <w:sz w:val="22"/>
          <w:szCs w:val="22"/>
          <w:lang w:val="fr-FR"/>
        </w:rPr>
        <w:t>’</w:t>
      </w:r>
      <w:r w:rsidR="00107398" w:rsidRPr="004F507A">
        <w:rPr>
          <w:rFonts w:ascii="Arial" w:hAnsi="Arial" w:cs="Arial"/>
          <w:sz w:val="22"/>
          <w:szCs w:val="22"/>
          <w:lang w:val="fr-FR"/>
        </w:rPr>
        <w:t xml:space="preserve">IGC devrait, selon moi, </w:t>
      </w:r>
      <w:r w:rsidR="002F145C" w:rsidRPr="004F507A">
        <w:rPr>
          <w:rFonts w:ascii="Arial" w:hAnsi="Arial" w:cs="Arial"/>
          <w:sz w:val="22"/>
          <w:szCs w:val="22"/>
          <w:lang w:val="fr-FR"/>
        </w:rPr>
        <w:t xml:space="preserve">rapidement </w:t>
      </w:r>
      <w:r w:rsidR="00107398" w:rsidRPr="004F507A">
        <w:rPr>
          <w:rFonts w:ascii="Arial" w:hAnsi="Arial" w:cs="Arial"/>
          <w:sz w:val="22"/>
          <w:szCs w:val="22"/>
          <w:lang w:val="fr-FR"/>
        </w:rPr>
        <w:t xml:space="preserve">chercher à </w:t>
      </w:r>
      <w:r w:rsidR="002F145C" w:rsidRPr="004F507A">
        <w:rPr>
          <w:rFonts w:ascii="Arial" w:hAnsi="Arial" w:cs="Arial"/>
          <w:sz w:val="22"/>
          <w:szCs w:val="22"/>
          <w:lang w:val="fr-FR"/>
        </w:rPr>
        <w:t>convenir d</w:t>
      </w:r>
      <w:r w:rsidR="00107398" w:rsidRPr="004F507A">
        <w:rPr>
          <w:rFonts w:ascii="Arial" w:hAnsi="Arial" w:cs="Arial"/>
          <w:sz w:val="22"/>
          <w:szCs w:val="22"/>
          <w:lang w:val="fr-FR"/>
        </w:rPr>
        <w:t>es éléments clés qui définiront chaque niveau de protection.</w:t>
      </w:r>
    </w:p>
    <w:p w:rsidR="004F60C4" w:rsidRPr="004F507A" w:rsidRDefault="00AB5314" w:rsidP="002B5624">
      <w:pPr>
        <w:tabs>
          <w:tab w:val="left" w:pos="567"/>
        </w:tabs>
        <w:spacing w:after="240"/>
        <w:rPr>
          <w:rFonts w:ascii="Arial" w:hAnsi="Arial" w:cs="Arial"/>
          <w:sz w:val="22"/>
          <w:szCs w:val="22"/>
          <w:u w:val="single"/>
          <w:lang w:val="fr-FR"/>
        </w:rPr>
      </w:pPr>
      <w:r w:rsidRPr="004F507A">
        <w:rPr>
          <w:rFonts w:ascii="Arial" w:hAnsi="Arial" w:cs="Arial"/>
          <w:sz w:val="22"/>
          <w:szCs w:val="22"/>
          <w:u w:val="single"/>
          <w:lang w:val="fr-FR"/>
        </w:rPr>
        <w:t xml:space="preserve">Exceptions </w:t>
      </w:r>
      <w:r w:rsidR="00F97626" w:rsidRPr="004F507A">
        <w:rPr>
          <w:rFonts w:ascii="Arial" w:hAnsi="Arial" w:cs="Arial"/>
          <w:sz w:val="22"/>
          <w:szCs w:val="22"/>
          <w:u w:val="single"/>
          <w:lang w:val="fr-FR"/>
        </w:rPr>
        <w:t>et</w:t>
      </w:r>
      <w:r w:rsidRPr="004F507A">
        <w:rPr>
          <w:rFonts w:ascii="Arial" w:hAnsi="Arial" w:cs="Arial"/>
          <w:sz w:val="22"/>
          <w:szCs w:val="22"/>
          <w:u w:val="single"/>
          <w:lang w:val="fr-FR"/>
        </w:rPr>
        <w:t xml:space="preserve"> limitations</w:t>
      </w:r>
    </w:p>
    <w:p w:rsidR="004F60C4" w:rsidRPr="004F507A" w:rsidRDefault="000769D8" w:rsidP="002B5624">
      <w:pPr>
        <w:tabs>
          <w:tab w:val="left" w:pos="567"/>
        </w:tabs>
        <w:spacing w:after="240"/>
        <w:rPr>
          <w:rFonts w:ascii="Arial" w:hAnsi="Arial" w:cs="Arial"/>
          <w:sz w:val="22"/>
          <w:szCs w:val="22"/>
          <w:lang w:val="fr-FR"/>
        </w:rPr>
      </w:pPr>
      <w:r w:rsidRPr="004F507A">
        <w:rPr>
          <w:rFonts w:ascii="Arial" w:hAnsi="Arial" w:cs="Arial"/>
          <w:sz w:val="22"/>
          <w:szCs w:val="22"/>
          <w:lang w:val="fr-FR"/>
        </w:rPr>
        <w:fldChar w:fldCharType="begin"/>
      </w:r>
      <w:r w:rsidRPr="004F507A">
        <w:rPr>
          <w:rFonts w:ascii="Arial" w:hAnsi="Arial" w:cs="Arial"/>
          <w:sz w:val="22"/>
          <w:szCs w:val="22"/>
          <w:lang w:val="fr-FR"/>
        </w:rPr>
        <w:instrText xml:space="preserve"> AUTONUM  </w:instrText>
      </w:r>
      <w:r w:rsidRPr="004F507A">
        <w:rPr>
          <w:rFonts w:ascii="Arial" w:hAnsi="Arial" w:cs="Arial"/>
          <w:sz w:val="22"/>
          <w:szCs w:val="22"/>
          <w:lang w:val="fr-FR"/>
        </w:rPr>
        <w:fldChar w:fldCharType="end"/>
      </w:r>
      <w:r w:rsidRPr="004F507A">
        <w:rPr>
          <w:rFonts w:ascii="Arial" w:hAnsi="Arial" w:cs="Arial"/>
          <w:sz w:val="22"/>
          <w:szCs w:val="22"/>
          <w:lang w:val="fr-FR"/>
        </w:rPr>
        <w:tab/>
      </w:r>
      <w:r w:rsidR="001A17A1" w:rsidRPr="004F507A">
        <w:rPr>
          <w:rFonts w:ascii="Arial" w:hAnsi="Arial" w:cs="Arial"/>
          <w:color w:val="000000"/>
          <w:sz w:val="22"/>
          <w:szCs w:val="22"/>
          <w:lang w:val="fr-FR"/>
        </w:rPr>
        <w:t>L</w:t>
      </w:r>
      <w:r w:rsidR="00E20C27" w:rsidRPr="004F507A">
        <w:rPr>
          <w:rFonts w:ascii="Arial" w:hAnsi="Arial" w:cs="Arial"/>
          <w:color w:val="000000"/>
          <w:sz w:val="22"/>
          <w:szCs w:val="22"/>
          <w:lang w:val="fr-FR"/>
        </w:rPr>
        <w:t xml:space="preserve">es dispositions </w:t>
      </w:r>
      <w:r w:rsidR="001A17A1" w:rsidRPr="004F507A">
        <w:rPr>
          <w:rFonts w:ascii="Arial" w:hAnsi="Arial" w:cs="Arial"/>
          <w:color w:val="000000"/>
          <w:sz w:val="22"/>
          <w:szCs w:val="22"/>
          <w:lang w:val="fr-FR"/>
        </w:rPr>
        <w:t>de l</w:t>
      </w:r>
      <w:r w:rsidR="006D7B02" w:rsidRPr="004F507A">
        <w:rPr>
          <w:rFonts w:ascii="Arial" w:hAnsi="Arial" w:cs="Arial"/>
          <w:color w:val="000000"/>
          <w:sz w:val="22"/>
          <w:szCs w:val="22"/>
          <w:lang w:val="fr-FR"/>
        </w:rPr>
        <w:t>’</w:t>
      </w:r>
      <w:r w:rsidR="00E20C27" w:rsidRPr="004F507A">
        <w:rPr>
          <w:rFonts w:ascii="Arial" w:hAnsi="Arial" w:cs="Arial"/>
          <w:color w:val="000000"/>
          <w:sz w:val="22"/>
          <w:szCs w:val="22"/>
          <w:lang w:val="fr-FR"/>
        </w:rPr>
        <w:t>article</w:t>
      </w:r>
      <w:r w:rsidR="000E59D1" w:rsidRPr="004F507A">
        <w:rPr>
          <w:rFonts w:ascii="Arial" w:hAnsi="Arial" w:cs="Arial"/>
          <w:color w:val="000000"/>
          <w:sz w:val="22"/>
          <w:szCs w:val="22"/>
          <w:lang w:val="fr-FR"/>
        </w:rPr>
        <w:t> </w:t>
      </w:r>
      <w:r w:rsidR="00E20C27" w:rsidRPr="004F507A">
        <w:rPr>
          <w:rFonts w:ascii="Arial" w:hAnsi="Arial" w:cs="Arial"/>
          <w:color w:val="000000"/>
          <w:sz w:val="22"/>
          <w:szCs w:val="22"/>
          <w:lang w:val="fr-FR"/>
        </w:rPr>
        <w:t>6</w:t>
      </w:r>
      <w:r w:rsidR="001A17A1" w:rsidRPr="004F507A">
        <w:rPr>
          <w:rFonts w:ascii="Arial" w:hAnsi="Arial" w:cs="Arial"/>
          <w:color w:val="000000"/>
          <w:sz w:val="22"/>
          <w:szCs w:val="22"/>
          <w:lang w:val="fr-FR"/>
        </w:rPr>
        <w:t xml:space="preserve">, </w:t>
      </w:r>
      <w:r w:rsidR="00192CB7">
        <w:rPr>
          <w:rFonts w:ascii="Arial" w:hAnsi="Arial" w:cs="Arial"/>
          <w:color w:val="000000"/>
          <w:sz w:val="22"/>
          <w:szCs w:val="22"/>
          <w:lang w:val="fr-FR"/>
        </w:rPr>
        <w:t>“</w:t>
      </w:r>
      <w:r w:rsidR="001A17A1" w:rsidRPr="004F507A">
        <w:rPr>
          <w:rFonts w:ascii="Arial" w:hAnsi="Arial" w:cs="Arial"/>
          <w:color w:val="000000"/>
          <w:sz w:val="22"/>
          <w:szCs w:val="22"/>
          <w:lang w:val="fr-FR"/>
        </w:rPr>
        <w:t>Exceptions et limitations</w:t>
      </w:r>
      <w:r w:rsidR="00192CB7">
        <w:rPr>
          <w:rFonts w:ascii="Arial" w:hAnsi="Arial" w:cs="Arial"/>
          <w:color w:val="000000"/>
          <w:sz w:val="22"/>
          <w:szCs w:val="22"/>
          <w:lang w:val="fr-FR"/>
        </w:rPr>
        <w:t>”</w:t>
      </w:r>
      <w:r w:rsidR="001A17A1" w:rsidRPr="004F507A">
        <w:rPr>
          <w:rFonts w:ascii="Arial" w:hAnsi="Arial" w:cs="Arial"/>
          <w:color w:val="000000"/>
          <w:sz w:val="22"/>
          <w:szCs w:val="22"/>
          <w:lang w:val="fr-FR"/>
        </w:rPr>
        <w:t>,</w:t>
      </w:r>
      <w:r w:rsidR="00E20C27" w:rsidRPr="004F507A">
        <w:rPr>
          <w:rFonts w:ascii="Arial" w:hAnsi="Arial" w:cs="Arial"/>
          <w:color w:val="000000"/>
          <w:sz w:val="22"/>
          <w:szCs w:val="22"/>
          <w:lang w:val="fr-FR"/>
        </w:rPr>
        <w:t xml:space="preserve"> sont réparties entre exceptions générales et exceptions particulières.</w:t>
      </w:r>
    </w:p>
    <w:p w:rsidR="004F60C4" w:rsidRPr="004F507A" w:rsidRDefault="000769D8" w:rsidP="002B5624">
      <w:pPr>
        <w:tabs>
          <w:tab w:val="left" w:pos="567"/>
        </w:tabs>
        <w:spacing w:after="240"/>
        <w:rPr>
          <w:rFonts w:ascii="Arial" w:hAnsi="Arial" w:cs="Arial"/>
          <w:sz w:val="22"/>
          <w:szCs w:val="22"/>
          <w:lang w:val="fr-FR"/>
        </w:rPr>
      </w:pPr>
      <w:r w:rsidRPr="004F507A">
        <w:rPr>
          <w:rFonts w:ascii="Arial" w:hAnsi="Arial" w:cs="Arial"/>
          <w:sz w:val="22"/>
          <w:szCs w:val="22"/>
          <w:lang w:val="fr-FR"/>
        </w:rPr>
        <w:fldChar w:fldCharType="begin"/>
      </w:r>
      <w:r w:rsidRPr="004F507A">
        <w:rPr>
          <w:rFonts w:ascii="Arial" w:hAnsi="Arial" w:cs="Arial"/>
          <w:sz w:val="22"/>
          <w:szCs w:val="22"/>
          <w:lang w:val="fr-FR"/>
        </w:rPr>
        <w:instrText xml:space="preserve"> AUTONUM  </w:instrText>
      </w:r>
      <w:r w:rsidRPr="004F507A">
        <w:rPr>
          <w:rFonts w:ascii="Arial" w:hAnsi="Arial" w:cs="Arial"/>
          <w:sz w:val="22"/>
          <w:szCs w:val="22"/>
          <w:lang w:val="fr-FR"/>
        </w:rPr>
        <w:fldChar w:fldCharType="end"/>
      </w:r>
      <w:r w:rsidRPr="004F507A">
        <w:rPr>
          <w:rFonts w:ascii="Arial" w:hAnsi="Arial" w:cs="Arial"/>
          <w:sz w:val="22"/>
          <w:szCs w:val="22"/>
          <w:lang w:val="fr-FR"/>
        </w:rPr>
        <w:tab/>
      </w:r>
      <w:r w:rsidR="00154426" w:rsidRPr="004F507A">
        <w:rPr>
          <w:rFonts w:ascii="Arial" w:hAnsi="Arial" w:cs="Arial"/>
          <w:color w:val="000000"/>
          <w:sz w:val="22"/>
          <w:szCs w:val="22"/>
          <w:lang w:val="fr-FR"/>
        </w:rPr>
        <w:t>La</w:t>
      </w:r>
      <w:r w:rsidR="00394CE1" w:rsidRPr="004F507A">
        <w:rPr>
          <w:rFonts w:ascii="Arial" w:hAnsi="Arial" w:cs="Arial"/>
          <w:color w:val="000000"/>
          <w:sz w:val="22"/>
          <w:szCs w:val="22"/>
          <w:lang w:val="fr-FR"/>
        </w:rPr>
        <w:t xml:space="preserve"> section</w:t>
      </w:r>
      <w:r w:rsidR="00192CB7">
        <w:rPr>
          <w:rFonts w:ascii="Arial" w:hAnsi="Arial" w:cs="Arial"/>
          <w:color w:val="000000"/>
          <w:sz w:val="22"/>
          <w:szCs w:val="22"/>
          <w:lang w:val="fr-FR"/>
        </w:rPr>
        <w:t xml:space="preserve"> “</w:t>
      </w:r>
      <w:r w:rsidR="00394CE1" w:rsidRPr="004F507A">
        <w:rPr>
          <w:rFonts w:ascii="Arial" w:hAnsi="Arial" w:cs="Arial"/>
          <w:color w:val="000000"/>
          <w:sz w:val="22"/>
          <w:szCs w:val="22"/>
          <w:lang w:val="fr-FR"/>
        </w:rPr>
        <w:t>Exceptions générales</w:t>
      </w:r>
      <w:r w:rsidR="00192CB7">
        <w:rPr>
          <w:rFonts w:ascii="Arial" w:hAnsi="Arial" w:cs="Arial"/>
          <w:color w:val="000000"/>
          <w:sz w:val="22"/>
          <w:szCs w:val="22"/>
          <w:lang w:val="fr-FR"/>
        </w:rPr>
        <w:t>”</w:t>
      </w:r>
      <w:r w:rsidR="00394CE1" w:rsidRPr="004F507A">
        <w:rPr>
          <w:rFonts w:ascii="Arial" w:hAnsi="Arial" w:cs="Arial"/>
          <w:color w:val="000000"/>
          <w:sz w:val="22"/>
          <w:szCs w:val="22"/>
          <w:lang w:val="fr-FR"/>
        </w:rPr>
        <w:t xml:space="preserve"> vise à formuler les conditions, applicables au niveau national, qu</w:t>
      </w:r>
      <w:r w:rsidR="006D7B02" w:rsidRPr="004F507A">
        <w:rPr>
          <w:rFonts w:ascii="Arial" w:hAnsi="Arial" w:cs="Arial"/>
          <w:color w:val="000000"/>
          <w:sz w:val="22"/>
          <w:szCs w:val="22"/>
          <w:lang w:val="fr-FR"/>
        </w:rPr>
        <w:t>’</w:t>
      </w:r>
      <w:r w:rsidR="00394CE1" w:rsidRPr="004F507A">
        <w:rPr>
          <w:rFonts w:ascii="Arial" w:hAnsi="Arial" w:cs="Arial"/>
          <w:color w:val="000000"/>
          <w:sz w:val="22"/>
          <w:szCs w:val="22"/>
          <w:lang w:val="fr-FR"/>
        </w:rPr>
        <w:t xml:space="preserve">il serait nécessaire de remplir </w:t>
      </w:r>
      <w:r w:rsidR="00154426" w:rsidRPr="004F507A">
        <w:rPr>
          <w:rFonts w:ascii="Arial" w:hAnsi="Arial" w:cs="Arial"/>
          <w:color w:val="000000"/>
          <w:sz w:val="22"/>
          <w:szCs w:val="22"/>
          <w:lang w:val="fr-FR"/>
        </w:rPr>
        <w:t>lorsqu</w:t>
      </w:r>
      <w:r w:rsidR="006D7B02" w:rsidRPr="004F507A">
        <w:rPr>
          <w:rFonts w:ascii="Arial" w:hAnsi="Arial" w:cs="Arial"/>
          <w:color w:val="000000"/>
          <w:sz w:val="22"/>
          <w:szCs w:val="22"/>
          <w:lang w:val="fr-FR"/>
        </w:rPr>
        <w:t>’</w:t>
      </w:r>
      <w:r w:rsidR="00154426" w:rsidRPr="004F507A">
        <w:rPr>
          <w:rFonts w:ascii="Arial" w:hAnsi="Arial" w:cs="Arial"/>
          <w:color w:val="000000"/>
          <w:sz w:val="22"/>
          <w:szCs w:val="22"/>
          <w:lang w:val="fr-FR"/>
        </w:rPr>
        <w:t xml:space="preserve">on souhaite </w:t>
      </w:r>
      <w:r w:rsidR="00394CE1" w:rsidRPr="004F507A">
        <w:rPr>
          <w:rFonts w:ascii="Arial" w:hAnsi="Arial" w:cs="Arial"/>
          <w:color w:val="000000"/>
          <w:sz w:val="22"/>
          <w:szCs w:val="22"/>
          <w:lang w:val="fr-FR"/>
        </w:rPr>
        <w:t>définir des exceptions et limitations (alinéa</w:t>
      </w:r>
      <w:r w:rsidR="000E59D1" w:rsidRPr="004F507A">
        <w:rPr>
          <w:rFonts w:ascii="Arial" w:hAnsi="Arial" w:cs="Arial"/>
          <w:color w:val="000000"/>
          <w:sz w:val="22"/>
          <w:szCs w:val="22"/>
          <w:lang w:val="fr-FR"/>
        </w:rPr>
        <w:t> </w:t>
      </w:r>
      <w:r w:rsidR="00394CE1" w:rsidRPr="004F507A">
        <w:rPr>
          <w:rFonts w:ascii="Arial" w:hAnsi="Arial" w:cs="Arial"/>
          <w:color w:val="000000"/>
          <w:sz w:val="22"/>
          <w:szCs w:val="22"/>
          <w:lang w:val="fr-FR"/>
        </w:rPr>
        <w:t>6.1).</w:t>
      </w:r>
      <w:r w:rsidR="009D74CE" w:rsidRPr="004F507A">
        <w:rPr>
          <w:rFonts w:ascii="Arial" w:hAnsi="Arial"/>
          <w:color w:val="000000"/>
          <w:sz w:val="22"/>
          <w:lang w:val="fr-FR"/>
        </w:rPr>
        <w:t xml:space="preserve"> </w:t>
      </w:r>
      <w:r w:rsidR="00154426" w:rsidRPr="004F507A">
        <w:rPr>
          <w:rFonts w:ascii="Arial" w:hAnsi="Arial"/>
          <w:color w:val="000000"/>
          <w:sz w:val="22"/>
          <w:lang w:val="fr-FR"/>
        </w:rPr>
        <w:t xml:space="preserve"> </w:t>
      </w:r>
      <w:r w:rsidR="00154426" w:rsidRPr="004F507A">
        <w:rPr>
          <w:rFonts w:ascii="Arial" w:hAnsi="Arial" w:cs="Arial"/>
          <w:sz w:val="22"/>
          <w:szCs w:val="22"/>
          <w:lang w:val="fr-FR"/>
        </w:rPr>
        <w:t>Il</w:t>
      </w:r>
      <w:r w:rsidR="00D55CC8" w:rsidRPr="004F507A">
        <w:rPr>
          <w:rFonts w:ascii="Arial" w:hAnsi="Arial" w:cs="Arial"/>
          <w:color w:val="000000"/>
          <w:sz w:val="22"/>
          <w:szCs w:val="22"/>
          <w:lang w:val="fr-FR"/>
        </w:rPr>
        <w:t xml:space="preserve"> semble se dégager </w:t>
      </w:r>
      <w:r w:rsidR="00154426" w:rsidRPr="004F507A">
        <w:rPr>
          <w:rFonts w:ascii="Arial" w:hAnsi="Arial" w:cs="Arial"/>
          <w:color w:val="000000"/>
          <w:sz w:val="22"/>
          <w:szCs w:val="22"/>
          <w:lang w:val="fr-FR"/>
        </w:rPr>
        <w:t xml:space="preserve">un point de vue </w:t>
      </w:r>
      <w:r w:rsidR="00D55CC8" w:rsidRPr="004F507A">
        <w:rPr>
          <w:rFonts w:ascii="Arial" w:hAnsi="Arial" w:cs="Arial"/>
          <w:color w:val="000000"/>
          <w:sz w:val="22"/>
          <w:szCs w:val="22"/>
          <w:lang w:val="fr-FR"/>
        </w:rPr>
        <w:t xml:space="preserve">selon lequel ces conditions pourraient incorporer des éléments du test </w:t>
      </w:r>
      <w:r w:rsidR="006D7B02" w:rsidRPr="004F507A">
        <w:rPr>
          <w:rFonts w:ascii="Arial" w:hAnsi="Arial" w:cs="Arial"/>
          <w:color w:val="000000"/>
          <w:sz w:val="22"/>
          <w:szCs w:val="22"/>
          <w:lang w:val="fr-FR"/>
        </w:rPr>
        <w:t>“</w:t>
      </w:r>
      <w:r w:rsidR="00D55CC8" w:rsidRPr="004F507A">
        <w:rPr>
          <w:rFonts w:ascii="Arial" w:hAnsi="Arial" w:cs="Arial"/>
          <w:color w:val="000000"/>
          <w:sz w:val="22"/>
          <w:szCs w:val="22"/>
          <w:lang w:val="fr-FR"/>
        </w:rPr>
        <w:t>classique</w:t>
      </w:r>
      <w:r w:rsidR="006D7B02" w:rsidRPr="004F507A">
        <w:rPr>
          <w:rFonts w:ascii="Arial" w:hAnsi="Arial" w:cs="Arial"/>
          <w:color w:val="000000"/>
          <w:sz w:val="22"/>
          <w:szCs w:val="22"/>
          <w:lang w:val="fr-FR"/>
        </w:rPr>
        <w:t>”</w:t>
      </w:r>
      <w:r w:rsidR="00D55CC8" w:rsidRPr="004F507A">
        <w:rPr>
          <w:rFonts w:ascii="Arial" w:hAnsi="Arial" w:cs="Arial"/>
          <w:color w:val="000000"/>
          <w:sz w:val="22"/>
          <w:szCs w:val="22"/>
          <w:lang w:val="fr-FR"/>
        </w:rPr>
        <w:t xml:space="preserve"> en trois</w:t>
      </w:r>
      <w:r w:rsidR="000E59D1" w:rsidRPr="004F507A">
        <w:rPr>
          <w:rFonts w:ascii="Arial" w:hAnsi="Arial" w:cs="Arial"/>
          <w:color w:val="000000"/>
          <w:sz w:val="22"/>
          <w:szCs w:val="22"/>
          <w:lang w:val="fr-FR"/>
        </w:rPr>
        <w:t> </w:t>
      </w:r>
      <w:r w:rsidR="00D55CC8" w:rsidRPr="004F507A">
        <w:rPr>
          <w:rFonts w:ascii="Arial" w:hAnsi="Arial" w:cs="Arial"/>
          <w:color w:val="000000"/>
          <w:sz w:val="22"/>
          <w:szCs w:val="22"/>
          <w:lang w:val="fr-FR"/>
        </w:rPr>
        <w:t>étapes décrit dans la Convention de Berne pour le droit d</w:t>
      </w:r>
      <w:r w:rsidR="006D7B02" w:rsidRPr="004F507A">
        <w:rPr>
          <w:rFonts w:ascii="Arial" w:hAnsi="Arial" w:cs="Arial"/>
          <w:color w:val="000000"/>
          <w:sz w:val="22"/>
          <w:szCs w:val="22"/>
          <w:lang w:val="fr-FR"/>
        </w:rPr>
        <w:t>’</w:t>
      </w:r>
      <w:r w:rsidR="00D55CC8" w:rsidRPr="004F507A">
        <w:rPr>
          <w:rFonts w:ascii="Arial" w:hAnsi="Arial" w:cs="Arial"/>
          <w:color w:val="000000"/>
          <w:sz w:val="22"/>
          <w:szCs w:val="22"/>
          <w:lang w:val="fr-FR"/>
        </w:rPr>
        <w:t>auteur, ainsi que des droits moraux liés aux principes de reconnaissance, d</w:t>
      </w:r>
      <w:r w:rsidR="006D7B02" w:rsidRPr="004F507A">
        <w:rPr>
          <w:rFonts w:ascii="Arial" w:hAnsi="Arial" w:cs="Arial"/>
          <w:color w:val="000000"/>
          <w:sz w:val="22"/>
          <w:szCs w:val="22"/>
          <w:lang w:val="fr-FR"/>
        </w:rPr>
        <w:t>’</w:t>
      </w:r>
      <w:r w:rsidR="00D55CC8" w:rsidRPr="004F507A">
        <w:rPr>
          <w:rFonts w:ascii="Arial" w:hAnsi="Arial" w:cs="Arial"/>
          <w:color w:val="000000"/>
          <w:sz w:val="22"/>
          <w:szCs w:val="22"/>
          <w:lang w:val="fr-FR"/>
        </w:rPr>
        <w:t>utilisation non offensante et de conformité aux bons usages.</w:t>
      </w:r>
    </w:p>
    <w:p w:rsidR="004F60C4" w:rsidRPr="004F507A" w:rsidRDefault="000769D8" w:rsidP="002B5624">
      <w:pPr>
        <w:tabs>
          <w:tab w:val="left" w:pos="567"/>
        </w:tabs>
        <w:spacing w:after="240"/>
        <w:rPr>
          <w:rFonts w:ascii="Arial" w:hAnsi="Arial" w:cs="Arial"/>
          <w:sz w:val="22"/>
          <w:szCs w:val="22"/>
          <w:lang w:val="fr-FR"/>
        </w:rPr>
      </w:pPr>
      <w:r w:rsidRPr="004F507A">
        <w:rPr>
          <w:rFonts w:ascii="Arial" w:hAnsi="Arial" w:cs="Arial"/>
          <w:sz w:val="22"/>
          <w:szCs w:val="22"/>
          <w:lang w:val="fr-FR"/>
        </w:rPr>
        <w:fldChar w:fldCharType="begin"/>
      </w:r>
      <w:r w:rsidRPr="004F507A">
        <w:rPr>
          <w:rFonts w:ascii="Arial" w:hAnsi="Arial" w:cs="Arial"/>
          <w:sz w:val="22"/>
          <w:szCs w:val="22"/>
          <w:lang w:val="fr-FR"/>
        </w:rPr>
        <w:instrText xml:space="preserve"> AUTONUM  </w:instrText>
      </w:r>
      <w:r w:rsidRPr="004F507A">
        <w:rPr>
          <w:rFonts w:ascii="Arial" w:hAnsi="Arial" w:cs="Arial"/>
          <w:sz w:val="22"/>
          <w:szCs w:val="22"/>
          <w:lang w:val="fr-FR"/>
        </w:rPr>
        <w:fldChar w:fldCharType="end"/>
      </w:r>
      <w:r w:rsidRPr="004F507A">
        <w:rPr>
          <w:rFonts w:ascii="Arial" w:hAnsi="Arial" w:cs="Arial"/>
          <w:sz w:val="22"/>
          <w:szCs w:val="22"/>
          <w:lang w:val="fr-FR"/>
        </w:rPr>
        <w:tab/>
      </w:r>
      <w:r w:rsidR="00D55CC8" w:rsidRPr="004F507A">
        <w:rPr>
          <w:rFonts w:ascii="Arial" w:hAnsi="Arial" w:cs="Arial"/>
          <w:color w:val="000000"/>
          <w:sz w:val="22"/>
          <w:szCs w:val="22"/>
          <w:lang w:val="fr-FR"/>
        </w:rPr>
        <w:t>La section</w:t>
      </w:r>
      <w:r w:rsidR="00192CB7">
        <w:rPr>
          <w:rFonts w:ascii="Arial" w:hAnsi="Arial" w:cs="Arial"/>
          <w:color w:val="000000"/>
          <w:sz w:val="22"/>
          <w:szCs w:val="22"/>
          <w:lang w:val="fr-FR"/>
        </w:rPr>
        <w:t xml:space="preserve"> “</w:t>
      </w:r>
      <w:r w:rsidR="00D55CC8" w:rsidRPr="004F507A">
        <w:rPr>
          <w:rFonts w:ascii="Arial" w:hAnsi="Arial" w:cs="Arial"/>
          <w:color w:val="000000"/>
          <w:sz w:val="22"/>
          <w:szCs w:val="22"/>
          <w:lang w:val="fr-FR"/>
        </w:rPr>
        <w:t>Exceptions particulières</w:t>
      </w:r>
      <w:r w:rsidR="00192CB7">
        <w:rPr>
          <w:rFonts w:ascii="Arial" w:hAnsi="Arial" w:cs="Arial"/>
          <w:color w:val="000000"/>
          <w:sz w:val="22"/>
          <w:szCs w:val="22"/>
          <w:lang w:val="fr-FR"/>
        </w:rPr>
        <w:t>”</w:t>
      </w:r>
      <w:r w:rsidR="00D55CC8" w:rsidRPr="004F507A">
        <w:rPr>
          <w:rFonts w:ascii="Arial" w:hAnsi="Arial" w:cs="Arial"/>
          <w:color w:val="000000"/>
          <w:sz w:val="22"/>
          <w:szCs w:val="22"/>
          <w:lang w:val="fr-FR"/>
        </w:rPr>
        <w:t xml:space="preserve"> décrit les types d</w:t>
      </w:r>
      <w:r w:rsidR="006D7B02" w:rsidRPr="004F507A">
        <w:rPr>
          <w:rFonts w:ascii="Arial" w:hAnsi="Arial" w:cs="Arial"/>
          <w:color w:val="000000"/>
          <w:sz w:val="22"/>
          <w:szCs w:val="22"/>
          <w:lang w:val="fr-FR"/>
        </w:rPr>
        <w:t>’</w:t>
      </w:r>
      <w:r w:rsidR="00D55CC8" w:rsidRPr="004F507A">
        <w:rPr>
          <w:rFonts w:ascii="Arial" w:hAnsi="Arial" w:cs="Arial"/>
          <w:color w:val="000000"/>
          <w:sz w:val="22"/>
          <w:szCs w:val="22"/>
          <w:lang w:val="fr-FR"/>
        </w:rPr>
        <w:t>exceptions et de limitations qu</w:t>
      </w:r>
      <w:r w:rsidR="006D7B02" w:rsidRPr="004F507A">
        <w:rPr>
          <w:rFonts w:ascii="Arial" w:hAnsi="Arial" w:cs="Arial"/>
          <w:color w:val="000000"/>
          <w:sz w:val="22"/>
          <w:szCs w:val="22"/>
          <w:lang w:val="fr-FR"/>
        </w:rPr>
        <w:t>’</w:t>
      </w:r>
      <w:r w:rsidR="00D55CC8" w:rsidRPr="004F507A">
        <w:rPr>
          <w:rFonts w:ascii="Arial" w:hAnsi="Arial" w:cs="Arial"/>
          <w:color w:val="000000"/>
          <w:sz w:val="22"/>
          <w:szCs w:val="22"/>
          <w:lang w:val="fr-FR"/>
        </w:rPr>
        <w:t>il convient d</w:t>
      </w:r>
      <w:r w:rsidR="006D7B02" w:rsidRPr="004F507A">
        <w:rPr>
          <w:rFonts w:ascii="Arial" w:hAnsi="Arial" w:cs="Arial"/>
          <w:color w:val="000000"/>
          <w:sz w:val="22"/>
          <w:szCs w:val="22"/>
          <w:lang w:val="fr-FR"/>
        </w:rPr>
        <w:t>’</w:t>
      </w:r>
      <w:r w:rsidR="00D55CC8" w:rsidRPr="004F507A">
        <w:rPr>
          <w:rFonts w:ascii="Arial" w:hAnsi="Arial" w:cs="Arial"/>
          <w:color w:val="000000"/>
          <w:sz w:val="22"/>
          <w:szCs w:val="22"/>
          <w:lang w:val="fr-FR"/>
        </w:rPr>
        <w:t>intégrer ou d</w:t>
      </w:r>
      <w:r w:rsidR="006D7B02" w:rsidRPr="004F507A">
        <w:rPr>
          <w:rFonts w:ascii="Arial" w:hAnsi="Arial" w:cs="Arial"/>
          <w:color w:val="000000"/>
          <w:sz w:val="22"/>
          <w:szCs w:val="22"/>
          <w:lang w:val="fr-FR"/>
        </w:rPr>
        <w:t>’</w:t>
      </w:r>
      <w:r w:rsidR="00D55CC8" w:rsidRPr="004F507A">
        <w:rPr>
          <w:rFonts w:ascii="Arial" w:hAnsi="Arial" w:cs="Arial"/>
          <w:color w:val="000000"/>
          <w:sz w:val="22"/>
          <w:szCs w:val="22"/>
          <w:lang w:val="fr-FR"/>
        </w:rPr>
        <w:t xml:space="preserve">autoriser. </w:t>
      </w:r>
      <w:r w:rsidR="00CA2735" w:rsidRPr="004F507A">
        <w:rPr>
          <w:rFonts w:ascii="Arial" w:hAnsi="Arial"/>
          <w:color w:val="000000"/>
          <w:sz w:val="22"/>
          <w:lang w:val="fr-FR"/>
        </w:rPr>
        <w:t xml:space="preserve"> </w:t>
      </w:r>
      <w:r w:rsidR="004D5A65" w:rsidRPr="004F507A">
        <w:rPr>
          <w:rFonts w:ascii="Arial" w:hAnsi="Arial" w:cs="Arial"/>
          <w:color w:val="000000"/>
          <w:sz w:val="22"/>
          <w:szCs w:val="22"/>
          <w:lang w:val="fr-FR"/>
        </w:rPr>
        <w:t>L</w:t>
      </w:r>
      <w:r w:rsidR="006D7B02" w:rsidRPr="004F507A">
        <w:rPr>
          <w:rFonts w:ascii="Arial" w:hAnsi="Arial" w:cs="Arial"/>
          <w:color w:val="000000"/>
          <w:sz w:val="22"/>
          <w:szCs w:val="22"/>
          <w:lang w:val="fr-FR"/>
        </w:rPr>
        <w:t>’</w:t>
      </w:r>
      <w:r w:rsidR="004D5A65" w:rsidRPr="004F507A">
        <w:rPr>
          <w:rFonts w:ascii="Arial" w:hAnsi="Arial" w:cs="Arial"/>
          <w:color w:val="000000"/>
          <w:sz w:val="22"/>
          <w:szCs w:val="22"/>
          <w:lang w:val="fr-FR"/>
        </w:rPr>
        <w:t>alinéa</w:t>
      </w:r>
      <w:r w:rsidR="000E59D1" w:rsidRPr="004F507A">
        <w:rPr>
          <w:rFonts w:ascii="Arial" w:hAnsi="Arial" w:cs="Arial"/>
          <w:color w:val="000000"/>
          <w:sz w:val="22"/>
          <w:szCs w:val="22"/>
          <w:lang w:val="fr-FR"/>
        </w:rPr>
        <w:t> </w:t>
      </w:r>
      <w:r w:rsidR="004D5A65" w:rsidRPr="004F507A">
        <w:rPr>
          <w:rFonts w:ascii="Arial" w:hAnsi="Arial" w:cs="Arial"/>
          <w:color w:val="000000"/>
          <w:sz w:val="22"/>
          <w:szCs w:val="22"/>
          <w:lang w:val="fr-FR"/>
        </w:rPr>
        <w:t>6.7 est étroitement lié à l</w:t>
      </w:r>
      <w:r w:rsidR="006D7B02" w:rsidRPr="004F507A">
        <w:rPr>
          <w:rFonts w:ascii="Arial" w:hAnsi="Arial" w:cs="Arial"/>
          <w:color w:val="000000"/>
          <w:sz w:val="22"/>
          <w:szCs w:val="22"/>
          <w:lang w:val="fr-FR"/>
        </w:rPr>
        <w:t>’</w:t>
      </w:r>
      <w:r w:rsidR="004D5A65" w:rsidRPr="004F507A">
        <w:rPr>
          <w:rFonts w:ascii="Arial" w:hAnsi="Arial" w:cs="Arial"/>
          <w:color w:val="000000"/>
          <w:sz w:val="22"/>
          <w:szCs w:val="22"/>
          <w:lang w:val="fr-FR"/>
        </w:rPr>
        <w:t>examen d</w:t>
      </w:r>
      <w:r w:rsidR="006D7B02" w:rsidRPr="004F507A">
        <w:rPr>
          <w:rFonts w:ascii="Arial" w:hAnsi="Arial" w:cs="Arial"/>
          <w:color w:val="000000"/>
          <w:sz w:val="22"/>
          <w:szCs w:val="22"/>
          <w:lang w:val="fr-FR"/>
        </w:rPr>
        <w:t>’</w:t>
      </w:r>
      <w:r w:rsidR="004D5A65" w:rsidRPr="004F507A">
        <w:rPr>
          <w:rFonts w:ascii="Arial" w:hAnsi="Arial" w:cs="Arial"/>
          <w:color w:val="000000"/>
          <w:sz w:val="22"/>
          <w:szCs w:val="22"/>
          <w:lang w:val="fr-FR"/>
        </w:rPr>
        <w:t>une éventuelle approche progressive et du domaine publ</w:t>
      </w:r>
      <w:r w:rsidR="004F507A" w:rsidRPr="004F507A">
        <w:rPr>
          <w:rFonts w:ascii="Arial" w:hAnsi="Arial" w:cs="Arial"/>
          <w:color w:val="000000"/>
          <w:sz w:val="22"/>
          <w:szCs w:val="22"/>
          <w:lang w:val="fr-FR"/>
        </w:rPr>
        <w:t>ic.  Se</w:t>
      </w:r>
      <w:r w:rsidR="00154426" w:rsidRPr="004F507A">
        <w:rPr>
          <w:rFonts w:ascii="Arial" w:hAnsi="Arial" w:cs="Arial"/>
          <w:color w:val="000000"/>
          <w:sz w:val="22"/>
          <w:szCs w:val="22"/>
          <w:lang w:val="fr-FR"/>
        </w:rPr>
        <w:t xml:space="preserve"> fondant sur la possibilité </w:t>
      </w:r>
      <w:r w:rsidR="00154426" w:rsidRPr="004F507A">
        <w:rPr>
          <w:rFonts w:ascii="Arial" w:hAnsi="Arial" w:cs="Arial"/>
          <w:color w:val="000000"/>
          <w:sz w:val="22"/>
          <w:szCs w:val="22"/>
          <w:lang w:val="fr-FR"/>
        </w:rPr>
        <w:lastRenderedPageBreak/>
        <w:t>d</w:t>
      </w:r>
      <w:r w:rsidR="006D7B02" w:rsidRPr="004F507A">
        <w:rPr>
          <w:rFonts w:ascii="Arial" w:hAnsi="Arial" w:cs="Arial"/>
          <w:color w:val="000000"/>
          <w:sz w:val="22"/>
          <w:szCs w:val="22"/>
          <w:lang w:val="fr-FR"/>
        </w:rPr>
        <w:t>’</w:t>
      </w:r>
      <w:r w:rsidR="00154426" w:rsidRPr="004F507A">
        <w:rPr>
          <w:rFonts w:ascii="Arial" w:hAnsi="Arial" w:cs="Arial"/>
          <w:color w:val="000000"/>
          <w:sz w:val="22"/>
          <w:szCs w:val="22"/>
          <w:lang w:val="fr-FR"/>
        </w:rPr>
        <w:t xml:space="preserve">adopter </w:t>
      </w:r>
      <w:r w:rsidR="00C77FD7" w:rsidRPr="004F507A">
        <w:rPr>
          <w:rFonts w:ascii="Arial" w:hAnsi="Arial" w:cs="Arial"/>
          <w:color w:val="000000"/>
          <w:sz w:val="22"/>
          <w:szCs w:val="22"/>
          <w:lang w:val="fr-FR"/>
        </w:rPr>
        <w:t>une approche progressive pour définir l</w:t>
      </w:r>
      <w:r w:rsidR="006D7B02" w:rsidRPr="004F507A">
        <w:rPr>
          <w:rFonts w:ascii="Arial" w:hAnsi="Arial" w:cs="Arial"/>
          <w:color w:val="000000"/>
          <w:sz w:val="22"/>
          <w:szCs w:val="22"/>
          <w:lang w:val="fr-FR"/>
        </w:rPr>
        <w:t>’</w:t>
      </w:r>
      <w:r w:rsidR="00C77FD7" w:rsidRPr="004F507A">
        <w:rPr>
          <w:rFonts w:ascii="Arial" w:hAnsi="Arial" w:cs="Arial"/>
          <w:color w:val="000000"/>
          <w:sz w:val="22"/>
          <w:szCs w:val="22"/>
          <w:lang w:val="fr-FR"/>
        </w:rPr>
        <w:t>étendue de la protection, certaines délégations ont demandé s</w:t>
      </w:r>
      <w:r w:rsidR="006D7B02" w:rsidRPr="004F507A">
        <w:rPr>
          <w:rFonts w:ascii="Arial" w:hAnsi="Arial" w:cs="Arial"/>
          <w:color w:val="000000"/>
          <w:sz w:val="22"/>
          <w:szCs w:val="22"/>
          <w:lang w:val="fr-FR"/>
        </w:rPr>
        <w:t>’</w:t>
      </w:r>
      <w:r w:rsidR="00C77FD7" w:rsidRPr="004F507A">
        <w:rPr>
          <w:rFonts w:ascii="Arial" w:hAnsi="Arial" w:cs="Arial"/>
          <w:color w:val="000000"/>
          <w:sz w:val="22"/>
          <w:szCs w:val="22"/>
          <w:lang w:val="fr-FR"/>
        </w:rPr>
        <w:t xml:space="preserve">il ne conviendrait pas de suivre </w:t>
      </w:r>
      <w:r w:rsidR="00154426" w:rsidRPr="004F507A">
        <w:rPr>
          <w:rFonts w:ascii="Arial" w:hAnsi="Arial" w:cs="Arial"/>
          <w:color w:val="000000"/>
          <w:sz w:val="22"/>
          <w:szCs w:val="22"/>
          <w:lang w:val="fr-FR"/>
        </w:rPr>
        <w:t>la même</w:t>
      </w:r>
      <w:r w:rsidR="00C77FD7" w:rsidRPr="004F507A">
        <w:rPr>
          <w:rFonts w:ascii="Arial" w:hAnsi="Arial" w:cs="Arial"/>
          <w:color w:val="000000"/>
          <w:sz w:val="22"/>
          <w:szCs w:val="22"/>
          <w:lang w:val="fr-FR"/>
        </w:rPr>
        <w:t xml:space="preserve"> approche </w:t>
      </w:r>
      <w:r w:rsidR="00154426" w:rsidRPr="004F507A">
        <w:rPr>
          <w:rFonts w:ascii="Arial" w:hAnsi="Arial" w:cs="Arial"/>
          <w:color w:val="000000"/>
          <w:sz w:val="22"/>
          <w:szCs w:val="22"/>
          <w:lang w:val="fr-FR"/>
        </w:rPr>
        <w:t>concernant</w:t>
      </w:r>
      <w:r w:rsidR="00C77FD7" w:rsidRPr="004F507A">
        <w:rPr>
          <w:rFonts w:ascii="Arial" w:hAnsi="Arial" w:cs="Arial"/>
          <w:color w:val="000000"/>
          <w:sz w:val="22"/>
          <w:szCs w:val="22"/>
          <w:lang w:val="fr-FR"/>
        </w:rPr>
        <w:t xml:space="preserve"> les dispositions relatives aux exceptions et limitations, c</w:t>
      </w:r>
      <w:r w:rsidR="006D7B02" w:rsidRPr="004F507A">
        <w:rPr>
          <w:rFonts w:ascii="Arial" w:hAnsi="Arial" w:cs="Arial"/>
          <w:color w:val="000000"/>
          <w:sz w:val="22"/>
          <w:szCs w:val="22"/>
          <w:lang w:val="fr-FR"/>
        </w:rPr>
        <w:t>’</w:t>
      </w:r>
      <w:r w:rsidR="00C77FD7" w:rsidRPr="004F507A">
        <w:rPr>
          <w:rFonts w:ascii="Arial" w:hAnsi="Arial" w:cs="Arial"/>
          <w:color w:val="000000"/>
          <w:sz w:val="22"/>
          <w:szCs w:val="22"/>
          <w:lang w:val="fr-FR"/>
        </w:rPr>
        <w:t>est</w:t>
      </w:r>
      <w:r w:rsidR="00525EB9">
        <w:rPr>
          <w:rFonts w:ascii="Arial" w:hAnsi="Arial" w:cs="Arial"/>
          <w:color w:val="000000"/>
          <w:sz w:val="22"/>
          <w:szCs w:val="22"/>
          <w:lang w:val="fr-FR"/>
        </w:rPr>
        <w:noBreakHyphen/>
      </w:r>
      <w:r w:rsidR="00C77FD7" w:rsidRPr="004F507A">
        <w:rPr>
          <w:rFonts w:ascii="Arial" w:hAnsi="Arial" w:cs="Arial"/>
          <w:color w:val="000000"/>
          <w:sz w:val="22"/>
          <w:szCs w:val="22"/>
          <w:lang w:val="fr-FR"/>
        </w:rPr>
        <w:t>à</w:t>
      </w:r>
      <w:r w:rsidR="00525EB9">
        <w:rPr>
          <w:rFonts w:ascii="Arial" w:hAnsi="Arial" w:cs="Arial"/>
          <w:color w:val="000000"/>
          <w:sz w:val="22"/>
          <w:szCs w:val="22"/>
          <w:lang w:val="fr-FR"/>
        </w:rPr>
        <w:noBreakHyphen/>
      </w:r>
      <w:r w:rsidR="00C77FD7" w:rsidRPr="004F507A">
        <w:rPr>
          <w:rFonts w:ascii="Arial" w:hAnsi="Arial" w:cs="Arial"/>
          <w:color w:val="000000"/>
          <w:sz w:val="22"/>
          <w:szCs w:val="22"/>
          <w:lang w:val="fr-FR"/>
        </w:rPr>
        <w:t xml:space="preserve">dire </w:t>
      </w:r>
      <w:r w:rsidR="00154426" w:rsidRPr="004F507A">
        <w:rPr>
          <w:rFonts w:ascii="Arial" w:hAnsi="Arial" w:cs="Arial"/>
          <w:color w:val="000000"/>
          <w:sz w:val="22"/>
          <w:szCs w:val="22"/>
          <w:lang w:val="fr-FR"/>
        </w:rPr>
        <w:t>qu</w:t>
      </w:r>
      <w:r w:rsidR="006D7B02" w:rsidRPr="004F507A">
        <w:rPr>
          <w:rFonts w:ascii="Arial" w:hAnsi="Arial" w:cs="Arial"/>
          <w:color w:val="000000"/>
          <w:sz w:val="22"/>
          <w:szCs w:val="22"/>
          <w:lang w:val="fr-FR"/>
        </w:rPr>
        <w:t>’</w:t>
      </w:r>
      <w:r w:rsidR="00154426" w:rsidRPr="004F507A">
        <w:rPr>
          <w:rFonts w:ascii="Arial" w:hAnsi="Arial" w:cs="Arial"/>
          <w:color w:val="000000"/>
          <w:sz w:val="22"/>
          <w:szCs w:val="22"/>
          <w:lang w:val="fr-FR"/>
        </w:rPr>
        <w:t>aux différentes formes d</w:t>
      </w:r>
      <w:r w:rsidR="006D7B02" w:rsidRPr="004F507A">
        <w:rPr>
          <w:rFonts w:ascii="Arial" w:hAnsi="Arial" w:cs="Arial"/>
          <w:color w:val="000000"/>
          <w:sz w:val="22"/>
          <w:szCs w:val="22"/>
          <w:lang w:val="fr-FR"/>
        </w:rPr>
        <w:t>’</w:t>
      </w:r>
      <w:r w:rsidR="00154426" w:rsidRPr="004F507A">
        <w:rPr>
          <w:rFonts w:ascii="Arial" w:hAnsi="Arial" w:cs="Arial"/>
          <w:color w:val="000000"/>
          <w:sz w:val="22"/>
          <w:szCs w:val="22"/>
          <w:lang w:val="fr-FR"/>
        </w:rPr>
        <w:t>objet (les différentes formes sous lesquelles les savoirs traditionnels se présentent) et aux droits progressifs qui leur sont applicables correspondraient différents types d</w:t>
      </w:r>
      <w:r w:rsidR="006D7B02" w:rsidRPr="004F507A">
        <w:rPr>
          <w:rFonts w:ascii="Arial" w:hAnsi="Arial" w:cs="Arial"/>
          <w:color w:val="000000"/>
          <w:sz w:val="22"/>
          <w:szCs w:val="22"/>
          <w:lang w:val="fr-FR"/>
        </w:rPr>
        <w:t>’</w:t>
      </w:r>
      <w:r w:rsidR="00154426" w:rsidRPr="004F507A">
        <w:rPr>
          <w:rFonts w:ascii="Arial" w:hAnsi="Arial" w:cs="Arial"/>
          <w:color w:val="000000"/>
          <w:sz w:val="22"/>
          <w:szCs w:val="22"/>
          <w:lang w:val="fr-FR"/>
        </w:rPr>
        <w:t>exception</w:t>
      </w:r>
      <w:r w:rsidR="00C77FD7" w:rsidRPr="004F507A">
        <w:rPr>
          <w:rFonts w:ascii="Arial" w:hAnsi="Arial" w:cs="Arial"/>
          <w:color w:val="000000"/>
          <w:sz w:val="22"/>
          <w:szCs w:val="22"/>
          <w:lang w:val="fr-FR"/>
        </w:rPr>
        <w:t>.</w:t>
      </w:r>
    </w:p>
    <w:p w:rsidR="004F60C4" w:rsidRPr="004F507A" w:rsidRDefault="00C77FD7" w:rsidP="002B5624">
      <w:pPr>
        <w:tabs>
          <w:tab w:val="left" w:pos="567"/>
        </w:tabs>
        <w:spacing w:after="240"/>
        <w:rPr>
          <w:rFonts w:ascii="Arial" w:hAnsi="Arial" w:cs="Arial"/>
          <w:sz w:val="22"/>
          <w:szCs w:val="22"/>
          <w:u w:val="single"/>
          <w:lang w:val="fr-FR"/>
        </w:rPr>
      </w:pPr>
      <w:r w:rsidRPr="004F507A">
        <w:rPr>
          <w:rFonts w:ascii="Arial" w:hAnsi="Arial" w:cs="Arial"/>
          <w:color w:val="000000"/>
          <w:sz w:val="22"/>
          <w:szCs w:val="22"/>
          <w:u w:val="single"/>
          <w:lang w:val="fr-FR"/>
        </w:rPr>
        <w:t>Rapports avec le domaine public</w:t>
      </w:r>
    </w:p>
    <w:p w:rsidR="006D7B02" w:rsidRPr="004F507A" w:rsidRDefault="000769D8" w:rsidP="002B5624">
      <w:pPr>
        <w:tabs>
          <w:tab w:val="left" w:pos="567"/>
        </w:tabs>
        <w:spacing w:after="240"/>
        <w:rPr>
          <w:rFonts w:ascii="Arial" w:hAnsi="Arial" w:cs="Arial"/>
          <w:sz w:val="22"/>
          <w:szCs w:val="22"/>
          <w:lang w:val="fr-FR"/>
        </w:rPr>
      </w:pPr>
      <w:r w:rsidRPr="004F507A">
        <w:rPr>
          <w:rFonts w:ascii="Arial" w:hAnsi="Arial" w:cs="Arial"/>
          <w:sz w:val="22"/>
          <w:szCs w:val="22"/>
          <w:lang w:val="fr-FR"/>
        </w:rPr>
        <w:fldChar w:fldCharType="begin"/>
      </w:r>
      <w:r w:rsidRPr="004F507A">
        <w:rPr>
          <w:rFonts w:ascii="Arial" w:hAnsi="Arial" w:cs="Arial"/>
          <w:sz w:val="22"/>
          <w:szCs w:val="22"/>
          <w:lang w:val="fr-FR"/>
        </w:rPr>
        <w:instrText xml:space="preserve"> AUTONUM  </w:instrText>
      </w:r>
      <w:r w:rsidRPr="004F507A">
        <w:rPr>
          <w:rFonts w:ascii="Arial" w:hAnsi="Arial" w:cs="Arial"/>
          <w:sz w:val="22"/>
          <w:szCs w:val="22"/>
          <w:lang w:val="fr-FR"/>
        </w:rPr>
        <w:fldChar w:fldCharType="end"/>
      </w:r>
      <w:r w:rsidRPr="004F507A">
        <w:rPr>
          <w:rFonts w:ascii="Arial" w:hAnsi="Arial" w:cs="Arial"/>
          <w:sz w:val="22"/>
          <w:szCs w:val="22"/>
          <w:lang w:val="fr-FR"/>
        </w:rPr>
        <w:tab/>
      </w:r>
      <w:r w:rsidR="00C77FD7" w:rsidRPr="004F507A">
        <w:rPr>
          <w:rFonts w:ascii="Arial" w:hAnsi="Arial" w:cs="Arial"/>
          <w:color w:val="000000"/>
          <w:sz w:val="22"/>
          <w:szCs w:val="22"/>
          <w:lang w:val="fr-FR"/>
        </w:rPr>
        <w:t>La vingt</w:t>
      </w:r>
      <w:r w:rsidR="00525EB9">
        <w:rPr>
          <w:rFonts w:ascii="Arial" w:hAnsi="Arial" w:cs="Arial"/>
          <w:color w:val="000000"/>
          <w:sz w:val="22"/>
          <w:szCs w:val="22"/>
          <w:lang w:val="fr-FR"/>
        </w:rPr>
        <w:noBreakHyphen/>
      </w:r>
      <w:r w:rsidR="00C77FD7" w:rsidRPr="004F507A">
        <w:rPr>
          <w:rFonts w:ascii="Arial" w:hAnsi="Arial" w:cs="Arial"/>
          <w:color w:val="000000"/>
          <w:sz w:val="22"/>
          <w:szCs w:val="22"/>
          <w:lang w:val="fr-FR"/>
        </w:rPr>
        <w:t>septième</w:t>
      </w:r>
      <w:r w:rsidR="000E59D1" w:rsidRPr="004F507A">
        <w:rPr>
          <w:rFonts w:ascii="Arial" w:hAnsi="Arial" w:cs="Arial"/>
          <w:color w:val="000000"/>
          <w:sz w:val="22"/>
          <w:szCs w:val="22"/>
          <w:lang w:val="fr-FR"/>
        </w:rPr>
        <w:t> </w:t>
      </w:r>
      <w:r w:rsidR="00C77FD7" w:rsidRPr="004F507A">
        <w:rPr>
          <w:rFonts w:ascii="Arial" w:hAnsi="Arial" w:cs="Arial"/>
          <w:color w:val="000000"/>
          <w:sz w:val="22"/>
          <w:szCs w:val="22"/>
          <w:lang w:val="fr-FR"/>
        </w:rPr>
        <w:t>session de l</w:t>
      </w:r>
      <w:r w:rsidR="006D7B02" w:rsidRPr="004F507A">
        <w:rPr>
          <w:rFonts w:ascii="Arial" w:hAnsi="Arial" w:cs="Arial"/>
          <w:color w:val="000000"/>
          <w:sz w:val="22"/>
          <w:szCs w:val="22"/>
          <w:lang w:val="fr-FR"/>
        </w:rPr>
        <w:t>’</w:t>
      </w:r>
      <w:r w:rsidR="00C77FD7" w:rsidRPr="004F507A">
        <w:rPr>
          <w:rFonts w:ascii="Arial" w:hAnsi="Arial" w:cs="Arial"/>
          <w:color w:val="000000"/>
          <w:sz w:val="22"/>
          <w:szCs w:val="22"/>
          <w:lang w:val="fr-FR"/>
        </w:rPr>
        <w:t xml:space="preserve">IGC a introduit dans le texte relatif aux savoirs traditionnels une définition du terme </w:t>
      </w:r>
      <w:r w:rsidR="006D7B02" w:rsidRPr="004F507A">
        <w:rPr>
          <w:rFonts w:ascii="Arial" w:hAnsi="Arial" w:cs="Arial"/>
          <w:color w:val="000000"/>
          <w:sz w:val="22"/>
          <w:szCs w:val="22"/>
          <w:lang w:val="fr-FR"/>
        </w:rPr>
        <w:t>“</w:t>
      </w:r>
      <w:r w:rsidR="00C77FD7" w:rsidRPr="004F507A">
        <w:rPr>
          <w:rFonts w:ascii="Arial" w:hAnsi="Arial" w:cs="Arial"/>
          <w:color w:val="000000"/>
          <w:sz w:val="22"/>
          <w:szCs w:val="22"/>
          <w:lang w:val="fr-FR"/>
        </w:rPr>
        <w:t>domaine public</w:t>
      </w:r>
      <w:r w:rsidR="006D7B02" w:rsidRPr="004F507A">
        <w:rPr>
          <w:rFonts w:ascii="Arial" w:hAnsi="Arial" w:cs="Arial"/>
          <w:color w:val="000000"/>
          <w:sz w:val="22"/>
          <w:szCs w:val="22"/>
          <w:lang w:val="fr-FR"/>
        </w:rPr>
        <w:t>”</w:t>
      </w:r>
      <w:r w:rsidR="00C77FD7" w:rsidRPr="004F507A">
        <w:rPr>
          <w:rFonts w:ascii="Arial" w:hAnsi="Arial" w:cs="Arial"/>
          <w:color w:val="000000"/>
          <w:sz w:val="22"/>
          <w:szCs w:val="22"/>
          <w:lang w:val="fr-FR"/>
        </w:rPr>
        <w:t>.</w:t>
      </w:r>
      <w:r w:rsidR="00E90879" w:rsidRPr="004F507A">
        <w:rPr>
          <w:rFonts w:ascii="Arial" w:hAnsi="Arial"/>
          <w:color w:val="000000"/>
          <w:sz w:val="22"/>
          <w:lang w:val="fr-FR"/>
        </w:rPr>
        <w:t xml:space="preserve"> </w:t>
      </w:r>
      <w:r w:rsidR="002365A6" w:rsidRPr="004F507A">
        <w:rPr>
          <w:rFonts w:ascii="Arial" w:hAnsi="Arial"/>
          <w:color w:val="000000"/>
          <w:sz w:val="22"/>
          <w:lang w:val="fr-FR"/>
        </w:rPr>
        <w:t xml:space="preserve"> </w:t>
      </w:r>
      <w:r w:rsidR="00C77FD7" w:rsidRPr="004F507A">
        <w:rPr>
          <w:rFonts w:ascii="Arial" w:hAnsi="Arial" w:cs="Arial"/>
          <w:color w:val="000000"/>
          <w:sz w:val="22"/>
          <w:szCs w:val="22"/>
          <w:lang w:val="fr-FR"/>
        </w:rPr>
        <w:t>Ce concept fait partie intégrante de l</w:t>
      </w:r>
      <w:r w:rsidR="006D7B02" w:rsidRPr="004F507A">
        <w:rPr>
          <w:rFonts w:ascii="Arial" w:hAnsi="Arial" w:cs="Arial"/>
          <w:color w:val="000000"/>
          <w:sz w:val="22"/>
          <w:szCs w:val="22"/>
          <w:lang w:val="fr-FR"/>
        </w:rPr>
        <w:t>’</w:t>
      </w:r>
      <w:r w:rsidR="00C77FD7" w:rsidRPr="004F507A">
        <w:rPr>
          <w:rFonts w:ascii="Arial" w:hAnsi="Arial" w:cs="Arial"/>
          <w:color w:val="000000"/>
          <w:sz w:val="22"/>
          <w:szCs w:val="22"/>
          <w:lang w:val="fr-FR"/>
        </w:rPr>
        <w:t>équilibre inhérent au système de propriété intellectuel</w:t>
      </w:r>
      <w:r w:rsidR="004F507A" w:rsidRPr="004F507A">
        <w:rPr>
          <w:rFonts w:ascii="Arial" w:hAnsi="Arial" w:cs="Arial"/>
          <w:color w:val="000000"/>
          <w:sz w:val="22"/>
          <w:szCs w:val="22"/>
          <w:lang w:val="fr-FR"/>
        </w:rPr>
        <w:t>le.  Le</w:t>
      </w:r>
      <w:r w:rsidR="006D44C9" w:rsidRPr="004F507A">
        <w:rPr>
          <w:rFonts w:ascii="Arial" w:hAnsi="Arial" w:cs="Arial"/>
          <w:color w:val="000000"/>
          <w:sz w:val="22"/>
          <w:szCs w:val="22"/>
          <w:lang w:val="fr-FR"/>
        </w:rPr>
        <w:t xml:space="preserve">s droits exclusifs sont mis en </w:t>
      </w:r>
      <w:r w:rsidR="00C44E6F" w:rsidRPr="004F507A">
        <w:rPr>
          <w:rFonts w:ascii="Arial" w:hAnsi="Arial" w:cs="Arial"/>
          <w:color w:val="000000"/>
          <w:sz w:val="22"/>
          <w:szCs w:val="22"/>
          <w:lang w:val="fr-FR"/>
        </w:rPr>
        <w:t>équilibre</w:t>
      </w:r>
      <w:r w:rsidR="006D44C9" w:rsidRPr="004F507A">
        <w:rPr>
          <w:rFonts w:ascii="Arial" w:hAnsi="Arial" w:cs="Arial"/>
          <w:color w:val="000000"/>
          <w:sz w:val="22"/>
          <w:szCs w:val="22"/>
          <w:lang w:val="fr-FR"/>
        </w:rPr>
        <w:t xml:space="preserve"> avec les intérêts des utilisateurs et du grand public, afin d</w:t>
      </w:r>
      <w:r w:rsidR="006D7B02" w:rsidRPr="004F507A">
        <w:rPr>
          <w:rFonts w:ascii="Arial" w:hAnsi="Arial" w:cs="Arial"/>
          <w:color w:val="000000"/>
          <w:sz w:val="22"/>
          <w:szCs w:val="22"/>
          <w:lang w:val="fr-FR"/>
        </w:rPr>
        <w:t>’</w:t>
      </w:r>
      <w:r w:rsidR="006D44C9" w:rsidRPr="004F507A">
        <w:rPr>
          <w:rFonts w:ascii="Arial" w:hAnsi="Arial" w:cs="Arial"/>
          <w:color w:val="000000"/>
          <w:sz w:val="22"/>
          <w:szCs w:val="22"/>
          <w:lang w:val="fr-FR"/>
        </w:rPr>
        <w:t>encourager, de stimuler et de récompenser l</w:t>
      </w:r>
      <w:r w:rsidR="006D7B02" w:rsidRPr="004F507A">
        <w:rPr>
          <w:rFonts w:ascii="Arial" w:hAnsi="Arial" w:cs="Arial"/>
          <w:color w:val="000000"/>
          <w:sz w:val="22"/>
          <w:szCs w:val="22"/>
          <w:lang w:val="fr-FR"/>
        </w:rPr>
        <w:t>’</w:t>
      </w:r>
      <w:r w:rsidR="006D44C9" w:rsidRPr="004F507A">
        <w:rPr>
          <w:rFonts w:ascii="Arial" w:hAnsi="Arial" w:cs="Arial"/>
          <w:color w:val="000000"/>
          <w:sz w:val="22"/>
          <w:szCs w:val="22"/>
          <w:lang w:val="fr-FR"/>
        </w:rPr>
        <w:t>innovation et la créativi</w:t>
      </w:r>
      <w:r w:rsidR="004F507A" w:rsidRPr="004F507A">
        <w:rPr>
          <w:rFonts w:ascii="Arial" w:hAnsi="Arial" w:cs="Arial"/>
          <w:color w:val="000000"/>
          <w:sz w:val="22"/>
          <w:szCs w:val="22"/>
          <w:lang w:val="fr-FR"/>
        </w:rPr>
        <w:t>té.  Ce</w:t>
      </w:r>
      <w:r w:rsidR="00C67D91" w:rsidRPr="004F507A">
        <w:rPr>
          <w:rFonts w:ascii="Arial" w:hAnsi="Arial" w:cs="Arial"/>
          <w:color w:val="000000"/>
          <w:sz w:val="22"/>
          <w:szCs w:val="22"/>
          <w:lang w:val="fr-FR"/>
        </w:rPr>
        <w:t xml:space="preserve"> concept est lié à </w:t>
      </w:r>
      <w:r w:rsidR="00652B6A" w:rsidRPr="004F507A">
        <w:rPr>
          <w:rFonts w:ascii="Arial" w:hAnsi="Arial" w:cs="Arial"/>
          <w:color w:val="000000"/>
          <w:sz w:val="22"/>
          <w:szCs w:val="22"/>
          <w:lang w:val="fr-FR"/>
        </w:rPr>
        <w:t>ce qu</w:t>
      </w:r>
      <w:r w:rsidR="006D7B02" w:rsidRPr="004F507A">
        <w:rPr>
          <w:rFonts w:ascii="Arial" w:hAnsi="Arial" w:cs="Arial"/>
          <w:color w:val="000000"/>
          <w:sz w:val="22"/>
          <w:szCs w:val="22"/>
          <w:lang w:val="fr-FR"/>
        </w:rPr>
        <w:t>’</w:t>
      </w:r>
      <w:r w:rsidR="00A40CA7" w:rsidRPr="004F507A">
        <w:rPr>
          <w:rFonts w:ascii="Arial" w:hAnsi="Arial" w:cs="Arial"/>
          <w:color w:val="000000"/>
          <w:sz w:val="22"/>
          <w:szCs w:val="22"/>
          <w:lang w:val="fr-FR"/>
        </w:rPr>
        <w:t>on entend par</w:t>
      </w:r>
      <w:r w:rsidR="00C67D91" w:rsidRPr="004F507A">
        <w:rPr>
          <w:rFonts w:ascii="Arial" w:hAnsi="Arial" w:cs="Arial"/>
          <w:color w:val="000000"/>
          <w:sz w:val="22"/>
          <w:szCs w:val="22"/>
          <w:lang w:val="fr-FR"/>
        </w:rPr>
        <w:t xml:space="preserve"> </w:t>
      </w:r>
      <w:r w:rsidR="00A40CA7" w:rsidRPr="004F507A">
        <w:rPr>
          <w:rFonts w:ascii="Arial" w:hAnsi="Arial" w:cs="Arial"/>
          <w:color w:val="000000"/>
          <w:sz w:val="22"/>
          <w:szCs w:val="22"/>
          <w:lang w:val="fr-FR"/>
        </w:rPr>
        <w:t>l</w:t>
      </w:r>
      <w:r w:rsidR="00C67D91" w:rsidRPr="004F507A">
        <w:rPr>
          <w:rFonts w:ascii="Arial" w:hAnsi="Arial" w:cs="Arial"/>
          <w:color w:val="000000"/>
          <w:sz w:val="22"/>
          <w:szCs w:val="22"/>
          <w:lang w:val="fr-FR"/>
        </w:rPr>
        <w:t>es concepts connexes d</w:t>
      </w:r>
      <w:r w:rsidR="006D7B02" w:rsidRPr="004F507A">
        <w:rPr>
          <w:rFonts w:ascii="Arial" w:hAnsi="Arial" w:cs="Arial"/>
          <w:color w:val="000000"/>
          <w:sz w:val="22"/>
          <w:szCs w:val="22"/>
          <w:lang w:val="fr-FR"/>
        </w:rPr>
        <w:t>’“</w:t>
      </w:r>
      <w:r w:rsidR="00C67D91" w:rsidRPr="004F507A">
        <w:rPr>
          <w:rFonts w:ascii="Arial" w:hAnsi="Arial" w:cs="Arial"/>
          <w:color w:val="000000"/>
          <w:sz w:val="22"/>
          <w:szCs w:val="22"/>
          <w:lang w:val="fr-FR"/>
        </w:rPr>
        <w:t>accessibilité au public</w:t>
      </w:r>
      <w:r w:rsidR="006D7B02" w:rsidRPr="004F507A">
        <w:rPr>
          <w:rFonts w:ascii="Arial" w:hAnsi="Arial" w:cs="Arial"/>
          <w:color w:val="000000"/>
          <w:sz w:val="22"/>
          <w:szCs w:val="22"/>
          <w:lang w:val="fr-FR"/>
        </w:rPr>
        <w:t>”</w:t>
      </w:r>
      <w:r w:rsidR="00C67D91" w:rsidRPr="004F507A">
        <w:rPr>
          <w:rFonts w:ascii="Arial" w:hAnsi="Arial" w:cs="Arial"/>
          <w:color w:val="000000"/>
          <w:sz w:val="22"/>
          <w:szCs w:val="22"/>
          <w:lang w:val="fr-FR"/>
        </w:rPr>
        <w:t xml:space="preserve"> et d</w:t>
      </w:r>
      <w:r w:rsidR="006D7B02" w:rsidRPr="004F507A">
        <w:rPr>
          <w:rFonts w:ascii="Arial" w:hAnsi="Arial" w:cs="Arial"/>
          <w:color w:val="000000"/>
          <w:sz w:val="22"/>
          <w:szCs w:val="22"/>
          <w:lang w:val="fr-FR"/>
        </w:rPr>
        <w:t>’“</w:t>
      </w:r>
      <w:r w:rsidR="00C67D91" w:rsidRPr="004F507A">
        <w:rPr>
          <w:rFonts w:ascii="Arial" w:hAnsi="Arial" w:cs="Arial"/>
          <w:color w:val="000000"/>
          <w:sz w:val="22"/>
          <w:szCs w:val="22"/>
          <w:lang w:val="fr-FR"/>
        </w:rPr>
        <w:t>état de la technique</w:t>
      </w:r>
      <w:r w:rsidR="006D7B02" w:rsidRPr="004F507A">
        <w:rPr>
          <w:rFonts w:ascii="Arial" w:hAnsi="Arial" w:cs="Arial"/>
          <w:color w:val="000000"/>
          <w:sz w:val="22"/>
          <w:szCs w:val="22"/>
          <w:lang w:val="fr-FR"/>
        </w:rPr>
        <w:t>”</w:t>
      </w:r>
      <w:r w:rsidR="00C67D91" w:rsidRPr="004F507A">
        <w:rPr>
          <w:rStyle w:val="FootnoteReference"/>
          <w:rFonts w:ascii="Arial" w:hAnsi="Arial" w:cs="Arial"/>
          <w:color w:val="000000"/>
          <w:sz w:val="22"/>
          <w:szCs w:val="22"/>
          <w:lang w:val="fr-FR"/>
        </w:rPr>
        <w:footnoteReference w:id="5"/>
      </w:r>
      <w:r w:rsidR="00C67D91" w:rsidRPr="004F507A">
        <w:rPr>
          <w:rFonts w:ascii="Arial" w:hAnsi="Arial" w:cs="Arial"/>
          <w:color w:val="000000"/>
          <w:sz w:val="22"/>
          <w:szCs w:val="22"/>
          <w:lang w:val="fr-FR"/>
        </w:rPr>
        <w:t>.</w:t>
      </w:r>
    </w:p>
    <w:p w:rsidR="004F60C4" w:rsidRPr="004F507A" w:rsidRDefault="000769D8" w:rsidP="002B5624">
      <w:pPr>
        <w:tabs>
          <w:tab w:val="left" w:pos="567"/>
        </w:tabs>
        <w:spacing w:after="240"/>
        <w:rPr>
          <w:rFonts w:ascii="Arial" w:hAnsi="Arial" w:cs="Arial"/>
          <w:sz w:val="22"/>
          <w:szCs w:val="22"/>
          <w:lang w:val="fr-FR"/>
        </w:rPr>
      </w:pPr>
      <w:r w:rsidRPr="004F507A">
        <w:rPr>
          <w:rFonts w:ascii="Arial" w:hAnsi="Arial" w:cs="Arial"/>
          <w:sz w:val="22"/>
          <w:szCs w:val="22"/>
          <w:lang w:val="fr-FR"/>
        </w:rPr>
        <w:fldChar w:fldCharType="begin"/>
      </w:r>
      <w:r w:rsidRPr="004F507A">
        <w:rPr>
          <w:rFonts w:ascii="Arial" w:hAnsi="Arial" w:cs="Arial"/>
          <w:sz w:val="22"/>
          <w:szCs w:val="22"/>
          <w:lang w:val="fr-FR"/>
        </w:rPr>
        <w:instrText xml:space="preserve"> AUTONUM  </w:instrText>
      </w:r>
      <w:r w:rsidRPr="004F507A">
        <w:rPr>
          <w:rFonts w:ascii="Arial" w:hAnsi="Arial" w:cs="Arial"/>
          <w:sz w:val="22"/>
          <w:szCs w:val="22"/>
          <w:lang w:val="fr-FR"/>
        </w:rPr>
        <w:fldChar w:fldCharType="end"/>
      </w:r>
      <w:r w:rsidRPr="004F507A">
        <w:rPr>
          <w:rFonts w:ascii="Arial" w:hAnsi="Arial" w:cs="Arial"/>
          <w:sz w:val="22"/>
          <w:szCs w:val="22"/>
          <w:lang w:val="fr-FR"/>
        </w:rPr>
        <w:tab/>
      </w:r>
      <w:r w:rsidR="00311474" w:rsidRPr="004F507A">
        <w:rPr>
          <w:rFonts w:ascii="Arial" w:hAnsi="Arial" w:cs="Arial"/>
          <w:color w:val="000000"/>
          <w:sz w:val="22"/>
          <w:szCs w:val="22"/>
          <w:lang w:val="fr-FR"/>
        </w:rPr>
        <w:t>L</w:t>
      </w:r>
      <w:r w:rsidR="006D7B02" w:rsidRPr="004F507A">
        <w:rPr>
          <w:rFonts w:ascii="Arial" w:hAnsi="Arial" w:cs="Arial"/>
          <w:color w:val="000000"/>
          <w:sz w:val="22"/>
          <w:szCs w:val="22"/>
          <w:lang w:val="fr-FR"/>
        </w:rPr>
        <w:t>’</w:t>
      </w:r>
      <w:r w:rsidR="00311474" w:rsidRPr="004F507A">
        <w:rPr>
          <w:rFonts w:ascii="Arial" w:hAnsi="Arial" w:cs="Arial"/>
          <w:color w:val="000000"/>
          <w:sz w:val="22"/>
          <w:szCs w:val="22"/>
          <w:lang w:val="fr-FR"/>
        </w:rPr>
        <w:t>IGC devrait examiner ces concepts attentivement, car cette question est directement liée à l</w:t>
      </w:r>
      <w:r w:rsidR="006D7B02" w:rsidRPr="004F507A">
        <w:rPr>
          <w:rFonts w:ascii="Arial" w:hAnsi="Arial" w:cs="Arial"/>
          <w:color w:val="000000"/>
          <w:sz w:val="22"/>
          <w:szCs w:val="22"/>
          <w:lang w:val="fr-FR"/>
        </w:rPr>
        <w:t>’“</w:t>
      </w:r>
      <w:r w:rsidR="00311474" w:rsidRPr="004F507A">
        <w:rPr>
          <w:rFonts w:ascii="Arial" w:hAnsi="Arial" w:cs="Arial"/>
          <w:color w:val="000000"/>
          <w:sz w:val="22"/>
          <w:szCs w:val="22"/>
          <w:lang w:val="fr-FR"/>
        </w:rPr>
        <w:t>approche progressive</w:t>
      </w:r>
      <w:r w:rsidR="006D7B02" w:rsidRPr="004F507A">
        <w:rPr>
          <w:rFonts w:ascii="Arial" w:hAnsi="Arial" w:cs="Arial"/>
          <w:color w:val="000000"/>
          <w:sz w:val="22"/>
          <w:szCs w:val="22"/>
          <w:lang w:val="fr-FR"/>
        </w:rPr>
        <w:t>”</w:t>
      </w:r>
      <w:r w:rsidR="00311474" w:rsidRPr="004F507A">
        <w:rPr>
          <w:rFonts w:ascii="Arial" w:hAnsi="Arial" w:cs="Arial"/>
          <w:color w:val="000000"/>
          <w:sz w:val="22"/>
          <w:szCs w:val="22"/>
          <w:lang w:val="fr-FR"/>
        </w:rPr>
        <w:t xml:space="preserve"> décrite à l</w:t>
      </w:r>
      <w:r w:rsidR="006D7B02" w:rsidRPr="004F507A">
        <w:rPr>
          <w:rFonts w:ascii="Arial" w:hAnsi="Arial" w:cs="Arial"/>
          <w:color w:val="000000"/>
          <w:sz w:val="22"/>
          <w:szCs w:val="22"/>
          <w:lang w:val="fr-FR"/>
        </w:rPr>
        <w:t>’</w:t>
      </w:r>
      <w:r w:rsidR="00311474" w:rsidRPr="004F507A">
        <w:rPr>
          <w:rFonts w:ascii="Arial" w:hAnsi="Arial" w:cs="Arial"/>
          <w:color w:val="000000"/>
          <w:sz w:val="22"/>
          <w:szCs w:val="22"/>
          <w:lang w:val="fr-FR"/>
        </w:rPr>
        <w:t>article</w:t>
      </w:r>
      <w:r w:rsidR="000E59D1" w:rsidRPr="004F507A">
        <w:rPr>
          <w:rFonts w:ascii="Arial" w:hAnsi="Arial" w:cs="Arial"/>
          <w:color w:val="000000"/>
          <w:sz w:val="22"/>
          <w:szCs w:val="22"/>
          <w:lang w:val="fr-FR"/>
        </w:rPr>
        <w:t> </w:t>
      </w:r>
      <w:r w:rsidR="00311474" w:rsidRPr="004F507A">
        <w:rPr>
          <w:rFonts w:ascii="Arial" w:hAnsi="Arial" w:cs="Arial"/>
          <w:color w:val="000000"/>
          <w:sz w:val="22"/>
          <w:szCs w:val="22"/>
          <w:lang w:val="fr-FR"/>
        </w:rPr>
        <w:t xml:space="preserve">3.  Toutefois, si le concept de </w:t>
      </w:r>
      <w:r w:rsidR="006D7B02" w:rsidRPr="004F507A">
        <w:rPr>
          <w:rFonts w:ascii="Arial" w:hAnsi="Arial" w:cs="Arial"/>
          <w:color w:val="000000"/>
          <w:sz w:val="22"/>
          <w:szCs w:val="22"/>
          <w:lang w:val="fr-FR"/>
        </w:rPr>
        <w:t>“</w:t>
      </w:r>
      <w:r w:rsidR="00311474" w:rsidRPr="004F507A">
        <w:rPr>
          <w:rFonts w:ascii="Arial" w:hAnsi="Arial" w:cs="Arial"/>
          <w:color w:val="000000"/>
          <w:sz w:val="22"/>
          <w:szCs w:val="22"/>
          <w:lang w:val="fr-FR"/>
        </w:rPr>
        <w:t>domaine public</w:t>
      </w:r>
      <w:r w:rsidR="006D7B02" w:rsidRPr="004F507A">
        <w:rPr>
          <w:rFonts w:ascii="Arial" w:hAnsi="Arial" w:cs="Arial"/>
          <w:color w:val="000000"/>
          <w:sz w:val="22"/>
          <w:szCs w:val="22"/>
          <w:lang w:val="fr-FR"/>
        </w:rPr>
        <w:t>”</w:t>
      </w:r>
      <w:r w:rsidR="00311474" w:rsidRPr="004F507A">
        <w:rPr>
          <w:rFonts w:ascii="Arial" w:hAnsi="Arial" w:cs="Arial"/>
          <w:color w:val="000000"/>
          <w:sz w:val="22"/>
          <w:szCs w:val="22"/>
          <w:lang w:val="fr-FR"/>
        </w:rPr>
        <w:t xml:space="preserve"> est utile </w:t>
      </w:r>
      <w:r w:rsidR="00652B6A" w:rsidRPr="004F507A">
        <w:rPr>
          <w:rFonts w:ascii="Arial" w:hAnsi="Arial" w:cs="Arial"/>
          <w:color w:val="000000"/>
          <w:sz w:val="22"/>
          <w:szCs w:val="22"/>
          <w:lang w:val="fr-FR"/>
        </w:rPr>
        <w:t>afin</w:t>
      </w:r>
      <w:r w:rsidR="00311474" w:rsidRPr="004F507A">
        <w:rPr>
          <w:rFonts w:ascii="Arial" w:hAnsi="Arial" w:cs="Arial"/>
          <w:color w:val="000000"/>
          <w:sz w:val="22"/>
          <w:szCs w:val="22"/>
          <w:lang w:val="fr-FR"/>
        </w:rPr>
        <w:t xml:space="preserve"> de comprendre l</w:t>
      </w:r>
      <w:r w:rsidR="006D7B02" w:rsidRPr="004F507A">
        <w:rPr>
          <w:rFonts w:ascii="Arial" w:hAnsi="Arial" w:cs="Arial"/>
          <w:color w:val="000000"/>
          <w:sz w:val="22"/>
          <w:szCs w:val="22"/>
          <w:lang w:val="fr-FR"/>
        </w:rPr>
        <w:t>’</w:t>
      </w:r>
      <w:r w:rsidR="00311474" w:rsidRPr="004F507A">
        <w:rPr>
          <w:rFonts w:ascii="Arial" w:hAnsi="Arial" w:cs="Arial"/>
          <w:color w:val="000000"/>
          <w:sz w:val="22"/>
          <w:szCs w:val="22"/>
          <w:lang w:val="fr-FR"/>
        </w:rPr>
        <w:t xml:space="preserve">interface entre propriété intellectuelle et savoirs traditionnels et de concevoir un système similaire à celui de la propriété intellectuelle pour </w:t>
      </w:r>
      <w:r w:rsidR="00652B6A" w:rsidRPr="004F507A">
        <w:rPr>
          <w:rFonts w:ascii="Arial" w:hAnsi="Arial" w:cs="Arial"/>
          <w:color w:val="000000"/>
          <w:sz w:val="22"/>
          <w:szCs w:val="22"/>
          <w:lang w:val="fr-FR"/>
        </w:rPr>
        <w:t>garantir</w:t>
      </w:r>
      <w:r w:rsidR="00311474" w:rsidRPr="004F507A">
        <w:rPr>
          <w:rFonts w:ascii="Arial" w:hAnsi="Arial" w:cs="Arial"/>
          <w:color w:val="000000"/>
          <w:sz w:val="22"/>
          <w:szCs w:val="22"/>
          <w:lang w:val="fr-FR"/>
        </w:rPr>
        <w:t xml:space="preserve"> une protection équilibrée et effective des savoirs traditionnels, l</w:t>
      </w:r>
      <w:r w:rsidR="006D7B02" w:rsidRPr="004F507A">
        <w:rPr>
          <w:rFonts w:ascii="Arial" w:hAnsi="Arial" w:cs="Arial"/>
          <w:color w:val="000000"/>
          <w:sz w:val="22"/>
          <w:szCs w:val="22"/>
          <w:lang w:val="fr-FR"/>
        </w:rPr>
        <w:t>’</w:t>
      </w:r>
      <w:r w:rsidR="00311474" w:rsidRPr="004F507A">
        <w:rPr>
          <w:rFonts w:ascii="Arial" w:hAnsi="Arial" w:cs="Arial"/>
          <w:color w:val="000000"/>
          <w:sz w:val="22"/>
          <w:szCs w:val="22"/>
          <w:lang w:val="fr-FR"/>
        </w:rPr>
        <w:t>intérêt de formuler et d</w:t>
      </w:r>
      <w:r w:rsidR="006D7B02" w:rsidRPr="004F507A">
        <w:rPr>
          <w:rFonts w:ascii="Arial" w:hAnsi="Arial" w:cs="Arial"/>
          <w:color w:val="000000"/>
          <w:sz w:val="22"/>
          <w:szCs w:val="22"/>
          <w:lang w:val="fr-FR"/>
        </w:rPr>
        <w:t>’</w:t>
      </w:r>
      <w:r w:rsidR="00311474" w:rsidRPr="004F507A">
        <w:rPr>
          <w:rFonts w:ascii="Arial" w:hAnsi="Arial" w:cs="Arial"/>
          <w:color w:val="000000"/>
          <w:sz w:val="22"/>
          <w:szCs w:val="22"/>
          <w:lang w:val="fr-FR"/>
        </w:rPr>
        <w:t xml:space="preserve">incorporer une définition </w:t>
      </w:r>
      <w:r w:rsidR="0049694C" w:rsidRPr="004F507A">
        <w:rPr>
          <w:rFonts w:ascii="Arial" w:hAnsi="Arial" w:cs="Arial"/>
          <w:color w:val="000000"/>
          <w:sz w:val="22"/>
          <w:szCs w:val="22"/>
          <w:lang w:val="fr-FR"/>
        </w:rPr>
        <w:t xml:space="preserve">précise </w:t>
      </w:r>
      <w:r w:rsidR="00311474" w:rsidRPr="004F507A">
        <w:rPr>
          <w:rFonts w:ascii="Arial" w:hAnsi="Arial" w:cs="Arial"/>
          <w:color w:val="000000"/>
          <w:sz w:val="22"/>
          <w:szCs w:val="22"/>
          <w:lang w:val="fr-FR"/>
        </w:rPr>
        <w:t>du domaine public dans l</w:t>
      </w:r>
      <w:r w:rsidR="006D7B02" w:rsidRPr="004F507A">
        <w:rPr>
          <w:rFonts w:ascii="Arial" w:hAnsi="Arial" w:cs="Arial"/>
          <w:color w:val="000000"/>
          <w:sz w:val="22"/>
          <w:szCs w:val="22"/>
          <w:lang w:val="fr-FR"/>
        </w:rPr>
        <w:t>’</w:t>
      </w:r>
      <w:r w:rsidR="00311474" w:rsidRPr="004F507A">
        <w:rPr>
          <w:rFonts w:ascii="Arial" w:hAnsi="Arial" w:cs="Arial"/>
          <w:color w:val="000000"/>
          <w:sz w:val="22"/>
          <w:szCs w:val="22"/>
          <w:lang w:val="fr-FR"/>
        </w:rPr>
        <w:t>instrument relatif aux savoirs traditionnels est peu cla</w:t>
      </w:r>
      <w:r w:rsidR="004F507A" w:rsidRPr="004F507A">
        <w:rPr>
          <w:rFonts w:ascii="Arial" w:hAnsi="Arial" w:cs="Arial"/>
          <w:color w:val="000000"/>
          <w:sz w:val="22"/>
          <w:szCs w:val="22"/>
          <w:lang w:val="fr-FR"/>
        </w:rPr>
        <w:t>ir.  La</w:t>
      </w:r>
      <w:r w:rsidR="00015E26" w:rsidRPr="004F507A">
        <w:rPr>
          <w:rFonts w:ascii="Arial" w:hAnsi="Arial" w:cs="Arial"/>
          <w:color w:val="000000"/>
          <w:sz w:val="22"/>
          <w:szCs w:val="22"/>
          <w:lang w:val="fr-FR"/>
        </w:rPr>
        <w:t xml:space="preserve"> définition du </w:t>
      </w:r>
      <w:r w:rsidR="006D7B02" w:rsidRPr="004F507A">
        <w:rPr>
          <w:rFonts w:ascii="Arial" w:hAnsi="Arial" w:cs="Arial"/>
          <w:color w:val="000000"/>
          <w:sz w:val="22"/>
          <w:szCs w:val="22"/>
          <w:lang w:val="fr-FR"/>
        </w:rPr>
        <w:t>“</w:t>
      </w:r>
      <w:r w:rsidR="00015E26" w:rsidRPr="004F507A">
        <w:rPr>
          <w:rFonts w:ascii="Arial" w:hAnsi="Arial" w:cs="Arial"/>
          <w:color w:val="000000"/>
          <w:sz w:val="22"/>
          <w:szCs w:val="22"/>
          <w:lang w:val="fr-FR"/>
        </w:rPr>
        <w:t>domaine public</w:t>
      </w:r>
      <w:r w:rsidR="006D7B02" w:rsidRPr="004F507A">
        <w:rPr>
          <w:rFonts w:ascii="Arial" w:hAnsi="Arial" w:cs="Arial"/>
          <w:color w:val="000000"/>
          <w:sz w:val="22"/>
          <w:szCs w:val="22"/>
          <w:lang w:val="fr-FR"/>
        </w:rPr>
        <w:t>”</w:t>
      </w:r>
      <w:r w:rsidR="00015E26" w:rsidRPr="004F507A">
        <w:rPr>
          <w:rFonts w:ascii="Arial" w:hAnsi="Arial" w:cs="Arial"/>
          <w:color w:val="000000"/>
          <w:sz w:val="22"/>
          <w:szCs w:val="22"/>
          <w:lang w:val="fr-FR"/>
        </w:rPr>
        <w:t xml:space="preserve"> est selon moi une entreprise difficile, qui </w:t>
      </w:r>
      <w:r w:rsidR="00285742" w:rsidRPr="004F507A">
        <w:rPr>
          <w:rFonts w:ascii="Arial" w:hAnsi="Arial" w:cs="Arial"/>
          <w:color w:val="000000"/>
          <w:sz w:val="22"/>
          <w:szCs w:val="22"/>
          <w:lang w:val="fr-FR"/>
        </w:rPr>
        <w:t>possède</w:t>
      </w:r>
      <w:r w:rsidR="00015E26" w:rsidRPr="004F507A">
        <w:rPr>
          <w:rFonts w:ascii="Arial" w:hAnsi="Arial" w:cs="Arial"/>
          <w:color w:val="000000"/>
          <w:sz w:val="22"/>
          <w:szCs w:val="22"/>
          <w:lang w:val="fr-FR"/>
        </w:rPr>
        <w:t xml:space="preserve"> de profondes ramifications </w:t>
      </w:r>
      <w:r w:rsidR="0049694C" w:rsidRPr="004F507A">
        <w:rPr>
          <w:rFonts w:ascii="Arial" w:hAnsi="Arial" w:cs="Arial"/>
          <w:color w:val="000000"/>
          <w:sz w:val="22"/>
          <w:szCs w:val="22"/>
          <w:lang w:val="fr-FR"/>
        </w:rPr>
        <w:t xml:space="preserve">en matière de politique générale </w:t>
      </w:r>
      <w:r w:rsidR="00015E26" w:rsidRPr="004F507A">
        <w:rPr>
          <w:rFonts w:ascii="Arial" w:hAnsi="Arial" w:cs="Arial"/>
          <w:color w:val="000000"/>
          <w:sz w:val="22"/>
          <w:szCs w:val="22"/>
          <w:lang w:val="fr-FR"/>
        </w:rPr>
        <w:t>allant au</w:t>
      </w:r>
      <w:r w:rsidR="00525EB9">
        <w:rPr>
          <w:rFonts w:ascii="Arial" w:hAnsi="Arial" w:cs="Arial"/>
          <w:color w:val="000000"/>
          <w:sz w:val="22"/>
          <w:szCs w:val="22"/>
          <w:lang w:val="fr-FR"/>
        </w:rPr>
        <w:noBreakHyphen/>
      </w:r>
      <w:r w:rsidR="00015E26" w:rsidRPr="004F507A">
        <w:rPr>
          <w:rFonts w:ascii="Arial" w:hAnsi="Arial" w:cs="Arial"/>
          <w:color w:val="000000"/>
          <w:sz w:val="22"/>
          <w:szCs w:val="22"/>
          <w:lang w:val="fr-FR"/>
        </w:rPr>
        <w:t>delà du cadre de l</w:t>
      </w:r>
      <w:r w:rsidR="006D7B02" w:rsidRPr="004F507A">
        <w:rPr>
          <w:rFonts w:ascii="Arial" w:hAnsi="Arial" w:cs="Arial"/>
          <w:color w:val="000000"/>
          <w:sz w:val="22"/>
          <w:szCs w:val="22"/>
          <w:lang w:val="fr-FR"/>
        </w:rPr>
        <w:t>’</w:t>
      </w:r>
      <w:r w:rsidR="00015E26" w:rsidRPr="004F507A">
        <w:rPr>
          <w:rFonts w:ascii="Arial" w:hAnsi="Arial" w:cs="Arial"/>
          <w:color w:val="000000"/>
          <w:sz w:val="22"/>
          <w:szCs w:val="22"/>
          <w:lang w:val="fr-FR"/>
        </w:rPr>
        <w:t>IGC.</w:t>
      </w:r>
    </w:p>
    <w:p w:rsidR="004F60C4" w:rsidRPr="004F507A" w:rsidRDefault="00015E26" w:rsidP="002B5624">
      <w:pPr>
        <w:tabs>
          <w:tab w:val="left" w:pos="567"/>
        </w:tabs>
        <w:spacing w:after="240"/>
        <w:rPr>
          <w:rFonts w:ascii="Arial" w:hAnsi="Arial" w:cs="Arial"/>
          <w:sz w:val="22"/>
          <w:szCs w:val="22"/>
          <w:u w:val="single"/>
          <w:lang w:val="fr-FR"/>
        </w:rPr>
      </w:pPr>
      <w:r w:rsidRPr="004F507A">
        <w:rPr>
          <w:rFonts w:ascii="Arial" w:hAnsi="Arial" w:cs="Arial"/>
          <w:sz w:val="22"/>
          <w:szCs w:val="22"/>
          <w:u w:val="single"/>
          <w:lang w:val="fr-FR"/>
        </w:rPr>
        <w:t>Définition de l</w:t>
      </w:r>
      <w:r w:rsidR="006D7B02" w:rsidRPr="004F507A">
        <w:rPr>
          <w:rFonts w:ascii="Arial" w:hAnsi="Arial" w:cs="Arial"/>
          <w:sz w:val="22"/>
          <w:szCs w:val="22"/>
          <w:u w:val="single"/>
          <w:lang w:val="fr-FR"/>
        </w:rPr>
        <w:t>’“</w:t>
      </w:r>
      <w:r w:rsidRPr="004F507A">
        <w:rPr>
          <w:rFonts w:ascii="Arial" w:hAnsi="Arial" w:cs="Arial"/>
          <w:sz w:val="22"/>
          <w:szCs w:val="22"/>
          <w:u w:val="single"/>
          <w:lang w:val="fr-FR"/>
        </w:rPr>
        <w:t>appropriation illicite</w:t>
      </w:r>
      <w:r w:rsidR="006D7B02" w:rsidRPr="004F507A">
        <w:rPr>
          <w:rFonts w:ascii="Arial" w:hAnsi="Arial" w:cs="Arial"/>
          <w:sz w:val="22"/>
          <w:szCs w:val="22"/>
          <w:u w:val="single"/>
          <w:lang w:val="fr-FR"/>
        </w:rPr>
        <w:t>”</w:t>
      </w:r>
    </w:p>
    <w:p w:rsidR="006D7B02" w:rsidRPr="004F507A" w:rsidRDefault="00DB2CA8" w:rsidP="002B5624">
      <w:pPr>
        <w:tabs>
          <w:tab w:val="left" w:pos="567"/>
        </w:tabs>
        <w:spacing w:after="240"/>
        <w:rPr>
          <w:rFonts w:ascii="Arial" w:hAnsi="Arial" w:cs="Arial"/>
          <w:sz w:val="22"/>
          <w:szCs w:val="22"/>
          <w:lang w:val="fr-FR"/>
        </w:rPr>
      </w:pPr>
      <w:r w:rsidRPr="004F507A">
        <w:rPr>
          <w:rFonts w:ascii="Arial" w:hAnsi="Arial" w:cs="Arial"/>
          <w:sz w:val="22"/>
          <w:szCs w:val="22"/>
          <w:lang w:val="fr-FR"/>
        </w:rPr>
        <w:fldChar w:fldCharType="begin"/>
      </w:r>
      <w:r w:rsidRPr="004F507A">
        <w:rPr>
          <w:rFonts w:ascii="Arial" w:hAnsi="Arial" w:cs="Arial"/>
          <w:sz w:val="22"/>
          <w:szCs w:val="22"/>
          <w:lang w:val="fr-FR"/>
        </w:rPr>
        <w:instrText xml:space="preserve"> AUTONUM  </w:instrText>
      </w:r>
      <w:r w:rsidRPr="004F507A">
        <w:rPr>
          <w:rFonts w:ascii="Arial" w:hAnsi="Arial" w:cs="Arial"/>
          <w:sz w:val="22"/>
          <w:szCs w:val="22"/>
          <w:lang w:val="fr-FR"/>
        </w:rPr>
        <w:fldChar w:fldCharType="end"/>
      </w:r>
      <w:r w:rsidRPr="004F507A">
        <w:rPr>
          <w:rFonts w:ascii="Arial" w:hAnsi="Arial" w:cs="Arial"/>
          <w:sz w:val="22"/>
          <w:szCs w:val="22"/>
          <w:lang w:val="fr-FR"/>
        </w:rPr>
        <w:tab/>
      </w:r>
      <w:r w:rsidR="00DB7E64" w:rsidRPr="004F507A">
        <w:rPr>
          <w:rFonts w:ascii="Arial" w:hAnsi="Arial" w:cs="Arial"/>
          <w:color w:val="000000"/>
          <w:sz w:val="22"/>
          <w:szCs w:val="22"/>
          <w:lang w:val="fr-FR"/>
        </w:rPr>
        <w:t>Aux termes de son mandat, l</w:t>
      </w:r>
      <w:r w:rsidR="006D7B02" w:rsidRPr="004F507A">
        <w:rPr>
          <w:rFonts w:ascii="Arial" w:hAnsi="Arial" w:cs="Arial"/>
          <w:color w:val="000000"/>
          <w:sz w:val="22"/>
          <w:szCs w:val="22"/>
          <w:lang w:val="fr-FR"/>
        </w:rPr>
        <w:t>’</w:t>
      </w:r>
      <w:r w:rsidR="00DB7E64" w:rsidRPr="004F507A">
        <w:rPr>
          <w:rFonts w:ascii="Arial" w:hAnsi="Arial" w:cs="Arial"/>
          <w:color w:val="000000"/>
          <w:sz w:val="22"/>
          <w:szCs w:val="22"/>
          <w:lang w:val="fr-FR"/>
        </w:rPr>
        <w:t>IGC est chargé de parvenir à une communauté de vues sur la définition de l</w:t>
      </w:r>
      <w:r w:rsidR="006D7B02" w:rsidRPr="004F507A">
        <w:rPr>
          <w:rFonts w:ascii="Arial" w:hAnsi="Arial" w:cs="Arial"/>
          <w:color w:val="000000"/>
          <w:sz w:val="22"/>
          <w:szCs w:val="22"/>
          <w:lang w:val="fr-FR"/>
        </w:rPr>
        <w:t>’“</w:t>
      </w:r>
      <w:r w:rsidR="00DB7E64" w:rsidRPr="004F507A">
        <w:rPr>
          <w:rFonts w:ascii="Arial" w:hAnsi="Arial" w:cs="Arial"/>
          <w:color w:val="000000"/>
          <w:sz w:val="22"/>
          <w:szCs w:val="22"/>
          <w:lang w:val="fr-FR"/>
        </w:rPr>
        <w:t>appropriation illicite</w:t>
      </w:r>
      <w:r w:rsidR="006D7B02" w:rsidRPr="004F507A">
        <w:rPr>
          <w:rFonts w:ascii="Arial" w:hAnsi="Arial" w:cs="Arial"/>
          <w:color w:val="000000"/>
          <w:sz w:val="22"/>
          <w:szCs w:val="22"/>
          <w:lang w:val="fr-FR"/>
        </w:rPr>
        <w:t>”</w:t>
      </w:r>
      <w:r w:rsidR="00DB7E64" w:rsidRPr="004F507A">
        <w:rPr>
          <w:rFonts w:ascii="Arial" w:hAnsi="Arial" w:cs="Arial"/>
          <w:color w:val="000000"/>
          <w:sz w:val="22"/>
          <w:szCs w:val="22"/>
          <w:lang w:val="fr-FR"/>
        </w:rPr>
        <w:t>, terme qui n</w:t>
      </w:r>
      <w:r w:rsidR="006D7B02" w:rsidRPr="004F507A">
        <w:rPr>
          <w:rFonts w:ascii="Arial" w:hAnsi="Arial" w:cs="Arial"/>
          <w:color w:val="000000"/>
          <w:sz w:val="22"/>
          <w:szCs w:val="22"/>
          <w:lang w:val="fr-FR"/>
        </w:rPr>
        <w:t>’</w:t>
      </w:r>
      <w:r w:rsidR="00DB7E64" w:rsidRPr="004F507A">
        <w:rPr>
          <w:rFonts w:ascii="Arial" w:hAnsi="Arial" w:cs="Arial"/>
          <w:color w:val="000000"/>
          <w:sz w:val="22"/>
          <w:szCs w:val="22"/>
          <w:lang w:val="fr-FR"/>
        </w:rPr>
        <w:t>est actuellement défini dans aucun autre instrument internation</w:t>
      </w:r>
      <w:r w:rsidR="004F507A" w:rsidRPr="004F507A">
        <w:rPr>
          <w:rFonts w:ascii="Arial" w:hAnsi="Arial" w:cs="Arial"/>
          <w:color w:val="000000"/>
          <w:sz w:val="22"/>
          <w:szCs w:val="22"/>
          <w:lang w:val="fr-FR"/>
        </w:rPr>
        <w:t>al.  Le</w:t>
      </w:r>
      <w:r w:rsidR="00285742" w:rsidRPr="004F507A">
        <w:rPr>
          <w:rFonts w:ascii="Arial" w:hAnsi="Arial" w:cs="Arial"/>
          <w:color w:val="000000"/>
          <w:sz w:val="22"/>
          <w:szCs w:val="22"/>
          <w:lang w:val="fr-FR"/>
        </w:rPr>
        <w:t xml:space="preserve">s </w:t>
      </w:r>
      <w:proofErr w:type="gramStart"/>
      <w:r w:rsidR="00285742" w:rsidRPr="004F507A">
        <w:rPr>
          <w:rFonts w:ascii="Arial" w:hAnsi="Arial" w:cs="Arial"/>
          <w:color w:val="000000"/>
          <w:sz w:val="22"/>
          <w:szCs w:val="22"/>
          <w:lang w:val="fr-FR"/>
        </w:rPr>
        <w:t>vingt</w:t>
      </w:r>
      <w:r w:rsidR="00525EB9">
        <w:rPr>
          <w:rFonts w:ascii="Arial" w:hAnsi="Arial" w:cs="Arial"/>
          <w:color w:val="000000"/>
          <w:sz w:val="22"/>
          <w:szCs w:val="22"/>
          <w:lang w:val="fr-FR"/>
        </w:rPr>
        <w:noBreakHyphen/>
      </w:r>
      <w:r w:rsidR="00285742" w:rsidRPr="004F507A">
        <w:rPr>
          <w:rFonts w:ascii="Arial" w:hAnsi="Arial" w:cs="Arial"/>
          <w:color w:val="000000"/>
          <w:sz w:val="22"/>
          <w:szCs w:val="22"/>
          <w:lang w:val="fr-FR"/>
        </w:rPr>
        <w:t>neuvième et trentième</w:t>
      </w:r>
      <w:proofErr w:type="gramEnd"/>
      <w:r w:rsidR="000E59D1" w:rsidRPr="004F507A">
        <w:rPr>
          <w:rFonts w:ascii="Arial" w:hAnsi="Arial" w:cs="Arial"/>
          <w:color w:val="000000"/>
          <w:sz w:val="22"/>
          <w:szCs w:val="22"/>
          <w:lang w:val="fr-FR"/>
        </w:rPr>
        <w:t> </w:t>
      </w:r>
      <w:r w:rsidR="00285742" w:rsidRPr="004F507A">
        <w:rPr>
          <w:rFonts w:ascii="Arial" w:hAnsi="Arial" w:cs="Arial"/>
          <w:color w:val="000000"/>
          <w:sz w:val="22"/>
          <w:szCs w:val="22"/>
          <w:lang w:val="fr-FR"/>
        </w:rPr>
        <w:t>sessions de l</w:t>
      </w:r>
      <w:r w:rsidR="006D7B02" w:rsidRPr="004F507A">
        <w:rPr>
          <w:rFonts w:ascii="Arial" w:hAnsi="Arial" w:cs="Arial"/>
          <w:color w:val="000000"/>
          <w:sz w:val="22"/>
          <w:szCs w:val="22"/>
          <w:lang w:val="fr-FR"/>
        </w:rPr>
        <w:t>’</w:t>
      </w:r>
      <w:r w:rsidR="00285742" w:rsidRPr="004F507A">
        <w:rPr>
          <w:rFonts w:ascii="Arial" w:hAnsi="Arial" w:cs="Arial"/>
          <w:color w:val="000000"/>
          <w:sz w:val="22"/>
          <w:szCs w:val="22"/>
          <w:lang w:val="fr-FR"/>
        </w:rPr>
        <w:t>IGC, qui portaient sur les ressources génétiques, ont examiné ce ter</w:t>
      </w:r>
      <w:r w:rsidR="004F507A" w:rsidRPr="004F507A">
        <w:rPr>
          <w:rFonts w:ascii="Arial" w:hAnsi="Arial" w:cs="Arial"/>
          <w:color w:val="000000"/>
          <w:sz w:val="22"/>
          <w:szCs w:val="22"/>
          <w:lang w:val="fr-FR"/>
        </w:rPr>
        <w:t>me.  Au</w:t>
      </w:r>
      <w:r w:rsidR="00285742" w:rsidRPr="004F507A">
        <w:rPr>
          <w:rFonts w:ascii="Arial" w:hAnsi="Arial" w:cs="Arial"/>
          <w:color w:val="000000"/>
          <w:sz w:val="22"/>
          <w:szCs w:val="22"/>
          <w:lang w:val="fr-FR"/>
        </w:rPr>
        <w:t>cun accord n</w:t>
      </w:r>
      <w:r w:rsidR="006D7B02" w:rsidRPr="004F507A">
        <w:rPr>
          <w:rFonts w:ascii="Arial" w:hAnsi="Arial" w:cs="Arial"/>
          <w:color w:val="000000"/>
          <w:sz w:val="22"/>
          <w:szCs w:val="22"/>
          <w:lang w:val="fr-FR"/>
        </w:rPr>
        <w:t>’</w:t>
      </w:r>
      <w:r w:rsidR="00285742" w:rsidRPr="004F507A">
        <w:rPr>
          <w:rFonts w:ascii="Arial" w:hAnsi="Arial" w:cs="Arial"/>
          <w:color w:val="000000"/>
          <w:sz w:val="22"/>
          <w:szCs w:val="22"/>
          <w:lang w:val="fr-FR"/>
        </w:rPr>
        <w:t>a été trouvé quant à s</w:t>
      </w:r>
      <w:r w:rsidR="00BE1C2C" w:rsidRPr="004F507A">
        <w:rPr>
          <w:rFonts w:ascii="Arial" w:hAnsi="Arial" w:cs="Arial"/>
          <w:color w:val="000000"/>
          <w:sz w:val="22"/>
          <w:szCs w:val="22"/>
          <w:lang w:val="fr-FR"/>
        </w:rPr>
        <w:t>a</w:t>
      </w:r>
      <w:r w:rsidR="00285742" w:rsidRPr="004F507A">
        <w:rPr>
          <w:rFonts w:ascii="Arial" w:hAnsi="Arial" w:cs="Arial"/>
          <w:color w:val="000000"/>
          <w:sz w:val="22"/>
          <w:szCs w:val="22"/>
          <w:lang w:val="fr-FR"/>
        </w:rPr>
        <w:t xml:space="preserve"> </w:t>
      </w:r>
      <w:r w:rsidR="00BE1C2C" w:rsidRPr="004F507A">
        <w:rPr>
          <w:rFonts w:ascii="Arial" w:hAnsi="Arial" w:cs="Arial"/>
          <w:color w:val="000000"/>
          <w:sz w:val="22"/>
          <w:szCs w:val="22"/>
          <w:lang w:val="fr-FR"/>
        </w:rPr>
        <w:t>signification</w:t>
      </w:r>
      <w:r w:rsidR="00285742" w:rsidRPr="004F507A">
        <w:rPr>
          <w:rFonts w:ascii="Arial" w:hAnsi="Arial" w:cs="Arial"/>
          <w:color w:val="000000"/>
          <w:sz w:val="22"/>
          <w:szCs w:val="22"/>
          <w:lang w:val="fr-FR"/>
        </w:rPr>
        <w:t xml:space="preserve"> ou à la nécessité de le définir expressément.</w:t>
      </w:r>
    </w:p>
    <w:p w:rsidR="004F60C4" w:rsidRPr="004F507A" w:rsidRDefault="00DB2CA8" w:rsidP="002B5624">
      <w:pPr>
        <w:tabs>
          <w:tab w:val="left" w:pos="567"/>
        </w:tabs>
        <w:spacing w:after="240"/>
        <w:rPr>
          <w:rFonts w:ascii="Arial" w:hAnsi="Arial" w:cs="Arial"/>
          <w:color w:val="000000"/>
          <w:sz w:val="22"/>
          <w:szCs w:val="22"/>
          <w:lang w:val="fr-FR"/>
        </w:rPr>
      </w:pPr>
      <w:r w:rsidRPr="004F507A">
        <w:rPr>
          <w:rFonts w:ascii="Arial" w:hAnsi="Arial" w:cs="Arial"/>
          <w:sz w:val="22"/>
          <w:szCs w:val="22"/>
          <w:lang w:val="fr-FR"/>
        </w:rPr>
        <w:fldChar w:fldCharType="begin"/>
      </w:r>
      <w:r w:rsidRPr="004F507A">
        <w:rPr>
          <w:rFonts w:ascii="Arial" w:hAnsi="Arial" w:cs="Arial"/>
          <w:sz w:val="22"/>
          <w:szCs w:val="22"/>
          <w:lang w:val="fr-FR"/>
        </w:rPr>
        <w:instrText xml:space="preserve"> AUTONUM  </w:instrText>
      </w:r>
      <w:r w:rsidRPr="004F507A">
        <w:rPr>
          <w:rFonts w:ascii="Arial" w:hAnsi="Arial" w:cs="Arial"/>
          <w:sz w:val="22"/>
          <w:szCs w:val="22"/>
          <w:lang w:val="fr-FR"/>
        </w:rPr>
        <w:fldChar w:fldCharType="end"/>
      </w:r>
      <w:r w:rsidRPr="004F507A">
        <w:rPr>
          <w:rFonts w:ascii="Arial" w:hAnsi="Arial" w:cs="Arial"/>
          <w:sz w:val="22"/>
          <w:szCs w:val="22"/>
          <w:lang w:val="fr-FR"/>
        </w:rPr>
        <w:tab/>
      </w:r>
      <w:r w:rsidR="00FA6F37" w:rsidRPr="004F507A">
        <w:rPr>
          <w:rFonts w:ascii="Arial" w:hAnsi="Arial" w:cs="Arial"/>
          <w:color w:val="000000"/>
          <w:sz w:val="22"/>
          <w:szCs w:val="22"/>
          <w:lang w:val="fr-FR"/>
        </w:rPr>
        <w:t>Le document WIPO/GRTKF/IC/31/4 comporte deux</w:t>
      </w:r>
      <w:r w:rsidR="000E59D1" w:rsidRPr="004F507A">
        <w:rPr>
          <w:rFonts w:ascii="Arial" w:hAnsi="Arial" w:cs="Arial"/>
          <w:color w:val="000000"/>
          <w:sz w:val="22"/>
          <w:szCs w:val="22"/>
          <w:lang w:val="fr-FR"/>
        </w:rPr>
        <w:t> </w:t>
      </w:r>
      <w:r w:rsidR="00FA6F37" w:rsidRPr="004F507A">
        <w:rPr>
          <w:rFonts w:ascii="Arial" w:hAnsi="Arial" w:cs="Arial"/>
          <w:color w:val="000000"/>
          <w:sz w:val="22"/>
          <w:szCs w:val="22"/>
          <w:lang w:val="fr-FR"/>
        </w:rPr>
        <w:t>options en ce qui concerne la définition de l</w:t>
      </w:r>
      <w:r w:rsidR="006D7B02" w:rsidRPr="004F507A">
        <w:rPr>
          <w:rFonts w:ascii="Arial" w:hAnsi="Arial" w:cs="Arial"/>
          <w:color w:val="000000"/>
          <w:sz w:val="22"/>
          <w:szCs w:val="22"/>
          <w:lang w:val="fr-FR"/>
        </w:rPr>
        <w:t>’</w:t>
      </w:r>
      <w:r w:rsidR="00FA6F37" w:rsidRPr="004F507A">
        <w:rPr>
          <w:rFonts w:ascii="Arial" w:hAnsi="Arial" w:cs="Arial"/>
          <w:color w:val="000000"/>
          <w:sz w:val="22"/>
          <w:szCs w:val="22"/>
          <w:lang w:val="fr-FR"/>
        </w:rPr>
        <w:t>appropriation illici</w:t>
      </w:r>
      <w:r w:rsidR="004F507A" w:rsidRPr="004F507A">
        <w:rPr>
          <w:rFonts w:ascii="Arial" w:hAnsi="Arial" w:cs="Arial"/>
          <w:color w:val="000000"/>
          <w:sz w:val="22"/>
          <w:szCs w:val="22"/>
          <w:lang w:val="fr-FR"/>
        </w:rPr>
        <w:t>te.  J’a</w:t>
      </w:r>
      <w:r w:rsidR="00FA6F37" w:rsidRPr="004F507A">
        <w:rPr>
          <w:rFonts w:ascii="Arial" w:hAnsi="Arial" w:cs="Arial"/>
          <w:color w:val="000000"/>
          <w:sz w:val="22"/>
          <w:szCs w:val="22"/>
          <w:lang w:val="fr-FR"/>
        </w:rPr>
        <w:t>i reproduit ci</w:t>
      </w:r>
      <w:r w:rsidR="00525EB9">
        <w:rPr>
          <w:rFonts w:ascii="Arial" w:hAnsi="Arial" w:cs="Arial"/>
          <w:color w:val="000000"/>
          <w:sz w:val="22"/>
          <w:szCs w:val="22"/>
          <w:lang w:val="fr-FR"/>
        </w:rPr>
        <w:noBreakHyphen/>
      </w:r>
      <w:r w:rsidR="00FA6F37" w:rsidRPr="004F507A">
        <w:rPr>
          <w:rFonts w:ascii="Arial" w:hAnsi="Arial" w:cs="Arial"/>
          <w:color w:val="000000"/>
          <w:sz w:val="22"/>
          <w:szCs w:val="22"/>
          <w:lang w:val="fr-FR"/>
        </w:rPr>
        <w:t>après les éléments clés de ces deux</w:t>
      </w:r>
      <w:r w:rsidR="000E59D1" w:rsidRPr="004F507A">
        <w:rPr>
          <w:rFonts w:ascii="Arial" w:hAnsi="Arial" w:cs="Arial"/>
          <w:color w:val="000000"/>
          <w:sz w:val="22"/>
          <w:szCs w:val="22"/>
          <w:lang w:val="fr-FR"/>
        </w:rPr>
        <w:t> </w:t>
      </w:r>
      <w:r w:rsidR="00FA6F37" w:rsidRPr="004F507A">
        <w:rPr>
          <w:rFonts w:ascii="Arial" w:hAnsi="Arial" w:cs="Arial"/>
          <w:color w:val="000000"/>
          <w:sz w:val="22"/>
          <w:szCs w:val="22"/>
          <w:lang w:val="fr-FR"/>
        </w:rPr>
        <w:t>options</w:t>
      </w:r>
      <w:r w:rsidR="000E59D1" w:rsidRPr="004F507A">
        <w:rPr>
          <w:rFonts w:ascii="Arial" w:hAnsi="Arial" w:cs="Arial"/>
          <w:color w:val="000000"/>
          <w:sz w:val="22"/>
          <w:szCs w:val="22"/>
          <w:lang w:val="fr-FR"/>
        </w:rPr>
        <w:t> </w:t>
      </w:r>
      <w:r w:rsidR="00FA6F37" w:rsidRPr="004F507A">
        <w:rPr>
          <w:rFonts w:ascii="Arial" w:hAnsi="Arial" w:cs="Arial"/>
          <w:color w:val="000000"/>
          <w:sz w:val="22"/>
          <w:szCs w:val="22"/>
          <w:lang w:val="fr-FR"/>
        </w:rPr>
        <w:t>:</w:t>
      </w:r>
    </w:p>
    <w:p w:rsidR="004F60C4" w:rsidRPr="004F507A" w:rsidRDefault="00FA6F37" w:rsidP="002B5624">
      <w:pPr>
        <w:numPr>
          <w:ilvl w:val="0"/>
          <w:numId w:val="4"/>
        </w:numPr>
        <w:ind w:left="1134" w:hanging="567"/>
        <w:rPr>
          <w:rFonts w:ascii="Arial" w:hAnsi="Arial" w:cs="Arial"/>
          <w:sz w:val="22"/>
          <w:szCs w:val="22"/>
          <w:lang w:val="fr-FR"/>
        </w:rPr>
      </w:pPr>
      <w:r w:rsidRPr="004F507A">
        <w:rPr>
          <w:rFonts w:ascii="Arial" w:hAnsi="Arial" w:cs="Arial"/>
          <w:color w:val="000000"/>
          <w:sz w:val="22"/>
          <w:szCs w:val="22"/>
          <w:lang w:val="fr-FR"/>
        </w:rPr>
        <w:t>Option</w:t>
      </w:r>
      <w:r w:rsidR="00192CB7">
        <w:rPr>
          <w:rFonts w:ascii="Arial" w:hAnsi="Arial" w:cs="Arial"/>
          <w:color w:val="000000"/>
          <w:sz w:val="22"/>
          <w:szCs w:val="22"/>
          <w:lang w:val="fr-FR"/>
        </w:rPr>
        <w:t> </w:t>
      </w:r>
      <w:r w:rsidRPr="004F507A">
        <w:rPr>
          <w:rFonts w:ascii="Arial" w:hAnsi="Arial" w:cs="Arial"/>
          <w:color w:val="000000"/>
          <w:sz w:val="22"/>
          <w:szCs w:val="22"/>
          <w:lang w:val="fr-FR"/>
        </w:rPr>
        <w:t xml:space="preserve">1, </w:t>
      </w:r>
      <w:r w:rsidRPr="004F507A">
        <w:rPr>
          <w:rFonts w:ascii="Arial" w:hAnsi="Arial" w:cs="Arial"/>
          <w:b/>
          <w:color w:val="000000"/>
          <w:sz w:val="22"/>
          <w:szCs w:val="22"/>
          <w:lang w:val="fr-FR"/>
        </w:rPr>
        <w:t>tout</w:t>
      </w:r>
      <w:r w:rsidRPr="004F507A">
        <w:rPr>
          <w:rFonts w:ascii="Arial" w:hAnsi="Arial" w:cs="Arial"/>
          <w:color w:val="000000"/>
          <w:sz w:val="22"/>
          <w:szCs w:val="22"/>
          <w:lang w:val="fr-FR"/>
        </w:rPr>
        <w:t xml:space="preserve"> accès ou utilisation sans consentement préalable en connaissance de cause ou approbation ou participation et, le cas échéant, dans des conditions n</w:t>
      </w:r>
      <w:r w:rsidR="006D7B02" w:rsidRPr="004F507A">
        <w:rPr>
          <w:rFonts w:ascii="Arial" w:hAnsi="Arial" w:cs="Arial"/>
          <w:color w:val="000000"/>
          <w:sz w:val="22"/>
          <w:szCs w:val="22"/>
          <w:lang w:val="fr-FR"/>
        </w:rPr>
        <w:t>’</w:t>
      </w:r>
      <w:r w:rsidRPr="004F507A">
        <w:rPr>
          <w:rFonts w:ascii="Arial" w:hAnsi="Arial" w:cs="Arial"/>
          <w:color w:val="000000"/>
          <w:sz w:val="22"/>
          <w:szCs w:val="22"/>
          <w:lang w:val="fr-FR"/>
        </w:rPr>
        <w:t>ayant pas été mutuellement convenues, à quelque fin que ce soit, relèverait de l</w:t>
      </w:r>
      <w:r w:rsidR="006D7B02" w:rsidRPr="004F507A">
        <w:rPr>
          <w:rFonts w:ascii="Arial" w:hAnsi="Arial" w:cs="Arial"/>
          <w:color w:val="000000"/>
          <w:sz w:val="22"/>
          <w:szCs w:val="22"/>
          <w:lang w:val="fr-FR"/>
        </w:rPr>
        <w:t>’</w:t>
      </w:r>
      <w:r w:rsidRPr="004F507A">
        <w:rPr>
          <w:rFonts w:ascii="Arial" w:hAnsi="Arial" w:cs="Arial"/>
          <w:color w:val="000000"/>
          <w:sz w:val="22"/>
          <w:szCs w:val="22"/>
          <w:lang w:val="fr-FR"/>
        </w:rPr>
        <w:t xml:space="preserve">appropriation illicite (je souligne); </w:t>
      </w:r>
      <w:r w:rsidR="000E59D1" w:rsidRPr="004F507A">
        <w:rPr>
          <w:rFonts w:ascii="Arial" w:hAnsi="Arial" w:cs="Arial"/>
          <w:color w:val="000000"/>
          <w:sz w:val="22"/>
          <w:szCs w:val="22"/>
          <w:lang w:val="fr-FR"/>
        </w:rPr>
        <w:t xml:space="preserve"> </w:t>
      </w:r>
      <w:r w:rsidRPr="004F507A">
        <w:rPr>
          <w:rFonts w:ascii="Arial" w:hAnsi="Arial" w:cs="Arial"/>
          <w:color w:val="000000"/>
          <w:sz w:val="22"/>
          <w:szCs w:val="22"/>
          <w:lang w:val="fr-FR"/>
        </w:rPr>
        <w:t>et</w:t>
      </w:r>
    </w:p>
    <w:p w:rsidR="004F60C4" w:rsidRPr="004F507A" w:rsidRDefault="00D65B8E" w:rsidP="002B5624">
      <w:pPr>
        <w:numPr>
          <w:ilvl w:val="0"/>
          <w:numId w:val="4"/>
        </w:numPr>
        <w:spacing w:after="240"/>
        <w:ind w:left="1134" w:hanging="567"/>
        <w:rPr>
          <w:rFonts w:ascii="Arial" w:hAnsi="Arial" w:cs="Arial"/>
          <w:sz w:val="22"/>
          <w:szCs w:val="22"/>
          <w:lang w:val="fr-FR"/>
        </w:rPr>
      </w:pPr>
      <w:r w:rsidRPr="004F507A">
        <w:rPr>
          <w:rFonts w:ascii="Arial" w:hAnsi="Arial" w:cs="Arial"/>
          <w:color w:val="000000"/>
          <w:sz w:val="22"/>
          <w:szCs w:val="22"/>
          <w:lang w:val="fr-FR"/>
        </w:rPr>
        <w:t>Option</w:t>
      </w:r>
      <w:r w:rsidR="00192CB7">
        <w:rPr>
          <w:rFonts w:ascii="Arial" w:hAnsi="Arial" w:cs="Arial"/>
          <w:color w:val="000000"/>
          <w:sz w:val="22"/>
          <w:szCs w:val="22"/>
          <w:lang w:val="fr-FR"/>
        </w:rPr>
        <w:t> </w:t>
      </w:r>
      <w:r w:rsidRPr="004F507A">
        <w:rPr>
          <w:rFonts w:ascii="Arial" w:hAnsi="Arial" w:cs="Arial"/>
          <w:color w:val="000000"/>
          <w:sz w:val="22"/>
          <w:szCs w:val="22"/>
          <w:lang w:val="fr-FR"/>
        </w:rPr>
        <w:t>2, il y aurait appropriation illicite uniquement si l</w:t>
      </w:r>
      <w:r w:rsidR="006D7B02" w:rsidRPr="004F507A">
        <w:rPr>
          <w:rFonts w:ascii="Arial" w:hAnsi="Arial" w:cs="Arial"/>
          <w:color w:val="000000"/>
          <w:sz w:val="22"/>
          <w:szCs w:val="22"/>
          <w:lang w:val="fr-FR"/>
        </w:rPr>
        <w:t>’</w:t>
      </w:r>
      <w:r w:rsidRPr="004F507A">
        <w:rPr>
          <w:rFonts w:ascii="Arial" w:hAnsi="Arial" w:cs="Arial"/>
          <w:color w:val="000000"/>
          <w:sz w:val="22"/>
          <w:szCs w:val="22"/>
          <w:lang w:val="fr-FR"/>
        </w:rPr>
        <w:t>utilisateur a acquis les savoirs traditionnels auprès de leur détenteur par des moyens abusifs ou par abus de confiance induisant une violation de la législation nationale du pays fournisseur.</w:t>
      </w:r>
    </w:p>
    <w:p w:rsidR="006D7B02" w:rsidRPr="004F507A" w:rsidRDefault="00DB2CA8" w:rsidP="002B5624">
      <w:pPr>
        <w:tabs>
          <w:tab w:val="left" w:pos="567"/>
        </w:tabs>
        <w:spacing w:after="240"/>
        <w:rPr>
          <w:rFonts w:ascii="Arial" w:hAnsi="Arial" w:cs="Arial"/>
          <w:sz w:val="22"/>
          <w:szCs w:val="22"/>
          <w:lang w:val="fr-FR"/>
        </w:rPr>
      </w:pPr>
      <w:r w:rsidRPr="004F507A">
        <w:rPr>
          <w:rFonts w:ascii="Arial" w:hAnsi="Arial" w:cs="Arial"/>
          <w:sz w:val="22"/>
          <w:szCs w:val="22"/>
          <w:lang w:val="fr-FR"/>
        </w:rPr>
        <w:fldChar w:fldCharType="begin"/>
      </w:r>
      <w:r w:rsidRPr="004F507A">
        <w:rPr>
          <w:rFonts w:ascii="Arial" w:hAnsi="Arial" w:cs="Arial"/>
          <w:sz w:val="22"/>
          <w:szCs w:val="22"/>
          <w:lang w:val="fr-FR"/>
        </w:rPr>
        <w:instrText xml:space="preserve"> AUTONUM  </w:instrText>
      </w:r>
      <w:r w:rsidRPr="004F507A">
        <w:rPr>
          <w:rFonts w:ascii="Arial" w:hAnsi="Arial" w:cs="Arial"/>
          <w:sz w:val="22"/>
          <w:szCs w:val="22"/>
          <w:lang w:val="fr-FR"/>
        </w:rPr>
        <w:fldChar w:fldCharType="end"/>
      </w:r>
      <w:r w:rsidRPr="004F507A">
        <w:rPr>
          <w:rFonts w:ascii="Arial" w:hAnsi="Arial" w:cs="Arial"/>
          <w:sz w:val="22"/>
          <w:szCs w:val="22"/>
          <w:lang w:val="fr-FR"/>
        </w:rPr>
        <w:tab/>
      </w:r>
      <w:r w:rsidR="00D65B8E" w:rsidRPr="004F507A">
        <w:rPr>
          <w:rFonts w:ascii="Arial" w:hAnsi="Arial" w:cs="Arial"/>
          <w:color w:val="000000"/>
          <w:sz w:val="22"/>
          <w:szCs w:val="22"/>
          <w:lang w:val="fr-FR"/>
        </w:rPr>
        <w:t xml:space="preserve">Les États membres pourraient commencer par </w:t>
      </w:r>
      <w:r w:rsidR="006578D6" w:rsidRPr="004F507A">
        <w:rPr>
          <w:rFonts w:ascii="Arial" w:hAnsi="Arial" w:cs="Arial"/>
          <w:color w:val="000000"/>
          <w:sz w:val="22"/>
          <w:szCs w:val="22"/>
          <w:lang w:val="fr-FR"/>
        </w:rPr>
        <w:t>réfléchir à la</w:t>
      </w:r>
      <w:r w:rsidR="00D65B8E" w:rsidRPr="004F507A">
        <w:rPr>
          <w:rFonts w:ascii="Arial" w:hAnsi="Arial" w:cs="Arial"/>
          <w:color w:val="000000"/>
          <w:sz w:val="22"/>
          <w:szCs w:val="22"/>
          <w:lang w:val="fr-FR"/>
        </w:rPr>
        <w:t xml:space="preserve"> question essentielle suivante</w:t>
      </w:r>
      <w:r w:rsidR="000E59D1" w:rsidRPr="004F507A">
        <w:rPr>
          <w:rFonts w:ascii="Arial" w:hAnsi="Arial" w:cs="Arial"/>
          <w:color w:val="000000"/>
          <w:sz w:val="22"/>
          <w:szCs w:val="22"/>
          <w:lang w:val="fr-FR"/>
        </w:rPr>
        <w:t> </w:t>
      </w:r>
      <w:r w:rsidR="004F507A">
        <w:rPr>
          <w:rFonts w:ascii="Arial" w:hAnsi="Arial" w:cs="Arial"/>
          <w:color w:val="000000"/>
          <w:sz w:val="22"/>
          <w:szCs w:val="22"/>
          <w:lang w:val="fr-FR"/>
        </w:rPr>
        <w:t>: l</w:t>
      </w:r>
      <w:r w:rsidR="00D65B8E" w:rsidRPr="004F507A">
        <w:rPr>
          <w:rFonts w:ascii="Arial" w:hAnsi="Arial" w:cs="Arial"/>
          <w:color w:val="000000"/>
          <w:sz w:val="22"/>
          <w:szCs w:val="22"/>
          <w:lang w:val="fr-FR"/>
        </w:rPr>
        <w:t>e mandat de l</w:t>
      </w:r>
      <w:r w:rsidR="006D7B02" w:rsidRPr="004F507A">
        <w:rPr>
          <w:rFonts w:ascii="Arial" w:hAnsi="Arial" w:cs="Arial"/>
          <w:color w:val="000000"/>
          <w:sz w:val="22"/>
          <w:szCs w:val="22"/>
          <w:lang w:val="fr-FR"/>
        </w:rPr>
        <w:t>’</w:t>
      </w:r>
      <w:r w:rsidR="00D65B8E" w:rsidRPr="004F507A">
        <w:rPr>
          <w:rFonts w:ascii="Arial" w:hAnsi="Arial" w:cs="Arial"/>
          <w:color w:val="000000"/>
          <w:sz w:val="22"/>
          <w:szCs w:val="22"/>
          <w:lang w:val="fr-FR"/>
        </w:rPr>
        <w:t>IGC requiert</w:t>
      </w:r>
      <w:r w:rsidR="00525EB9">
        <w:rPr>
          <w:rFonts w:ascii="Arial" w:hAnsi="Arial" w:cs="Arial"/>
          <w:color w:val="000000"/>
          <w:sz w:val="22"/>
          <w:szCs w:val="22"/>
          <w:lang w:val="fr-FR"/>
        </w:rPr>
        <w:noBreakHyphen/>
      </w:r>
      <w:r w:rsidR="00D65B8E" w:rsidRPr="004F507A">
        <w:rPr>
          <w:rFonts w:ascii="Arial" w:hAnsi="Arial" w:cs="Arial"/>
          <w:color w:val="000000"/>
          <w:sz w:val="22"/>
          <w:szCs w:val="22"/>
          <w:lang w:val="fr-FR"/>
        </w:rPr>
        <w:t>il que celui</w:t>
      </w:r>
      <w:r w:rsidR="00525EB9">
        <w:rPr>
          <w:rFonts w:ascii="Arial" w:hAnsi="Arial" w:cs="Arial"/>
          <w:color w:val="000000"/>
          <w:sz w:val="22"/>
          <w:szCs w:val="22"/>
          <w:lang w:val="fr-FR"/>
        </w:rPr>
        <w:noBreakHyphen/>
      </w:r>
      <w:r w:rsidR="00D65B8E" w:rsidRPr="004F507A">
        <w:rPr>
          <w:rFonts w:ascii="Arial" w:hAnsi="Arial" w:cs="Arial"/>
          <w:color w:val="000000"/>
          <w:sz w:val="22"/>
          <w:szCs w:val="22"/>
          <w:lang w:val="fr-FR"/>
        </w:rPr>
        <w:t>ci convienne d</w:t>
      </w:r>
      <w:r w:rsidR="006D7B02" w:rsidRPr="004F507A">
        <w:rPr>
          <w:rFonts w:ascii="Arial" w:hAnsi="Arial" w:cs="Arial"/>
          <w:color w:val="000000"/>
          <w:sz w:val="22"/>
          <w:szCs w:val="22"/>
          <w:lang w:val="fr-FR"/>
        </w:rPr>
        <w:t>’</w:t>
      </w:r>
      <w:r w:rsidR="00D65B8E" w:rsidRPr="004F507A">
        <w:rPr>
          <w:rFonts w:ascii="Arial" w:hAnsi="Arial" w:cs="Arial"/>
          <w:color w:val="000000"/>
          <w:sz w:val="22"/>
          <w:szCs w:val="22"/>
          <w:lang w:val="fr-FR"/>
        </w:rPr>
        <w:t xml:space="preserve">une nouvelle définition du </w:t>
      </w:r>
      <w:r w:rsidR="00D65B8E" w:rsidRPr="004F507A">
        <w:rPr>
          <w:rFonts w:ascii="Arial" w:hAnsi="Arial" w:cs="Arial"/>
          <w:color w:val="000000"/>
          <w:sz w:val="22"/>
          <w:szCs w:val="22"/>
          <w:lang w:val="fr-FR"/>
        </w:rPr>
        <w:lastRenderedPageBreak/>
        <w:t xml:space="preserve">terme </w:t>
      </w:r>
      <w:r w:rsidR="006D7B02" w:rsidRPr="004F507A">
        <w:rPr>
          <w:rFonts w:ascii="Arial" w:hAnsi="Arial" w:cs="Arial"/>
          <w:color w:val="000000"/>
          <w:sz w:val="22"/>
          <w:szCs w:val="22"/>
          <w:lang w:val="fr-FR"/>
        </w:rPr>
        <w:t>“</w:t>
      </w:r>
      <w:r w:rsidR="00D65B8E" w:rsidRPr="004F507A">
        <w:rPr>
          <w:rFonts w:ascii="Arial" w:hAnsi="Arial" w:cs="Arial"/>
          <w:color w:val="000000"/>
          <w:sz w:val="22"/>
          <w:szCs w:val="22"/>
          <w:lang w:val="fr-FR"/>
        </w:rPr>
        <w:t>appropriation illicite</w:t>
      </w:r>
      <w:r w:rsidR="006D7B02" w:rsidRPr="004F507A">
        <w:rPr>
          <w:rFonts w:ascii="Arial" w:hAnsi="Arial" w:cs="Arial"/>
          <w:color w:val="000000"/>
          <w:sz w:val="22"/>
          <w:szCs w:val="22"/>
          <w:lang w:val="fr-FR"/>
        </w:rPr>
        <w:t>”</w:t>
      </w:r>
      <w:r w:rsidR="00D65B8E" w:rsidRPr="004F507A">
        <w:rPr>
          <w:rFonts w:ascii="Arial" w:hAnsi="Arial" w:cs="Arial"/>
          <w:color w:val="000000"/>
          <w:sz w:val="22"/>
          <w:szCs w:val="22"/>
          <w:lang w:val="fr-FR"/>
        </w:rPr>
        <w:t xml:space="preserve">, ou </w:t>
      </w:r>
      <w:r w:rsidR="00A56BF1" w:rsidRPr="004F507A">
        <w:rPr>
          <w:rFonts w:ascii="Arial" w:hAnsi="Arial" w:cs="Arial"/>
          <w:color w:val="000000"/>
          <w:sz w:val="22"/>
          <w:szCs w:val="22"/>
          <w:lang w:val="fr-FR"/>
        </w:rPr>
        <w:t>est</w:t>
      </w:r>
      <w:r w:rsidR="00525EB9">
        <w:rPr>
          <w:rFonts w:ascii="Arial" w:hAnsi="Arial" w:cs="Arial"/>
          <w:color w:val="000000"/>
          <w:sz w:val="22"/>
          <w:szCs w:val="22"/>
          <w:lang w:val="fr-FR"/>
        </w:rPr>
        <w:noBreakHyphen/>
      </w:r>
      <w:r w:rsidR="00A56BF1" w:rsidRPr="004F507A">
        <w:rPr>
          <w:rFonts w:ascii="Arial" w:hAnsi="Arial" w:cs="Arial"/>
          <w:color w:val="000000"/>
          <w:sz w:val="22"/>
          <w:szCs w:val="22"/>
          <w:lang w:val="fr-FR"/>
        </w:rPr>
        <w:t xml:space="preserve">il suffisant de parvenir à </w:t>
      </w:r>
      <w:r w:rsidR="00D65B8E" w:rsidRPr="004F507A">
        <w:rPr>
          <w:rFonts w:ascii="Arial" w:hAnsi="Arial" w:cs="Arial"/>
          <w:color w:val="000000"/>
          <w:sz w:val="22"/>
          <w:szCs w:val="22"/>
          <w:lang w:val="fr-FR"/>
        </w:rPr>
        <w:t xml:space="preserve">une communauté de vues sur </w:t>
      </w:r>
      <w:r w:rsidR="00A56BF1" w:rsidRPr="004F507A">
        <w:rPr>
          <w:rFonts w:ascii="Arial" w:hAnsi="Arial" w:cs="Arial"/>
          <w:color w:val="000000"/>
          <w:sz w:val="22"/>
          <w:szCs w:val="22"/>
          <w:lang w:val="fr-FR"/>
        </w:rPr>
        <w:t>l</w:t>
      </w:r>
      <w:r w:rsidR="009713C2" w:rsidRPr="004F507A">
        <w:rPr>
          <w:rFonts w:ascii="Arial" w:hAnsi="Arial" w:cs="Arial"/>
          <w:color w:val="000000"/>
          <w:sz w:val="22"/>
          <w:szCs w:val="22"/>
          <w:lang w:val="fr-FR"/>
        </w:rPr>
        <w:t>a signification</w:t>
      </w:r>
      <w:r w:rsidR="00A56BF1" w:rsidRPr="004F507A">
        <w:rPr>
          <w:rFonts w:ascii="Arial" w:hAnsi="Arial" w:cs="Arial"/>
          <w:color w:val="000000"/>
          <w:sz w:val="22"/>
          <w:szCs w:val="22"/>
          <w:lang w:val="fr-FR"/>
        </w:rPr>
        <w:t xml:space="preserve"> de ce terme</w:t>
      </w:r>
      <w:r w:rsidR="00D65B8E" w:rsidRPr="004F507A">
        <w:rPr>
          <w:rFonts w:ascii="Arial" w:hAnsi="Arial" w:cs="Arial"/>
          <w:color w:val="000000"/>
          <w:sz w:val="22"/>
          <w:szCs w:val="22"/>
          <w:lang w:val="fr-FR"/>
        </w:rPr>
        <w:t xml:space="preserve"> </w:t>
      </w:r>
      <w:r w:rsidR="00A56BF1" w:rsidRPr="004F507A">
        <w:rPr>
          <w:rFonts w:ascii="Arial" w:hAnsi="Arial" w:cs="Arial"/>
          <w:color w:val="000000"/>
          <w:sz w:val="22"/>
          <w:szCs w:val="22"/>
          <w:lang w:val="fr-FR"/>
        </w:rPr>
        <w:t>en langage simple</w:t>
      </w:r>
      <w:r w:rsidR="00D65B8E" w:rsidRPr="004F507A">
        <w:rPr>
          <w:rFonts w:ascii="Arial" w:hAnsi="Arial" w:cs="Arial"/>
          <w:color w:val="000000"/>
          <w:sz w:val="22"/>
          <w:szCs w:val="22"/>
          <w:lang w:val="fr-FR"/>
        </w:rPr>
        <w:t>?</w:t>
      </w:r>
    </w:p>
    <w:p w:rsidR="004F60C4" w:rsidRPr="004F507A" w:rsidRDefault="00D65B8E" w:rsidP="002B5624">
      <w:pPr>
        <w:tabs>
          <w:tab w:val="left" w:pos="567"/>
        </w:tabs>
        <w:spacing w:after="240"/>
        <w:rPr>
          <w:rFonts w:ascii="Arial" w:hAnsi="Arial" w:cs="Arial"/>
          <w:b/>
          <w:sz w:val="22"/>
          <w:szCs w:val="22"/>
          <w:lang w:val="fr-FR"/>
        </w:rPr>
      </w:pPr>
      <w:r w:rsidRPr="004F507A">
        <w:rPr>
          <w:rFonts w:ascii="Arial" w:hAnsi="Arial" w:cs="Arial"/>
          <w:b/>
          <w:sz w:val="22"/>
          <w:szCs w:val="22"/>
          <w:lang w:val="fr-FR"/>
        </w:rPr>
        <w:t>Autres questions</w:t>
      </w:r>
    </w:p>
    <w:p w:rsidR="004F60C4" w:rsidRPr="004F507A" w:rsidRDefault="00252EB8" w:rsidP="002B5624">
      <w:pPr>
        <w:tabs>
          <w:tab w:val="left" w:pos="567"/>
        </w:tabs>
        <w:spacing w:after="240"/>
        <w:rPr>
          <w:rFonts w:ascii="Arial" w:hAnsi="Arial" w:cs="Arial"/>
          <w:i/>
          <w:sz w:val="22"/>
          <w:szCs w:val="22"/>
          <w:lang w:val="fr-FR"/>
        </w:rPr>
      </w:pPr>
      <w:r w:rsidRPr="004F507A">
        <w:rPr>
          <w:rFonts w:ascii="Arial" w:hAnsi="Arial" w:cs="Arial"/>
          <w:i/>
          <w:sz w:val="22"/>
          <w:szCs w:val="22"/>
          <w:lang w:val="fr-FR"/>
        </w:rPr>
        <w:t>Pré</w:t>
      </w:r>
      <w:r w:rsidR="00645BA2" w:rsidRPr="004F507A">
        <w:rPr>
          <w:rFonts w:ascii="Arial" w:hAnsi="Arial" w:cs="Arial"/>
          <w:i/>
          <w:sz w:val="22"/>
          <w:szCs w:val="22"/>
          <w:lang w:val="fr-FR"/>
        </w:rPr>
        <w:t>amb</w:t>
      </w:r>
      <w:r w:rsidRPr="004F507A">
        <w:rPr>
          <w:rFonts w:ascii="Arial" w:hAnsi="Arial" w:cs="Arial"/>
          <w:i/>
          <w:sz w:val="22"/>
          <w:szCs w:val="22"/>
          <w:lang w:val="fr-FR"/>
        </w:rPr>
        <w:t>u</w:t>
      </w:r>
      <w:r w:rsidR="00645BA2" w:rsidRPr="004F507A">
        <w:rPr>
          <w:rFonts w:ascii="Arial" w:hAnsi="Arial" w:cs="Arial"/>
          <w:i/>
          <w:sz w:val="22"/>
          <w:szCs w:val="22"/>
          <w:lang w:val="fr-FR"/>
        </w:rPr>
        <w:t>le</w:t>
      </w:r>
      <w:r w:rsidR="00981A32" w:rsidRPr="004F507A">
        <w:rPr>
          <w:rFonts w:ascii="Arial" w:hAnsi="Arial" w:cs="Arial"/>
          <w:i/>
          <w:sz w:val="22"/>
          <w:szCs w:val="22"/>
          <w:lang w:val="fr-FR"/>
        </w:rPr>
        <w:t xml:space="preserve"> / Introduction</w:t>
      </w:r>
    </w:p>
    <w:p w:rsidR="004F60C4" w:rsidRPr="004F507A" w:rsidRDefault="007C5259" w:rsidP="002B5624">
      <w:pPr>
        <w:tabs>
          <w:tab w:val="left" w:pos="567"/>
        </w:tabs>
        <w:spacing w:after="240"/>
        <w:rPr>
          <w:rFonts w:ascii="Arial" w:hAnsi="Arial" w:cs="Arial"/>
          <w:sz w:val="22"/>
          <w:szCs w:val="22"/>
          <w:lang w:val="fr-FR"/>
        </w:rPr>
      </w:pPr>
      <w:r w:rsidRPr="00100D5C">
        <w:rPr>
          <w:rFonts w:ascii="Arial" w:hAnsi="Arial" w:cs="Arial"/>
          <w:sz w:val="22"/>
          <w:szCs w:val="22"/>
          <w:lang w:val="fr-FR"/>
        </w:rPr>
        <w:fldChar w:fldCharType="begin"/>
      </w:r>
      <w:r w:rsidRPr="00100D5C">
        <w:rPr>
          <w:rFonts w:ascii="Arial" w:hAnsi="Arial" w:cs="Arial"/>
          <w:sz w:val="22"/>
          <w:szCs w:val="22"/>
          <w:lang w:val="fr-FR"/>
        </w:rPr>
        <w:instrText xml:space="preserve"> AUTONUM  </w:instrText>
      </w:r>
      <w:r w:rsidRPr="00100D5C">
        <w:rPr>
          <w:rFonts w:ascii="Arial" w:hAnsi="Arial" w:cs="Arial"/>
          <w:sz w:val="22"/>
          <w:szCs w:val="22"/>
          <w:lang w:val="fr-FR"/>
        </w:rPr>
        <w:fldChar w:fldCharType="end"/>
      </w:r>
      <w:r w:rsidRPr="00100D5C">
        <w:rPr>
          <w:rFonts w:ascii="Arial" w:hAnsi="Arial" w:cs="Arial"/>
          <w:sz w:val="22"/>
          <w:szCs w:val="22"/>
          <w:lang w:val="fr-FR"/>
        </w:rPr>
        <w:tab/>
      </w:r>
      <w:r w:rsidR="00F37EFF" w:rsidRPr="00100D5C">
        <w:rPr>
          <w:rFonts w:ascii="Arial" w:hAnsi="Arial" w:cs="Arial"/>
          <w:color w:val="000000"/>
          <w:sz w:val="22"/>
          <w:szCs w:val="22"/>
          <w:lang w:val="fr-FR"/>
        </w:rPr>
        <w:t>Le préambule d</w:t>
      </w:r>
      <w:r w:rsidR="006D7B02" w:rsidRPr="00100D5C">
        <w:rPr>
          <w:rFonts w:ascii="Arial" w:hAnsi="Arial" w:cs="Arial"/>
          <w:color w:val="000000"/>
          <w:sz w:val="22"/>
          <w:szCs w:val="22"/>
          <w:lang w:val="fr-FR"/>
        </w:rPr>
        <w:t>’</w:t>
      </w:r>
      <w:r w:rsidR="00F37EFF" w:rsidRPr="00100D5C">
        <w:rPr>
          <w:rFonts w:ascii="Arial" w:hAnsi="Arial" w:cs="Arial"/>
          <w:color w:val="000000"/>
          <w:sz w:val="22"/>
          <w:szCs w:val="22"/>
          <w:lang w:val="fr-FR"/>
        </w:rPr>
        <w:t>un instrument multilatéral, bien qu</w:t>
      </w:r>
      <w:r w:rsidR="006D7B02" w:rsidRPr="00100D5C">
        <w:rPr>
          <w:rFonts w:ascii="Arial" w:hAnsi="Arial" w:cs="Arial"/>
          <w:color w:val="000000"/>
          <w:sz w:val="22"/>
          <w:szCs w:val="22"/>
          <w:lang w:val="fr-FR"/>
        </w:rPr>
        <w:t>’</w:t>
      </w:r>
      <w:r w:rsidR="00F37EFF" w:rsidRPr="00100D5C">
        <w:rPr>
          <w:rFonts w:ascii="Arial" w:hAnsi="Arial" w:cs="Arial"/>
          <w:color w:val="000000"/>
          <w:sz w:val="22"/>
          <w:szCs w:val="22"/>
          <w:lang w:val="fr-FR"/>
        </w:rPr>
        <w:t>il n</w:t>
      </w:r>
      <w:r w:rsidR="006D7B02" w:rsidRPr="00100D5C">
        <w:rPr>
          <w:rFonts w:ascii="Arial" w:hAnsi="Arial" w:cs="Arial"/>
          <w:color w:val="000000"/>
          <w:sz w:val="22"/>
          <w:szCs w:val="22"/>
          <w:lang w:val="fr-FR"/>
        </w:rPr>
        <w:t>’</w:t>
      </w:r>
      <w:r w:rsidR="00F37EFF" w:rsidRPr="00100D5C">
        <w:rPr>
          <w:rFonts w:ascii="Arial" w:hAnsi="Arial" w:cs="Arial"/>
          <w:color w:val="000000"/>
          <w:sz w:val="22"/>
          <w:szCs w:val="22"/>
          <w:lang w:val="fr-FR"/>
        </w:rPr>
        <w:t xml:space="preserve">en constitue pas la partie juridiquement contraignante ou </w:t>
      </w:r>
      <w:proofErr w:type="spellStart"/>
      <w:r w:rsidR="00F37EFF" w:rsidRPr="00100D5C">
        <w:rPr>
          <w:rFonts w:ascii="Arial" w:hAnsi="Arial" w:cs="Arial"/>
          <w:color w:val="000000"/>
          <w:sz w:val="22"/>
          <w:szCs w:val="22"/>
          <w:lang w:val="fr-FR"/>
        </w:rPr>
        <w:t>dispositive</w:t>
      </w:r>
      <w:proofErr w:type="spellEnd"/>
      <w:r w:rsidR="00F37EFF" w:rsidRPr="00100D5C">
        <w:rPr>
          <w:rFonts w:ascii="Arial" w:hAnsi="Arial" w:cs="Arial"/>
          <w:color w:val="000000"/>
          <w:sz w:val="22"/>
          <w:szCs w:val="22"/>
          <w:lang w:val="fr-FR"/>
        </w:rPr>
        <w:t>, facilite l</w:t>
      </w:r>
      <w:r w:rsidR="006D7B02" w:rsidRPr="00100D5C">
        <w:rPr>
          <w:rFonts w:ascii="Arial" w:hAnsi="Arial" w:cs="Arial"/>
          <w:color w:val="000000"/>
          <w:sz w:val="22"/>
          <w:szCs w:val="22"/>
          <w:lang w:val="fr-FR"/>
        </w:rPr>
        <w:t>’</w:t>
      </w:r>
      <w:r w:rsidR="00F37EFF" w:rsidRPr="00100D5C">
        <w:rPr>
          <w:rFonts w:ascii="Arial" w:hAnsi="Arial" w:cs="Arial"/>
          <w:color w:val="000000"/>
          <w:sz w:val="22"/>
          <w:szCs w:val="22"/>
          <w:lang w:val="fr-FR"/>
        </w:rPr>
        <w:t>interprétation du dispositif en exposant le contexte de l</w:t>
      </w:r>
      <w:r w:rsidR="006D7B02" w:rsidRPr="00100D5C">
        <w:rPr>
          <w:rFonts w:ascii="Arial" w:hAnsi="Arial" w:cs="Arial"/>
          <w:color w:val="000000"/>
          <w:sz w:val="22"/>
          <w:szCs w:val="22"/>
          <w:lang w:val="fr-FR"/>
        </w:rPr>
        <w:t>’</w:t>
      </w:r>
      <w:r w:rsidR="00F37EFF" w:rsidRPr="00100D5C">
        <w:rPr>
          <w:rFonts w:ascii="Arial" w:hAnsi="Arial" w:cs="Arial"/>
          <w:color w:val="000000"/>
          <w:sz w:val="22"/>
          <w:szCs w:val="22"/>
          <w:lang w:val="fr-FR"/>
        </w:rPr>
        <w:t>instrument et les intentions des rédacteu</w:t>
      </w:r>
      <w:r w:rsidR="004F507A" w:rsidRPr="00100D5C">
        <w:rPr>
          <w:rFonts w:ascii="Arial" w:hAnsi="Arial" w:cs="Arial"/>
          <w:color w:val="000000"/>
          <w:sz w:val="22"/>
          <w:szCs w:val="22"/>
          <w:lang w:val="fr-FR"/>
        </w:rPr>
        <w:t>rs.  Le</w:t>
      </w:r>
      <w:r w:rsidR="00A774B3" w:rsidRPr="00100D5C">
        <w:rPr>
          <w:rFonts w:ascii="Arial" w:hAnsi="Arial" w:cs="Arial"/>
          <w:color w:val="000000"/>
          <w:sz w:val="22"/>
          <w:szCs w:val="22"/>
          <w:lang w:val="fr-FR"/>
        </w:rPr>
        <w:t xml:space="preserve">s termes employés reflètent généralement le caractère </w:t>
      </w:r>
      <w:r w:rsidR="00F37EFF" w:rsidRPr="00100D5C">
        <w:rPr>
          <w:rFonts w:ascii="Arial" w:hAnsi="Arial" w:cs="Arial"/>
          <w:color w:val="000000"/>
          <w:sz w:val="22"/>
          <w:szCs w:val="22"/>
          <w:lang w:val="fr-FR"/>
        </w:rPr>
        <w:t>déclaratif ou juridiquement contraignant</w:t>
      </w:r>
      <w:r w:rsidR="00A774B3" w:rsidRPr="00100D5C">
        <w:rPr>
          <w:rFonts w:ascii="Arial" w:hAnsi="Arial" w:cs="Arial"/>
          <w:color w:val="000000"/>
          <w:sz w:val="22"/>
          <w:szCs w:val="22"/>
          <w:lang w:val="fr-FR"/>
        </w:rPr>
        <w:t xml:space="preserve"> de l</w:t>
      </w:r>
      <w:r w:rsidR="006D7B02" w:rsidRPr="00100D5C">
        <w:rPr>
          <w:rFonts w:ascii="Arial" w:hAnsi="Arial" w:cs="Arial"/>
          <w:color w:val="000000"/>
          <w:sz w:val="22"/>
          <w:szCs w:val="22"/>
          <w:lang w:val="fr-FR"/>
        </w:rPr>
        <w:t>’</w:t>
      </w:r>
      <w:r w:rsidR="00A774B3" w:rsidRPr="00100D5C">
        <w:rPr>
          <w:rFonts w:ascii="Arial" w:hAnsi="Arial" w:cs="Arial"/>
          <w:color w:val="000000"/>
          <w:sz w:val="22"/>
          <w:szCs w:val="22"/>
          <w:lang w:val="fr-FR"/>
        </w:rPr>
        <w:t>instrument</w:t>
      </w:r>
      <w:r w:rsidR="00F37EFF" w:rsidRPr="00100D5C">
        <w:rPr>
          <w:rFonts w:ascii="Arial" w:hAnsi="Arial" w:cs="Arial"/>
          <w:color w:val="000000"/>
          <w:sz w:val="22"/>
          <w:szCs w:val="22"/>
          <w:lang w:val="fr-FR"/>
        </w:rPr>
        <w:t>.</w:t>
      </w:r>
      <w:r w:rsidR="003B3DEC" w:rsidRPr="00100D5C">
        <w:rPr>
          <w:rFonts w:ascii="Arial" w:hAnsi="Arial"/>
          <w:color w:val="000000"/>
          <w:sz w:val="22"/>
          <w:lang w:val="fr-FR"/>
        </w:rPr>
        <w:t xml:space="preserve"> </w:t>
      </w:r>
      <w:r w:rsidR="002365A6" w:rsidRPr="00100D5C">
        <w:rPr>
          <w:rFonts w:ascii="Arial" w:hAnsi="Arial"/>
          <w:color w:val="000000"/>
          <w:sz w:val="22"/>
          <w:lang w:val="fr-FR"/>
        </w:rPr>
        <w:t xml:space="preserve"> </w:t>
      </w:r>
      <w:r w:rsidR="008F77D1" w:rsidRPr="00100D5C">
        <w:rPr>
          <w:rFonts w:ascii="Arial" w:hAnsi="Arial" w:cs="Arial"/>
          <w:color w:val="000000"/>
          <w:sz w:val="22"/>
          <w:szCs w:val="22"/>
          <w:lang w:val="fr-FR"/>
        </w:rPr>
        <w:t>L</w:t>
      </w:r>
      <w:r w:rsidR="006D7B02" w:rsidRPr="00100D5C">
        <w:rPr>
          <w:rFonts w:ascii="Arial" w:hAnsi="Arial" w:cs="Arial"/>
          <w:color w:val="000000"/>
          <w:sz w:val="22"/>
          <w:szCs w:val="22"/>
          <w:lang w:val="fr-FR"/>
        </w:rPr>
        <w:t>’</w:t>
      </w:r>
      <w:r w:rsidR="008F77D1" w:rsidRPr="00100D5C">
        <w:rPr>
          <w:rFonts w:ascii="Arial" w:hAnsi="Arial" w:cs="Arial"/>
          <w:color w:val="000000"/>
          <w:sz w:val="22"/>
          <w:szCs w:val="22"/>
          <w:lang w:val="fr-FR"/>
        </w:rPr>
        <w:t xml:space="preserve">IGC pourrait chercher à déterminer, parmi les </w:t>
      </w:r>
      <w:r w:rsidR="00100D5C">
        <w:rPr>
          <w:rFonts w:ascii="Arial" w:hAnsi="Arial" w:cs="Arial"/>
          <w:color w:val="000000"/>
          <w:sz w:val="22"/>
          <w:szCs w:val="22"/>
          <w:lang w:val="fr-FR"/>
        </w:rPr>
        <w:t>principes formulés</w:t>
      </w:r>
      <w:r w:rsidR="008F77D1" w:rsidRPr="00100D5C">
        <w:rPr>
          <w:rFonts w:ascii="Arial" w:hAnsi="Arial" w:cs="Arial"/>
          <w:color w:val="000000"/>
          <w:sz w:val="22"/>
          <w:szCs w:val="22"/>
          <w:lang w:val="fr-FR"/>
        </w:rPr>
        <w:t xml:space="preserve"> dans le </w:t>
      </w:r>
      <w:r w:rsidR="00100D5C">
        <w:rPr>
          <w:rFonts w:ascii="Arial" w:hAnsi="Arial" w:cs="Arial"/>
          <w:color w:val="000000"/>
          <w:sz w:val="22"/>
          <w:szCs w:val="22"/>
          <w:lang w:val="fr-FR"/>
        </w:rPr>
        <w:t>“</w:t>
      </w:r>
      <w:r w:rsidR="008F77D1" w:rsidRPr="00100D5C">
        <w:rPr>
          <w:rFonts w:ascii="Arial" w:hAnsi="Arial" w:cs="Arial"/>
          <w:color w:val="000000"/>
          <w:sz w:val="22"/>
          <w:szCs w:val="22"/>
          <w:lang w:val="fr-FR"/>
        </w:rPr>
        <w:t>Préambule / l</w:t>
      </w:r>
      <w:r w:rsidR="006D7B02" w:rsidRPr="00100D5C">
        <w:rPr>
          <w:rFonts w:ascii="Arial" w:hAnsi="Arial" w:cs="Arial"/>
          <w:color w:val="000000"/>
          <w:sz w:val="22"/>
          <w:szCs w:val="22"/>
          <w:lang w:val="fr-FR"/>
        </w:rPr>
        <w:t>’</w:t>
      </w:r>
      <w:r w:rsidR="008F77D1" w:rsidRPr="00100D5C">
        <w:rPr>
          <w:rFonts w:ascii="Arial" w:hAnsi="Arial" w:cs="Arial"/>
          <w:color w:val="000000"/>
          <w:sz w:val="22"/>
          <w:szCs w:val="22"/>
          <w:lang w:val="fr-FR"/>
        </w:rPr>
        <w:t>Introduction</w:t>
      </w:r>
      <w:r w:rsidR="00100D5C">
        <w:rPr>
          <w:rFonts w:ascii="Arial" w:hAnsi="Arial" w:cs="Arial"/>
          <w:color w:val="000000"/>
          <w:sz w:val="22"/>
          <w:szCs w:val="22"/>
          <w:lang w:val="fr-FR"/>
        </w:rPr>
        <w:t>”</w:t>
      </w:r>
      <w:r w:rsidR="008F77D1" w:rsidRPr="00100D5C">
        <w:rPr>
          <w:rFonts w:ascii="Arial" w:hAnsi="Arial" w:cs="Arial"/>
          <w:color w:val="000000"/>
          <w:sz w:val="22"/>
          <w:szCs w:val="22"/>
          <w:lang w:val="fr-FR"/>
        </w:rPr>
        <w:t xml:space="preserve">, quels </w:t>
      </w:r>
      <w:r w:rsidR="002D1A4B" w:rsidRPr="00100D5C">
        <w:rPr>
          <w:rFonts w:ascii="Arial" w:hAnsi="Arial" w:cs="Arial"/>
          <w:color w:val="000000"/>
          <w:sz w:val="22"/>
          <w:szCs w:val="22"/>
          <w:lang w:val="fr-FR"/>
        </w:rPr>
        <w:t xml:space="preserve">sont </w:t>
      </w:r>
      <w:r w:rsidR="008F77D1" w:rsidRPr="00100D5C">
        <w:rPr>
          <w:rFonts w:ascii="Arial" w:hAnsi="Arial" w:cs="Arial"/>
          <w:color w:val="000000"/>
          <w:sz w:val="22"/>
          <w:szCs w:val="22"/>
          <w:lang w:val="fr-FR"/>
        </w:rPr>
        <w:t>le</w:t>
      </w:r>
      <w:r w:rsidR="00E44584" w:rsidRPr="00100D5C">
        <w:rPr>
          <w:rFonts w:ascii="Arial" w:hAnsi="Arial" w:cs="Arial"/>
          <w:color w:val="000000"/>
          <w:sz w:val="22"/>
          <w:szCs w:val="22"/>
          <w:lang w:val="fr-FR"/>
        </w:rPr>
        <w:t>s</w:t>
      </w:r>
      <w:r w:rsidR="008F77D1" w:rsidRPr="00100D5C">
        <w:rPr>
          <w:rFonts w:ascii="Arial" w:hAnsi="Arial" w:cs="Arial"/>
          <w:color w:val="000000"/>
          <w:sz w:val="22"/>
          <w:szCs w:val="22"/>
          <w:lang w:val="fr-FR"/>
        </w:rPr>
        <w:t xml:space="preserve"> plus directement liés à la propriété intellectuelle, étant donné qu</w:t>
      </w:r>
      <w:r w:rsidR="006D7B02" w:rsidRPr="00100D5C">
        <w:rPr>
          <w:rFonts w:ascii="Arial" w:hAnsi="Arial" w:cs="Arial"/>
          <w:color w:val="000000"/>
          <w:sz w:val="22"/>
          <w:szCs w:val="22"/>
          <w:lang w:val="fr-FR"/>
        </w:rPr>
        <w:t>’</w:t>
      </w:r>
      <w:r w:rsidR="008F77D1" w:rsidRPr="00100D5C">
        <w:rPr>
          <w:rFonts w:ascii="Arial" w:hAnsi="Arial" w:cs="Arial"/>
          <w:color w:val="000000"/>
          <w:sz w:val="22"/>
          <w:szCs w:val="22"/>
          <w:lang w:val="fr-FR"/>
        </w:rPr>
        <w:t xml:space="preserve">il a pour mandat de parvenir à un accord sur un instrument juridique international relatif à la propriété intellectuelle propre à garantir une protection équilibrée et </w:t>
      </w:r>
      <w:r w:rsidR="00ED1E3A" w:rsidRPr="00100D5C">
        <w:rPr>
          <w:rFonts w:ascii="Arial" w:hAnsi="Arial" w:cs="Arial"/>
          <w:color w:val="000000"/>
          <w:sz w:val="22"/>
          <w:szCs w:val="22"/>
          <w:lang w:val="fr-FR"/>
        </w:rPr>
        <w:t>effective</w:t>
      </w:r>
      <w:r w:rsidR="008F77D1" w:rsidRPr="00100D5C">
        <w:rPr>
          <w:rFonts w:ascii="Arial" w:hAnsi="Arial" w:cs="Arial"/>
          <w:color w:val="000000"/>
          <w:sz w:val="22"/>
          <w:szCs w:val="22"/>
          <w:lang w:val="fr-FR"/>
        </w:rPr>
        <w:t xml:space="preserve"> des savoirs traditionnels.</w:t>
      </w:r>
    </w:p>
    <w:p w:rsidR="004F60C4" w:rsidRPr="004F507A" w:rsidRDefault="007C5259" w:rsidP="002B5624">
      <w:pPr>
        <w:tabs>
          <w:tab w:val="left" w:pos="567"/>
        </w:tabs>
        <w:spacing w:after="240"/>
        <w:rPr>
          <w:rFonts w:ascii="Arial" w:hAnsi="Arial" w:cs="Arial"/>
          <w:sz w:val="22"/>
          <w:szCs w:val="22"/>
          <w:lang w:val="fr-FR"/>
        </w:rPr>
      </w:pPr>
      <w:r w:rsidRPr="004F507A">
        <w:rPr>
          <w:rFonts w:ascii="Arial" w:hAnsi="Arial" w:cs="Arial"/>
          <w:sz w:val="22"/>
          <w:szCs w:val="22"/>
          <w:lang w:val="fr-FR"/>
        </w:rPr>
        <w:fldChar w:fldCharType="begin"/>
      </w:r>
      <w:r w:rsidRPr="004F507A">
        <w:rPr>
          <w:rFonts w:ascii="Arial" w:hAnsi="Arial" w:cs="Arial"/>
          <w:sz w:val="22"/>
          <w:szCs w:val="22"/>
          <w:lang w:val="fr-FR"/>
        </w:rPr>
        <w:instrText xml:space="preserve"> AUTONUM  </w:instrText>
      </w:r>
      <w:r w:rsidRPr="004F507A">
        <w:rPr>
          <w:rFonts w:ascii="Arial" w:hAnsi="Arial" w:cs="Arial"/>
          <w:sz w:val="22"/>
          <w:szCs w:val="22"/>
          <w:lang w:val="fr-FR"/>
        </w:rPr>
        <w:fldChar w:fldCharType="end"/>
      </w:r>
      <w:r w:rsidRPr="004F507A">
        <w:rPr>
          <w:rFonts w:ascii="Arial" w:hAnsi="Arial" w:cs="Arial"/>
          <w:sz w:val="22"/>
          <w:szCs w:val="22"/>
          <w:lang w:val="fr-FR"/>
        </w:rPr>
        <w:tab/>
      </w:r>
      <w:r w:rsidR="002D1A4B" w:rsidRPr="004F507A">
        <w:rPr>
          <w:rFonts w:ascii="Arial" w:hAnsi="Arial" w:cs="Arial"/>
          <w:color w:val="000000"/>
          <w:sz w:val="22"/>
          <w:szCs w:val="22"/>
          <w:lang w:val="fr-FR"/>
        </w:rPr>
        <w:t>Le préambule comporte neuf</w:t>
      </w:r>
      <w:r w:rsidR="000E59D1" w:rsidRPr="004F507A">
        <w:rPr>
          <w:rFonts w:ascii="Arial" w:hAnsi="Arial" w:cs="Arial"/>
          <w:color w:val="000000"/>
          <w:sz w:val="22"/>
          <w:szCs w:val="22"/>
          <w:lang w:val="fr-FR"/>
        </w:rPr>
        <w:t> </w:t>
      </w:r>
      <w:r w:rsidR="002D1A4B" w:rsidRPr="004F507A">
        <w:rPr>
          <w:rFonts w:ascii="Arial" w:hAnsi="Arial" w:cs="Arial"/>
          <w:color w:val="000000"/>
          <w:sz w:val="22"/>
          <w:szCs w:val="22"/>
          <w:lang w:val="fr-FR"/>
        </w:rPr>
        <w:t>paragraphes.</w:t>
      </w:r>
      <w:r w:rsidR="00981A32" w:rsidRPr="004F507A">
        <w:rPr>
          <w:rFonts w:ascii="Arial" w:hAnsi="Arial"/>
          <w:color w:val="000000"/>
          <w:sz w:val="22"/>
          <w:lang w:val="fr-FR"/>
        </w:rPr>
        <w:t xml:space="preserve">  </w:t>
      </w:r>
      <w:r w:rsidR="002D1A4B" w:rsidRPr="004F507A">
        <w:rPr>
          <w:rFonts w:ascii="Arial" w:hAnsi="Arial" w:cs="Arial"/>
          <w:color w:val="000000"/>
          <w:sz w:val="22"/>
          <w:szCs w:val="22"/>
          <w:lang w:val="fr-FR"/>
        </w:rPr>
        <w:t>L</w:t>
      </w:r>
      <w:r w:rsidR="006D7B02" w:rsidRPr="004F507A">
        <w:rPr>
          <w:rFonts w:ascii="Arial" w:hAnsi="Arial" w:cs="Arial"/>
          <w:color w:val="000000"/>
          <w:sz w:val="22"/>
          <w:szCs w:val="22"/>
          <w:lang w:val="fr-FR"/>
        </w:rPr>
        <w:t>’</w:t>
      </w:r>
      <w:r w:rsidR="002D1A4B" w:rsidRPr="004F507A">
        <w:rPr>
          <w:rFonts w:ascii="Arial" w:hAnsi="Arial" w:cs="Arial"/>
          <w:color w:val="000000"/>
          <w:sz w:val="22"/>
          <w:szCs w:val="22"/>
          <w:lang w:val="fr-FR"/>
        </w:rPr>
        <w:t>IGC pourrait vérifier leur pertinence et essayer d</w:t>
      </w:r>
      <w:r w:rsidR="006D7B02" w:rsidRPr="004F507A">
        <w:rPr>
          <w:rFonts w:ascii="Arial" w:hAnsi="Arial" w:cs="Arial"/>
          <w:color w:val="000000"/>
          <w:sz w:val="22"/>
          <w:szCs w:val="22"/>
          <w:lang w:val="fr-FR"/>
        </w:rPr>
        <w:t>’</w:t>
      </w:r>
      <w:r w:rsidR="002D1A4B" w:rsidRPr="004F507A">
        <w:rPr>
          <w:rFonts w:ascii="Arial" w:hAnsi="Arial" w:cs="Arial"/>
          <w:color w:val="000000"/>
          <w:sz w:val="22"/>
          <w:szCs w:val="22"/>
          <w:lang w:val="fr-FR"/>
        </w:rPr>
        <w:t>éviter les répétitions.</w:t>
      </w:r>
    </w:p>
    <w:p w:rsidR="004F60C4" w:rsidRPr="004F507A" w:rsidRDefault="002D1A4B" w:rsidP="002B5624">
      <w:pPr>
        <w:tabs>
          <w:tab w:val="left" w:pos="567"/>
        </w:tabs>
        <w:spacing w:after="240"/>
        <w:rPr>
          <w:rFonts w:ascii="Arial" w:hAnsi="Arial" w:cs="Arial"/>
          <w:i/>
          <w:sz w:val="22"/>
          <w:szCs w:val="22"/>
          <w:lang w:val="fr-FR"/>
        </w:rPr>
      </w:pPr>
      <w:r w:rsidRPr="004F507A">
        <w:rPr>
          <w:rFonts w:ascii="Arial" w:hAnsi="Arial" w:cs="Arial"/>
          <w:i/>
          <w:color w:val="000000"/>
          <w:sz w:val="22"/>
          <w:szCs w:val="22"/>
          <w:lang w:val="fr-FR"/>
        </w:rPr>
        <w:t>Utilisation des termes</w:t>
      </w:r>
    </w:p>
    <w:p w:rsidR="004F60C4" w:rsidRPr="004F507A" w:rsidRDefault="007C5259" w:rsidP="002B5624">
      <w:pPr>
        <w:tabs>
          <w:tab w:val="left" w:pos="567"/>
        </w:tabs>
        <w:spacing w:after="240"/>
        <w:rPr>
          <w:rFonts w:ascii="Arial" w:hAnsi="Arial" w:cs="Arial"/>
          <w:sz w:val="22"/>
          <w:szCs w:val="22"/>
          <w:lang w:val="fr-FR"/>
        </w:rPr>
      </w:pPr>
      <w:r w:rsidRPr="004F507A">
        <w:rPr>
          <w:rFonts w:ascii="Arial" w:hAnsi="Arial" w:cs="Arial"/>
          <w:sz w:val="22"/>
          <w:szCs w:val="22"/>
          <w:lang w:val="fr-FR"/>
        </w:rPr>
        <w:fldChar w:fldCharType="begin"/>
      </w:r>
      <w:r w:rsidRPr="004F507A">
        <w:rPr>
          <w:rFonts w:ascii="Arial" w:hAnsi="Arial" w:cs="Arial"/>
          <w:sz w:val="22"/>
          <w:szCs w:val="22"/>
          <w:lang w:val="fr-FR"/>
        </w:rPr>
        <w:instrText xml:space="preserve"> AUTONUM  </w:instrText>
      </w:r>
      <w:r w:rsidRPr="004F507A">
        <w:rPr>
          <w:rFonts w:ascii="Arial" w:hAnsi="Arial" w:cs="Arial"/>
          <w:sz w:val="22"/>
          <w:szCs w:val="22"/>
          <w:lang w:val="fr-FR"/>
        </w:rPr>
        <w:fldChar w:fldCharType="end"/>
      </w:r>
      <w:r w:rsidRPr="004F507A">
        <w:rPr>
          <w:rFonts w:ascii="Arial" w:hAnsi="Arial" w:cs="Arial"/>
          <w:sz w:val="22"/>
          <w:szCs w:val="22"/>
          <w:lang w:val="fr-FR"/>
        </w:rPr>
        <w:tab/>
      </w:r>
      <w:r w:rsidR="002D1A4B" w:rsidRPr="004F507A">
        <w:rPr>
          <w:rFonts w:ascii="Arial" w:hAnsi="Arial" w:cs="Arial"/>
          <w:color w:val="000000"/>
          <w:sz w:val="22"/>
          <w:szCs w:val="22"/>
          <w:lang w:val="fr-FR"/>
        </w:rPr>
        <w:t>Il convient de revoir les définitions qui figurent dans cette section.</w:t>
      </w:r>
      <w:r w:rsidR="002365A6" w:rsidRPr="004F507A">
        <w:rPr>
          <w:rFonts w:ascii="Arial" w:hAnsi="Arial"/>
          <w:color w:val="000000"/>
          <w:sz w:val="22"/>
          <w:lang w:val="fr-FR"/>
        </w:rPr>
        <w:t xml:space="preserve"> </w:t>
      </w:r>
      <w:r w:rsidR="005A7704" w:rsidRPr="004F507A">
        <w:rPr>
          <w:rFonts w:ascii="Arial" w:hAnsi="Arial"/>
          <w:color w:val="000000"/>
          <w:sz w:val="22"/>
          <w:lang w:val="fr-FR"/>
        </w:rPr>
        <w:t xml:space="preserve"> </w:t>
      </w:r>
      <w:r w:rsidR="002D1A4B" w:rsidRPr="004F507A">
        <w:rPr>
          <w:rFonts w:ascii="Arial" w:hAnsi="Arial" w:cs="Arial"/>
          <w:color w:val="000000"/>
          <w:sz w:val="22"/>
          <w:szCs w:val="22"/>
          <w:lang w:val="fr-FR"/>
        </w:rPr>
        <w:t>L</w:t>
      </w:r>
      <w:r w:rsidR="006D7B02" w:rsidRPr="004F507A">
        <w:rPr>
          <w:rFonts w:ascii="Arial" w:hAnsi="Arial" w:cs="Arial"/>
          <w:color w:val="000000"/>
          <w:sz w:val="22"/>
          <w:szCs w:val="22"/>
          <w:lang w:val="fr-FR"/>
        </w:rPr>
        <w:t>’</w:t>
      </w:r>
      <w:r w:rsidR="002D1A4B" w:rsidRPr="004F507A">
        <w:rPr>
          <w:rFonts w:ascii="Arial" w:hAnsi="Arial" w:cs="Arial"/>
          <w:color w:val="000000"/>
          <w:sz w:val="22"/>
          <w:szCs w:val="22"/>
          <w:lang w:val="fr-FR"/>
        </w:rPr>
        <w:t>IGC pourrait, selon moi, facilement traiter les termes suivants</w:t>
      </w:r>
      <w:r w:rsidR="000E59D1" w:rsidRPr="004F507A">
        <w:rPr>
          <w:rFonts w:ascii="Arial" w:hAnsi="Arial" w:cs="Arial"/>
          <w:color w:val="000000"/>
          <w:sz w:val="22"/>
          <w:szCs w:val="22"/>
          <w:lang w:val="fr-FR"/>
        </w:rPr>
        <w:t> </w:t>
      </w:r>
      <w:r w:rsidR="002D1A4B" w:rsidRPr="004F507A">
        <w:rPr>
          <w:rFonts w:ascii="Arial" w:hAnsi="Arial" w:cs="Arial"/>
          <w:color w:val="000000"/>
          <w:sz w:val="22"/>
          <w:szCs w:val="22"/>
          <w:lang w:val="fr-FR"/>
        </w:rPr>
        <w:t>: savoirs traditionnels et usage / utilisation.</w:t>
      </w:r>
    </w:p>
    <w:p w:rsidR="004F60C4" w:rsidRPr="004F507A" w:rsidRDefault="007C5259" w:rsidP="002B5624">
      <w:pPr>
        <w:tabs>
          <w:tab w:val="left" w:pos="567"/>
        </w:tabs>
        <w:spacing w:after="240"/>
        <w:rPr>
          <w:rFonts w:ascii="Arial" w:hAnsi="Arial" w:cs="Arial"/>
          <w:sz w:val="22"/>
          <w:szCs w:val="22"/>
          <w:lang w:val="fr-FR"/>
        </w:rPr>
      </w:pPr>
      <w:r w:rsidRPr="004F507A">
        <w:rPr>
          <w:rFonts w:ascii="Arial" w:hAnsi="Arial" w:cs="Arial"/>
          <w:sz w:val="22"/>
          <w:szCs w:val="22"/>
          <w:lang w:val="fr-FR"/>
        </w:rPr>
        <w:fldChar w:fldCharType="begin"/>
      </w:r>
      <w:r w:rsidRPr="004F507A">
        <w:rPr>
          <w:rFonts w:ascii="Arial" w:hAnsi="Arial" w:cs="Arial"/>
          <w:sz w:val="22"/>
          <w:szCs w:val="22"/>
          <w:lang w:val="fr-FR"/>
        </w:rPr>
        <w:instrText xml:space="preserve"> AUTONUM  </w:instrText>
      </w:r>
      <w:r w:rsidRPr="004F507A">
        <w:rPr>
          <w:rFonts w:ascii="Arial" w:hAnsi="Arial" w:cs="Arial"/>
          <w:sz w:val="22"/>
          <w:szCs w:val="22"/>
          <w:lang w:val="fr-FR"/>
        </w:rPr>
        <w:fldChar w:fldCharType="end"/>
      </w:r>
      <w:r w:rsidRPr="004F507A">
        <w:rPr>
          <w:rFonts w:ascii="Arial" w:hAnsi="Arial" w:cs="Arial"/>
          <w:sz w:val="22"/>
          <w:szCs w:val="22"/>
          <w:lang w:val="fr-FR"/>
        </w:rPr>
        <w:tab/>
      </w:r>
      <w:r w:rsidR="00D628E3" w:rsidRPr="004F507A">
        <w:rPr>
          <w:rFonts w:ascii="Arial" w:hAnsi="Arial" w:cs="Arial"/>
          <w:color w:val="000000"/>
          <w:sz w:val="22"/>
          <w:szCs w:val="22"/>
          <w:lang w:val="fr-FR"/>
        </w:rPr>
        <w:t>Je ferais remarquer, e</w:t>
      </w:r>
      <w:r w:rsidR="007B45B3" w:rsidRPr="004F507A">
        <w:rPr>
          <w:rFonts w:ascii="Arial" w:hAnsi="Arial" w:cs="Arial"/>
          <w:color w:val="000000"/>
          <w:sz w:val="22"/>
          <w:szCs w:val="22"/>
          <w:lang w:val="fr-FR"/>
        </w:rPr>
        <w:t>n particulier, que le document W</w:t>
      </w:r>
      <w:r w:rsidR="00D628E3" w:rsidRPr="004F507A">
        <w:rPr>
          <w:rFonts w:ascii="Arial" w:hAnsi="Arial" w:cs="Arial"/>
          <w:color w:val="000000"/>
          <w:sz w:val="22"/>
          <w:szCs w:val="22"/>
          <w:lang w:val="fr-FR"/>
        </w:rPr>
        <w:t>IPO/GRTKF/IC/31/4 comporte, dans cette section, une définition des savoirs traditionnels, et que l</w:t>
      </w:r>
      <w:r w:rsidR="006D7B02" w:rsidRPr="004F507A">
        <w:rPr>
          <w:rFonts w:ascii="Arial" w:hAnsi="Arial" w:cs="Arial"/>
          <w:color w:val="000000"/>
          <w:sz w:val="22"/>
          <w:szCs w:val="22"/>
          <w:lang w:val="fr-FR"/>
        </w:rPr>
        <w:t>’</w:t>
      </w:r>
      <w:r w:rsidR="00D628E3" w:rsidRPr="004F507A">
        <w:rPr>
          <w:rFonts w:ascii="Arial" w:hAnsi="Arial" w:cs="Arial"/>
          <w:color w:val="000000"/>
          <w:sz w:val="22"/>
          <w:szCs w:val="22"/>
          <w:lang w:val="fr-FR"/>
        </w:rPr>
        <w:t>on trouve d</w:t>
      </w:r>
      <w:r w:rsidR="006D7B02" w:rsidRPr="004F507A">
        <w:rPr>
          <w:rFonts w:ascii="Arial" w:hAnsi="Arial" w:cs="Arial"/>
          <w:color w:val="000000"/>
          <w:sz w:val="22"/>
          <w:szCs w:val="22"/>
          <w:lang w:val="fr-FR"/>
        </w:rPr>
        <w:t>’</w:t>
      </w:r>
      <w:r w:rsidR="00D628E3" w:rsidRPr="004F507A">
        <w:rPr>
          <w:rFonts w:ascii="Arial" w:hAnsi="Arial" w:cs="Arial"/>
          <w:color w:val="000000"/>
          <w:sz w:val="22"/>
          <w:szCs w:val="22"/>
          <w:lang w:val="fr-FR"/>
        </w:rPr>
        <w:t>autres éléments liés à cette définition à l</w:t>
      </w:r>
      <w:r w:rsidR="006D7B02" w:rsidRPr="004F507A">
        <w:rPr>
          <w:rFonts w:ascii="Arial" w:hAnsi="Arial" w:cs="Arial"/>
          <w:color w:val="000000"/>
          <w:sz w:val="22"/>
          <w:szCs w:val="22"/>
          <w:lang w:val="fr-FR"/>
        </w:rPr>
        <w:t>’</w:t>
      </w:r>
      <w:r w:rsidR="00D628E3" w:rsidRPr="004F507A">
        <w:rPr>
          <w:rFonts w:ascii="Arial" w:hAnsi="Arial" w:cs="Arial"/>
          <w:color w:val="000000"/>
          <w:sz w:val="22"/>
          <w:szCs w:val="22"/>
          <w:lang w:val="fr-FR"/>
        </w:rPr>
        <w:t>article</w:t>
      </w:r>
      <w:r w:rsidR="000E59D1" w:rsidRPr="004F507A">
        <w:rPr>
          <w:rFonts w:ascii="Arial" w:hAnsi="Arial" w:cs="Arial"/>
          <w:color w:val="000000"/>
          <w:sz w:val="22"/>
          <w:szCs w:val="22"/>
          <w:lang w:val="fr-FR"/>
        </w:rPr>
        <w:t> </w:t>
      </w:r>
      <w:r w:rsidR="00D628E3" w:rsidRPr="004F507A">
        <w:rPr>
          <w:rFonts w:ascii="Arial" w:hAnsi="Arial" w:cs="Arial"/>
          <w:color w:val="000000"/>
          <w:sz w:val="22"/>
          <w:szCs w:val="22"/>
          <w:lang w:val="fr-FR"/>
        </w:rPr>
        <w:t>1.</w:t>
      </w:r>
    </w:p>
    <w:p w:rsidR="004F60C4" w:rsidRPr="004F507A" w:rsidRDefault="007C5259" w:rsidP="002B5624">
      <w:pPr>
        <w:tabs>
          <w:tab w:val="left" w:pos="567"/>
        </w:tabs>
        <w:spacing w:after="240"/>
        <w:rPr>
          <w:rFonts w:ascii="Arial" w:hAnsi="Arial" w:cs="Arial"/>
          <w:sz w:val="22"/>
          <w:szCs w:val="22"/>
          <w:lang w:val="fr-FR"/>
        </w:rPr>
      </w:pPr>
      <w:r w:rsidRPr="004F507A">
        <w:rPr>
          <w:rFonts w:ascii="Arial" w:hAnsi="Arial" w:cs="Arial"/>
          <w:sz w:val="22"/>
          <w:szCs w:val="22"/>
          <w:lang w:val="fr-FR"/>
        </w:rPr>
        <w:fldChar w:fldCharType="begin"/>
      </w:r>
      <w:r w:rsidRPr="004F507A">
        <w:rPr>
          <w:rFonts w:ascii="Arial" w:hAnsi="Arial" w:cs="Arial"/>
          <w:sz w:val="22"/>
          <w:szCs w:val="22"/>
          <w:lang w:val="fr-FR"/>
        </w:rPr>
        <w:instrText xml:space="preserve"> AUTONUM  </w:instrText>
      </w:r>
      <w:r w:rsidRPr="004F507A">
        <w:rPr>
          <w:rFonts w:ascii="Arial" w:hAnsi="Arial" w:cs="Arial"/>
          <w:sz w:val="22"/>
          <w:szCs w:val="22"/>
          <w:lang w:val="fr-FR"/>
        </w:rPr>
        <w:fldChar w:fldCharType="end"/>
      </w:r>
      <w:r w:rsidRPr="004F507A">
        <w:rPr>
          <w:rFonts w:ascii="Arial" w:hAnsi="Arial" w:cs="Arial"/>
          <w:sz w:val="22"/>
          <w:szCs w:val="22"/>
          <w:lang w:val="fr-FR"/>
        </w:rPr>
        <w:tab/>
      </w:r>
      <w:r w:rsidR="00D628E3" w:rsidRPr="004F507A">
        <w:rPr>
          <w:rFonts w:ascii="Arial" w:hAnsi="Arial" w:cs="Arial"/>
          <w:color w:val="000000"/>
          <w:sz w:val="22"/>
          <w:szCs w:val="22"/>
          <w:lang w:val="fr-FR"/>
        </w:rPr>
        <w:t>Concernant l</w:t>
      </w:r>
      <w:r w:rsidR="006D7B02" w:rsidRPr="004F507A">
        <w:rPr>
          <w:rFonts w:ascii="Arial" w:hAnsi="Arial" w:cs="Arial"/>
          <w:color w:val="000000"/>
          <w:sz w:val="22"/>
          <w:szCs w:val="22"/>
          <w:lang w:val="fr-FR"/>
        </w:rPr>
        <w:t>’</w:t>
      </w:r>
      <w:r w:rsidR="00D628E3" w:rsidRPr="004F507A">
        <w:rPr>
          <w:rFonts w:ascii="Arial" w:hAnsi="Arial" w:cs="Arial"/>
          <w:color w:val="000000"/>
          <w:sz w:val="22"/>
          <w:szCs w:val="22"/>
          <w:lang w:val="fr-FR"/>
        </w:rPr>
        <w:t>usage/utilisation, comme une délégation l</w:t>
      </w:r>
      <w:r w:rsidR="006D7B02" w:rsidRPr="004F507A">
        <w:rPr>
          <w:rFonts w:ascii="Arial" w:hAnsi="Arial" w:cs="Arial"/>
          <w:color w:val="000000"/>
          <w:sz w:val="22"/>
          <w:szCs w:val="22"/>
          <w:lang w:val="fr-FR"/>
        </w:rPr>
        <w:t>’</w:t>
      </w:r>
      <w:r w:rsidR="00D628E3" w:rsidRPr="004F507A">
        <w:rPr>
          <w:rFonts w:ascii="Arial" w:hAnsi="Arial" w:cs="Arial"/>
          <w:color w:val="000000"/>
          <w:sz w:val="22"/>
          <w:szCs w:val="22"/>
          <w:lang w:val="fr-FR"/>
        </w:rPr>
        <w:t>a signalé lors de la vingt</w:t>
      </w:r>
      <w:r w:rsidR="00525EB9">
        <w:rPr>
          <w:rFonts w:ascii="Arial" w:hAnsi="Arial" w:cs="Arial"/>
          <w:color w:val="000000"/>
          <w:sz w:val="22"/>
          <w:szCs w:val="22"/>
          <w:lang w:val="fr-FR"/>
        </w:rPr>
        <w:noBreakHyphen/>
      </w:r>
      <w:r w:rsidR="00D628E3" w:rsidRPr="004F507A">
        <w:rPr>
          <w:rFonts w:ascii="Arial" w:hAnsi="Arial" w:cs="Arial"/>
          <w:color w:val="000000"/>
          <w:sz w:val="22"/>
          <w:szCs w:val="22"/>
          <w:lang w:val="fr-FR"/>
        </w:rPr>
        <w:t>septième</w:t>
      </w:r>
      <w:r w:rsidR="000E59D1" w:rsidRPr="004F507A">
        <w:rPr>
          <w:rFonts w:ascii="Arial" w:hAnsi="Arial" w:cs="Arial"/>
          <w:color w:val="000000"/>
          <w:sz w:val="22"/>
          <w:szCs w:val="22"/>
          <w:lang w:val="fr-FR"/>
        </w:rPr>
        <w:t> </w:t>
      </w:r>
      <w:r w:rsidR="00D628E3" w:rsidRPr="004F507A">
        <w:rPr>
          <w:rFonts w:ascii="Arial" w:hAnsi="Arial" w:cs="Arial"/>
          <w:color w:val="000000"/>
          <w:sz w:val="22"/>
          <w:szCs w:val="22"/>
          <w:lang w:val="fr-FR"/>
        </w:rPr>
        <w:t>session de l</w:t>
      </w:r>
      <w:r w:rsidR="006D7B02" w:rsidRPr="004F507A">
        <w:rPr>
          <w:rFonts w:ascii="Arial" w:hAnsi="Arial" w:cs="Arial"/>
          <w:color w:val="000000"/>
          <w:sz w:val="22"/>
          <w:szCs w:val="22"/>
          <w:lang w:val="fr-FR"/>
        </w:rPr>
        <w:t>’</w:t>
      </w:r>
      <w:r w:rsidR="00D628E3" w:rsidRPr="004F507A">
        <w:rPr>
          <w:rFonts w:ascii="Arial" w:hAnsi="Arial" w:cs="Arial"/>
          <w:color w:val="000000"/>
          <w:sz w:val="22"/>
          <w:szCs w:val="22"/>
          <w:lang w:val="fr-FR"/>
        </w:rPr>
        <w:t>IGC, la définition figurant dans cette section correspond à l</w:t>
      </w:r>
      <w:r w:rsidR="006D7B02" w:rsidRPr="004F507A">
        <w:rPr>
          <w:rFonts w:ascii="Arial" w:hAnsi="Arial" w:cs="Arial"/>
          <w:color w:val="000000"/>
          <w:sz w:val="22"/>
          <w:szCs w:val="22"/>
          <w:lang w:val="fr-FR"/>
        </w:rPr>
        <w:t>’</w:t>
      </w:r>
      <w:r w:rsidR="00D628E3" w:rsidRPr="004F507A">
        <w:rPr>
          <w:rFonts w:ascii="Arial" w:hAnsi="Arial" w:cs="Arial"/>
          <w:color w:val="000000"/>
          <w:sz w:val="22"/>
          <w:szCs w:val="22"/>
          <w:lang w:val="fr-FR"/>
        </w:rPr>
        <w:t xml:space="preserve">utilisation en dehors du contexte traditionnel, alors que le terme </w:t>
      </w:r>
      <w:r w:rsidR="006D7B02" w:rsidRPr="004F507A">
        <w:rPr>
          <w:rFonts w:ascii="Arial" w:hAnsi="Arial" w:cs="Arial"/>
          <w:color w:val="000000"/>
          <w:sz w:val="22"/>
          <w:szCs w:val="22"/>
          <w:lang w:val="fr-FR"/>
        </w:rPr>
        <w:t>“</w:t>
      </w:r>
      <w:r w:rsidR="00D628E3" w:rsidRPr="004F507A">
        <w:rPr>
          <w:rFonts w:ascii="Arial" w:hAnsi="Arial" w:cs="Arial"/>
          <w:color w:val="000000"/>
          <w:sz w:val="22"/>
          <w:szCs w:val="22"/>
          <w:lang w:val="fr-FR"/>
        </w:rPr>
        <w:t>utilisation</w:t>
      </w:r>
      <w:r w:rsidR="006D7B02" w:rsidRPr="004F507A">
        <w:rPr>
          <w:rFonts w:ascii="Arial" w:hAnsi="Arial" w:cs="Arial"/>
          <w:color w:val="000000"/>
          <w:sz w:val="22"/>
          <w:szCs w:val="22"/>
          <w:lang w:val="fr-FR"/>
        </w:rPr>
        <w:t>”</w:t>
      </w:r>
      <w:r w:rsidR="00D628E3" w:rsidRPr="004F507A">
        <w:rPr>
          <w:rFonts w:ascii="Arial" w:hAnsi="Arial" w:cs="Arial"/>
          <w:color w:val="000000"/>
          <w:sz w:val="22"/>
          <w:szCs w:val="22"/>
          <w:lang w:val="fr-FR"/>
        </w:rPr>
        <w:t xml:space="preserve"> tel qu</w:t>
      </w:r>
      <w:r w:rsidR="006D7B02" w:rsidRPr="004F507A">
        <w:rPr>
          <w:rFonts w:ascii="Arial" w:hAnsi="Arial" w:cs="Arial"/>
          <w:color w:val="000000"/>
          <w:sz w:val="22"/>
          <w:szCs w:val="22"/>
          <w:lang w:val="fr-FR"/>
        </w:rPr>
        <w:t>’</w:t>
      </w:r>
      <w:r w:rsidR="00D628E3" w:rsidRPr="004F507A">
        <w:rPr>
          <w:rFonts w:ascii="Arial" w:hAnsi="Arial" w:cs="Arial"/>
          <w:color w:val="000000"/>
          <w:sz w:val="22"/>
          <w:szCs w:val="22"/>
          <w:lang w:val="fr-FR"/>
        </w:rPr>
        <w:t>il est employé à l</w:t>
      </w:r>
      <w:r w:rsidR="006D7B02" w:rsidRPr="004F507A">
        <w:rPr>
          <w:rFonts w:ascii="Arial" w:hAnsi="Arial" w:cs="Arial"/>
          <w:color w:val="000000"/>
          <w:sz w:val="22"/>
          <w:szCs w:val="22"/>
          <w:lang w:val="fr-FR"/>
        </w:rPr>
        <w:t>’</w:t>
      </w:r>
      <w:r w:rsidR="00D628E3" w:rsidRPr="004F507A">
        <w:rPr>
          <w:rFonts w:ascii="Arial" w:hAnsi="Arial" w:cs="Arial"/>
          <w:color w:val="000000"/>
          <w:sz w:val="22"/>
          <w:szCs w:val="22"/>
          <w:lang w:val="fr-FR"/>
        </w:rPr>
        <w:t>alinéa 2.1 renvoie à l</w:t>
      </w:r>
      <w:r w:rsidR="006D7B02" w:rsidRPr="004F507A">
        <w:rPr>
          <w:rFonts w:ascii="Arial" w:hAnsi="Arial" w:cs="Arial"/>
          <w:color w:val="000000"/>
          <w:sz w:val="22"/>
          <w:szCs w:val="22"/>
          <w:lang w:val="fr-FR"/>
        </w:rPr>
        <w:t>’</w:t>
      </w:r>
      <w:r w:rsidR="00D628E3" w:rsidRPr="004F507A">
        <w:rPr>
          <w:rFonts w:ascii="Arial" w:hAnsi="Arial" w:cs="Arial"/>
          <w:color w:val="000000"/>
          <w:sz w:val="22"/>
          <w:szCs w:val="22"/>
          <w:lang w:val="fr-FR"/>
        </w:rPr>
        <w:t>utilisation par les bénéficiair</w:t>
      </w:r>
      <w:r w:rsidR="004F507A" w:rsidRPr="004F507A">
        <w:rPr>
          <w:rFonts w:ascii="Arial" w:hAnsi="Arial" w:cs="Arial"/>
          <w:color w:val="000000"/>
          <w:sz w:val="22"/>
          <w:szCs w:val="22"/>
          <w:lang w:val="fr-FR"/>
        </w:rPr>
        <w:t>es.  L’e</w:t>
      </w:r>
      <w:r w:rsidR="00ED1E3A" w:rsidRPr="004F507A">
        <w:rPr>
          <w:rFonts w:ascii="Arial" w:hAnsi="Arial" w:cs="Arial"/>
          <w:color w:val="000000"/>
          <w:sz w:val="22"/>
          <w:szCs w:val="22"/>
          <w:lang w:val="fr-FR"/>
        </w:rPr>
        <w:t>mploi</w:t>
      </w:r>
      <w:r w:rsidR="00D628E3" w:rsidRPr="004F507A">
        <w:rPr>
          <w:rFonts w:ascii="Arial" w:hAnsi="Arial" w:cs="Arial"/>
          <w:color w:val="000000"/>
          <w:sz w:val="22"/>
          <w:szCs w:val="22"/>
          <w:lang w:val="fr-FR"/>
        </w:rPr>
        <w:t xml:space="preserve"> d</w:t>
      </w:r>
      <w:r w:rsidR="006D7B02" w:rsidRPr="004F507A">
        <w:rPr>
          <w:rFonts w:ascii="Arial" w:hAnsi="Arial" w:cs="Arial"/>
          <w:color w:val="000000"/>
          <w:sz w:val="22"/>
          <w:szCs w:val="22"/>
          <w:lang w:val="fr-FR"/>
        </w:rPr>
        <w:t>’</w:t>
      </w:r>
      <w:r w:rsidR="00D628E3" w:rsidRPr="004F507A">
        <w:rPr>
          <w:rFonts w:ascii="Arial" w:hAnsi="Arial" w:cs="Arial"/>
          <w:color w:val="000000"/>
          <w:sz w:val="22"/>
          <w:szCs w:val="22"/>
          <w:lang w:val="fr-FR"/>
        </w:rPr>
        <w:t>un même terme avec des sens différents dans des occurrences distinctes pourrait créer une confusion.</w:t>
      </w:r>
      <w:r w:rsidR="00FC6C33" w:rsidRPr="004F507A">
        <w:rPr>
          <w:rFonts w:ascii="Arial" w:hAnsi="Arial"/>
          <w:color w:val="000000"/>
          <w:sz w:val="22"/>
          <w:lang w:val="fr-FR"/>
        </w:rPr>
        <w:t xml:space="preserve">  </w:t>
      </w:r>
      <w:r w:rsidR="00D628E3" w:rsidRPr="004F507A">
        <w:rPr>
          <w:rFonts w:ascii="Arial" w:hAnsi="Arial" w:cs="Arial"/>
          <w:sz w:val="22"/>
          <w:szCs w:val="22"/>
          <w:lang w:val="fr-FR"/>
        </w:rPr>
        <w:t>L</w:t>
      </w:r>
      <w:r w:rsidR="006D7B02" w:rsidRPr="004F507A">
        <w:rPr>
          <w:rFonts w:ascii="Arial" w:hAnsi="Arial" w:cs="Arial"/>
          <w:sz w:val="22"/>
          <w:szCs w:val="22"/>
          <w:lang w:val="fr-FR"/>
        </w:rPr>
        <w:t>’</w:t>
      </w:r>
      <w:r w:rsidR="00D628E3" w:rsidRPr="004F507A">
        <w:rPr>
          <w:rFonts w:ascii="Arial" w:hAnsi="Arial" w:cs="Arial"/>
          <w:sz w:val="22"/>
          <w:szCs w:val="22"/>
          <w:lang w:val="fr-FR"/>
        </w:rPr>
        <w:t>IGC pourrait rechercher un moyen d</w:t>
      </w:r>
      <w:r w:rsidR="006D7B02" w:rsidRPr="004F507A">
        <w:rPr>
          <w:rFonts w:ascii="Arial" w:hAnsi="Arial" w:cs="Arial"/>
          <w:sz w:val="22"/>
          <w:szCs w:val="22"/>
          <w:lang w:val="fr-FR"/>
        </w:rPr>
        <w:t>’</w:t>
      </w:r>
      <w:r w:rsidR="00D628E3" w:rsidRPr="004F507A">
        <w:rPr>
          <w:rFonts w:ascii="Arial" w:hAnsi="Arial" w:cs="Arial"/>
          <w:sz w:val="22"/>
          <w:szCs w:val="22"/>
          <w:lang w:val="fr-FR"/>
        </w:rPr>
        <w:t xml:space="preserve">éviter </w:t>
      </w:r>
      <w:r w:rsidR="00ED1E3A" w:rsidRPr="004F507A">
        <w:rPr>
          <w:rFonts w:ascii="Arial" w:hAnsi="Arial" w:cs="Arial"/>
          <w:sz w:val="22"/>
          <w:szCs w:val="22"/>
          <w:lang w:val="fr-FR"/>
        </w:rPr>
        <w:t>ce problème</w:t>
      </w:r>
      <w:r w:rsidR="00FC6C33" w:rsidRPr="004F507A">
        <w:rPr>
          <w:rFonts w:ascii="Arial" w:hAnsi="Arial" w:cs="Arial"/>
          <w:sz w:val="22"/>
          <w:szCs w:val="22"/>
          <w:lang w:val="fr-FR"/>
        </w:rPr>
        <w:t>.</w:t>
      </w:r>
    </w:p>
    <w:p w:rsidR="004F60C4" w:rsidRPr="004F507A" w:rsidRDefault="00107959" w:rsidP="002B5624">
      <w:pPr>
        <w:tabs>
          <w:tab w:val="left" w:pos="567"/>
        </w:tabs>
        <w:spacing w:after="240"/>
        <w:rPr>
          <w:rFonts w:ascii="Arial" w:hAnsi="Arial" w:cs="Arial"/>
          <w:i/>
          <w:sz w:val="22"/>
          <w:szCs w:val="22"/>
          <w:lang w:val="fr-FR"/>
        </w:rPr>
      </w:pPr>
      <w:r w:rsidRPr="004F507A">
        <w:rPr>
          <w:rFonts w:ascii="Arial" w:hAnsi="Arial" w:cs="Arial"/>
          <w:i/>
          <w:sz w:val="22"/>
          <w:szCs w:val="22"/>
          <w:lang w:val="fr-FR"/>
        </w:rPr>
        <w:t>Mesures complémentaires et exigence de divulgation</w:t>
      </w:r>
    </w:p>
    <w:p w:rsidR="004F60C4" w:rsidRPr="004F507A" w:rsidRDefault="00F20BD9" w:rsidP="002B5624">
      <w:pPr>
        <w:tabs>
          <w:tab w:val="left" w:pos="567"/>
        </w:tabs>
        <w:spacing w:after="240"/>
        <w:rPr>
          <w:rFonts w:ascii="Arial" w:hAnsi="Arial" w:cs="Arial"/>
          <w:sz w:val="22"/>
          <w:szCs w:val="22"/>
          <w:lang w:val="fr-FR"/>
        </w:rPr>
      </w:pPr>
      <w:r w:rsidRPr="004F507A">
        <w:rPr>
          <w:rFonts w:ascii="Arial" w:hAnsi="Arial" w:cs="Arial"/>
          <w:sz w:val="22"/>
          <w:szCs w:val="22"/>
          <w:lang w:val="fr-FR"/>
        </w:rPr>
        <w:fldChar w:fldCharType="begin"/>
      </w:r>
      <w:r w:rsidRPr="004F507A">
        <w:rPr>
          <w:rFonts w:ascii="Arial" w:hAnsi="Arial" w:cs="Arial"/>
          <w:sz w:val="22"/>
          <w:szCs w:val="22"/>
          <w:lang w:val="fr-FR"/>
        </w:rPr>
        <w:instrText xml:space="preserve"> AUTONUM  </w:instrText>
      </w:r>
      <w:r w:rsidRPr="004F507A">
        <w:rPr>
          <w:rFonts w:ascii="Arial" w:hAnsi="Arial" w:cs="Arial"/>
          <w:sz w:val="22"/>
          <w:szCs w:val="22"/>
          <w:lang w:val="fr-FR"/>
        </w:rPr>
        <w:fldChar w:fldCharType="end"/>
      </w:r>
      <w:r w:rsidRPr="004F507A">
        <w:rPr>
          <w:rFonts w:ascii="Arial" w:hAnsi="Arial" w:cs="Arial"/>
          <w:sz w:val="22"/>
          <w:szCs w:val="22"/>
          <w:lang w:val="fr-FR"/>
        </w:rPr>
        <w:tab/>
      </w:r>
      <w:r w:rsidR="00840D25" w:rsidRPr="004F507A">
        <w:rPr>
          <w:rFonts w:ascii="Arial" w:hAnsi="Arial" w:cs="Arial"/>
          <w:color w:val="000000"/>
          <w:sz w:val="22"/>
          <w:szCs w:val="22"/>
          <w:lang w:val="fr-FR"/>
        </w:rPr>
        <w:t>Les textes relatifs aux savoirs traditionnels et aux ressources génétiques traitent de la possibilité de créer des bases de donn</w:t>
      </w:r>
      <w:r w:rsidR="004F507A">
        <w:rPr>
          <w:rFonts w:ascii="Arial" w:hAnsi="Arial" w:cs="Arial"/>
          <w:color w:val="000000"/>
          <w:sz w:val="22"/>
          <w:szCs w:val="22"/>
          <w:lang w:val="fr-FR"/>
        </w:rPr>
        <w:t>ées</w:t>
      </w:r>
      <w:r w:rsidR="00840D25" w:rsidRPr="004F507A">
        <w:rPr>
          <w:rFonts w:ascii="Arial" w:hAnsi="Arial" w:cs="Arial"/>
          <w:color w:val="000000"/>
          <w:sz w:val="22"/>
          <w:szCs w:val="22"/>
          <w:lang w:val="fr-FR"/>
        </w:rPr>
        <w:t xml:space="preserve"> et d</w:t>
      </w:r>
      <w:r w:rsidR="006D7B02" w:rsidRPr="004F507A">
        <w:rPr>
          <w:rFonts w:ascii="Arial" w:hAnsi="Arial" w:cs="Arial"/>
          <w:color w:val="000000"/>
          <w:sz w:val="22"/>
          <w:szCs w:val="22"/>
          <w:lang w:val="fr-FR"/>
        </w:rPr>
        <w:t>’</w:t>
      </w:r>
      <w:r w:rsidR="00840D25" w:rsidRPr="004F507A">
        <w:rPr>
          <w:rFonts w:ascii="Arial" w:hAnsi="Arial" w:cs="Arial"/>
          <w:color w:val="000000"/>
          <w:sz w:val="22"/>
          <w:szCs w:val="22"/>
          <w:lang w:val="fr-FR"/>
        </w:rPr>
        <w:t>autres mesures complémentair</w:t>
      </w:r>
      <w:r w:rsidR="004F507A" w:rsidRPr="004F507A">
        <w:rPr>
          <w:rFonts w:ascii="Arial" w:hAnsi="Arial" w:cs="Arial"/>
          <w:color w:val="000000"/>
          <w:sz w:val="22"/>
          <w:szCs w:val="22"/>
          <w:lang w:val="fr-FR"/>
        </w:rPr>
        <w:t>es.  Il</w:t>
      </w:r>
      <w:r w:rsidR="00840D25" w:rsidRPr="004F507A">
        <w:rPr>
          <w:rFonts w:ascii="Arial" w:hAnsi="Arial" w:cs="Arial"/>
          <w:color w:val="000000"/>
          <w:sz w:val="22"/>
          <w:szCs w:val="22"/>
          <w:lang w:val="fr-FR"/>
        </w:rPr>
        <w:t xml:space="preserve"> pourrait être utile de consulter les articles concernés du texte relatif aux ressources génétiques.</w:t>
      </w:r>
      <w:r w:rsidR="00BC1E28" w:rsidRPr="004F507A">
        <w:rPr>
          <w:rFonts w:ascii="Arial" w:hAnsi="Arial"/>
          <w:color w:val="000000"/>
          <w:sz w:val="22"/>
          <w:lang w:val="fr-FR"/>
        </w:rPr>
        <w:t xml:space="preserve">  </w:t>
      </w:r>
      <w:r w:rsidR="00840D25" w:rsidRPr="004F507A">
        <w:rPr>
          <w:rFonts w:ascii="Arial" w:hAnsi="Arial" w:cs="Arial"/>
          <w:color w:val="000000"/>
          <w:sz w:val="22"/>
          <w:szCs w:val="22"/>
          <w:lang w:val="fr-FR"/>
        </w:rPr>
        <w:t>L</w:t>
      </w:r>
      <w:r w:rsidR="006D7B02" w:rsidRPr="004F507A">
        <w:rPr>
          <w:rFonts w:ascii="Arial" w:hAnsi="Arial" w:cs="Arial"/>
          <w:color w:val="000000"/>
          <w:sz w:val="22"/>
          <w:szCs w:val="22"/>
          <w:lang w:val="fr-FR"/>
        </w:rPr>
        <w:t>’</w:t>
      </w:r>
      <w:r w:rsidR="00840D25" w:rsidRPr="004F507A">
        <w:rPr>
          <w:rFonts w:ascii="Arial" w:hAnsi="Arial" w:cs="Arial"/>
          <w:color w:val="000000"/>
          <w:sz w:val="22"/>
          <w:szCs w:val="22"/>
          <w:lang w:val="fr-FR"/>
        </w:rPr>
        <w:t>IGC pourrait étudier les buts et objectifs de ces bases de données ainsi que leurs modalités de fonctionneme</w:t>
      </w:r>
      <w:r w:rsidR="004F507A" w:rsidRPr="004F507A">
        <w:rPr>
          <w:rFonts w:ascii="Arial" w:hAnsi="Arial" w:cs="Arial"/>
          <w:color w:val="000000"/>
          <w:sz w:val="22"/>
          <w:szCs w:val="22"/>
          <w:lang w:val="fr-FR"/>
        </w:rPr>
        <w:t>nt.  Le</w:t>
      </w:r>
      <w:r w:rsidR="00840D25" w:rsidRPr="004F507A">
        <w:rPr>
          <w:rFonts w:ascii="Arial" w:hAnsi="Arial" w:cs="Arial"/>
          <w:color w:val="000000"/>
          <w:sz w:val="22"/>
          <w:szCs w:val="22"/>
          <w:lang w:val="fr-FR"/>
        </w:rPr>
        <w:t xml:space="preserve">s autres questions </w:t>
      </w:r>
      <w:r w:rsidR="000B7332" w:rsidRPr="004F507A">
        <w:rPr>
          <w:rFonts w:ascii="Arial" w:hAnsi="Arial" w:cs="Arial"/>
          <w:color w:val="000000"/>
          <w:sz w:val="22"/>
          <w:szCs w:val="22"/>
          <w:lang w:val="fr-FR"/>
        </w:rPr>
        <w:t>essentielles qui mériteraient éventuellement d</w:t>
      </w:r>
      <w:r w:rsidR="006D7B02" w:rsidRPr="004F507A">
        <w:rPr>
          <w:rFonts w:ascii="Arial" w:hAnsi="Arial" w:cs="Arial"/>
          <w:color w:val="000000"/>
          <w:sz w:val="22"/>
          <w:szCs w:val="22"/>
          <w:lang w:val="fr-FR"/>
        </w:rPr>
        <w:t>’</w:t>
      </w:r>
      <w:r w:rsidR="000B7332" w:rsidRPr="004F507A">
        <w:rPr>
          <w:rFonts w:ascii="Arial" w:hAnsi="Arial" w:cs="Arial"/>
          <w:color w:val="000000"/>
          <w:sz w:val="22"/>
          <w:szCs w:val="22"/>
          <w:lang w:val="fr-FR"/>
        </w:rPr>
        <w:t>être étudiées</w:t>
      </w:r>
      <w:r w:rsidR="00840D25" w:rsidRPr="004F507A">
        <w:rPr>
          <w:rFonts w:ascii="Arial" w:hAnsi="Arial" w:cs="Arial"/>
          <w:color w:val="000000"/>
          <w:sz w:val="22"/>
          <w:szCs w:val="22"/>
          <w:lang w:val="fr-FR"/>
        </w:rPr>
        <w:t xml:space="preserve"> sont les suivantes</w:t>
      </w:r>
      <w:r w:rsidR="000E59D1" w:rsidRPr="004F507A">
        <w:rPr>
          <w:rFonts w:ascii="Arial" w:hAnsi="Arial" w:cs="Arial"/>
          <w:color w:val="000000"/>
          <w:sz w:val="22"/>
          <w:szCs w:val="22"/>
          <w:lang w:val="fr-FR"/>
        </w:rPr>
        <w:t> </w:t>
      </w:r>
      <w:r w:rsidR="00840D25" w:rsidRPr="004F507A">
        <w:rPr>
          <w:rFonts w:ascii="Arial" w:hAnsi="Arial" w:cs="Arial"/>
          <w:color w:val="000000"/>
          <w:sz w:val="22"/>
          <w:szCs w:val="22"/>
          <w:lang w:val="fr-FR"/>
        </w:rPr>
        <w:t xml:space="preserve">: </w:t>
      </w:r>
      <w:r w:rsidR="004F507A">
        <w:rPr>
          <w:rFonts w:ascii="Arial" w:hAnsi="Arial" w:cs="Arial"/>
          <w:color w:val="000000"/>
          <w:sz w:val="22"/>
          <w:szCs w:val="22"/>
          <w:lang w:val="fr-FR"/>
        </w:rPr>
        <w:t>q</w:t>
      </w:r>
      <w:r w:rsidR="00840D25" w:rsidRPr="004F507A">
        <w:rPr>
          <w:rFonts w:ascii="Arial" w:hAnsi="Arial" w:cs="Arial"/>
          <w:color w:val="000000"/>
          <w:sz w:val="22"/>
          <w:szCs w:val="22"/>
          <w:lang w:val="fr-FR"/>
        </w:rPr>
        <w:t>ui devrait être chargé de compiler ces bases de données et d</w:t>
      </w:r>
      <w:r w:rsidR="006D7B02" w:rsidRPr="004F507A">
        <w:rPr>
          <w:rFonts w:ascii="Arial" w:hAnsi="Arial" w:cs="Arial"/>
          <w:color w:val="000000"/>
          <w:sz w:val="22"/>
          <w:szCs w:val="22"/>
          <w:lang w:val="fr-FR"/>
        </w:rPr>
        <w:t>’</w:t>
      </w:r>
      <w:r w:rsidR="00840D25" w:rsidRPr="004F507A">
        <w:rPr>
          <w:rFonts w:ascii="Arial" w:hAnsi="Arial" w:cs="Arial"/>
          <w:color w:val="000000"/>
          <w:sz w:val="22"/>
          <w:szCs w:val="22"/>
          <w:lang w:val="fr-FR"/>
        </w:rPr>
        <w:t>en assurer la maintenance</w:t>
      </w:r>
      <w:r w:rsidR="000E59D1" w:rsidRPr="004F507A">
        <w:rPr>
          <w:rFonts w:ascii="Arial" w:hAnsi="Arial" w:cs="Arial"/>
          <w:color w:val="000000"/>
          <w:sz w:val="22"/>
          <w:szCs w:val="22"/>
          <w:lang w:val="fr-FR"/>
        </w:rPr>
        <w:t>?</w:t>
      </w:r>
      <w:r w:rsidR="00B73A48" w:rsidRPr="004F507A">
        <w:rPr>
          <w:rFonts w:ascii="Arial" w:hAnsi="Arial"/>
          <w:color w:val="000000"/>
          <w:sz w:val="22"/>
          <w:lang w:val="fr-FR"/>
        </w:rPr>
        <w:t xml:space="preserve">  </w:t>
      </w:r>
      <w:r w:rsidR="000B7332" w:rsidRPr="004F507A">
        <w:rPr>
          <w:rFonts w:ascii="Arial" w:hAnsi="Arial" w:cs="Arial"/>
          <w:color w:val="000000"/>
          <w:sz w:val="22"/>
          <w:szCs w:val="22"/>
          <w:lang w:val="fr-FR"/>
        </w:rPr>
        <w:t>Devrait</w:t>
      </w:r>
      <w:r w:rsidR="00525EB9">
        <w:rPr>
          <w:rFonts w:ascii="Arial" w:hAnsi="Arial" w:cs="Arial"/>
          <w:color w:val="000000"/>
          <w:sz w:val="22"/>
          <w:szCs w:val="22"/>
          <w:lang w:val="fr-FR"/>
        </w:rPr>
        <w:noBreakHyphen/>
      </w:r>
      <w:r w:rsidR="000B7332" w:rsidRPr="004F507A">
        <w:rPr>
          <w:rFonts w:ascii="Arial" w:hAnsi="Arial" w:cs="Arial"/>
          <w:color w:val="000000"/>
          <w:sz w:val="22"/>
          <w:szCs w:val="22"/>
          <w:lang w:val="fr-FR"/>
        </w:rPr>
        <w:t>il y avoir</w:t>
      </w:r>
      <w:r w:rsidR="00840D25" w:rsidRPr="004F507A">
        <w:rPr>
          <w:rFonts w:ascii="Arial" w:hAnsi="Arial" w:cs="Arial"/>
          <w:color w:val="000000"/>
          <w:sz w:val="22"/>
          <w:szCs w:val="22"/>
          <w:lang w:val="fr-FR"/>
        </w:rPr>
        <w:t xml:space="preserve"> de</w:t>
      </w:r>
      <w:r w:rsidR="000B7332" w:rsidRPr="004F507A">
        <w:rPr>
          <w:rFonts w:ascii="Arial" w:hAnsi="Arial" w:cs="Arial"/>
          <w:color w:val="000000"/>
          <w:sz w:val="22"/>
          <w:szCs w:val="22"/>
          <w:lang w:val="fr-FR"/>
        </w:rPr>
        <w:t>s</w:t>
      </w:r>
      <w:r w:rsidR="00840D25" w:rsidRPr="004F507A">
        <w:rPr>
          <w:rFonts w:ascii="Arial" w:hAnsi="Arial" w:cs="Arial"/>
          <w:color w:val="000000"/>
          <w:sz w:val="22"/>
          <w:szCs w:val="22"/>
          <w:lang w:val="fr-FR"/>
        </w:rPr>
        <w:t xml:space="preserve"> normes pour en harmoniser la structure et le contenu?</w:t>
      </w:r>
      <w:r w:rsidR="00B73A48" w:rsidRPr="004F507A">
        <w:rPr>
          <w:rFonts w:ascii="Arial" w:hAnsi="Arial"/>
          <w:color w:val="000000"/>
          <w:sz w:val="22"/>
          <w:lang w:val="fr-FR"/>
        </w:rPr>
        <w:t xml:space="preserve">  </w:t>
      </w:r>
      <w:r w:rsidR="00840D25" w:rsidRPr="004F507A">
        <w:rPr>
          <w:rFonts w:ascii="Arial" w:hAnsi="Arial" w:cs="Arial"/>
          <w:color w:val="000000"/>
          <w:sz w:val="22"/>
          <w:szCs w:val="22"/>
          <w:lang w:val="fr-FR"/>
        </w:rPr>
        <w:t>Qui devrait avoir accès à ces bases de données?</w:t>
      </w:r>
      <w:r w:rsidR="00B73A48" w:rsidRPr="004F507A">
        <w:rPr>
          <w:rFonts w:ascii="Arial" w:hAnsi="Arial"/>
          <w:color w:val="000000"/>
          <w:sz w:val="22"/>
          <w:lang w:val="fr-FR"/>
        </w:rPr>
        <w:t xml:space="preserve">  </w:t>
      </w:r>
      <w:r w:rsidR="00840D25" w:rsidRPr="004F507A">
        <w:rPr>
          <w:rFonts w:ascii="Arial" w:hAnsi="Arial" w:cs="Arial"/>
          <w:color w:val="000000"/>
          <w:sz w:val="22"/>
          <w:szCs w:val="22"/>
          <w:lang w:val="fr-FR"/>
        </w:rPr>
        <w:t>Quel serait leur contenu?</w:t>
      </w:r>
      <w:r w:rsidR="00B73A48" w:rsidRPr="004F507A">
        <w:rPr>
          <w:rFonts w:ascii="Arial" w:hAnsi="Arial"/>
          <w:color w:val="000000"/>
          <w:sz w:val="22"/>
          <w:lang w:val="fr-FR"/>
        </w:rPr>
        <w:t xml:space="preserve">  </w:t>
      </w:r>
      <w:r w:rsidR="00840D25" w:rsidRPr="004F507A">
        <w:rPr>
          <w:rFonts w:ascii="Arial" w:hAnsi="Arial" w:cs="Arial"/>
          <w:color w:val="000000"/>
          <w:sz w:val="22"/>
          <w:szCs w:val="22"/>
          <w:lang w:val="fr-FR"/>
        </w:rPr>
        <w:t>Sous quelle forme ce contenu serait</w:t>
      </w:r>
      <w:r w:rsidR="00525EB9">
        <w:rPr>
          <w:rFonts w:ascii="Arial" w:hAnsi="Arial" w:cs="Arial"/>
          <w:color w:val="000000"/>
          <w:sz w:val="22"/>
          <w:szCs w:val="22"/>
          <w:lang w:val="fr-FR"/>
        </w:rPr>
        <w:noBreakHyphen/>
      </w:r>
      <w:r w:rsidR="00840D25" w:rsidRPr="004F507A">
        <w:rPr>
          <w:rFonts w:ascii="Arial" w:hAnsi="Arial" w:cs="Arial"/>
          <w:color w:val="000000"/>
          <w:sz w:val="22"/>
          <w:szCs w:val="22"/>
          <w:lang w:val="fr-FR"/>
        </w:rPr>
        <w:t>il exprimé?</w:t>
      </w:r>
      <w:r w:rsidR="00B73A48" w:rsidRPr="004F507A">
        <w:rPr>
          <w:rFonts w:ascii="Arial" w:hAnsi="Arial"/>
          <w:color w:val="000000"/>
          <w:sz w:val="22"/>
          <w:lang w:val="fr-FR"/>
        </w:rPr>
        <w:t xml:space="preserve">  </w:t>
      </w:r>
      <w:r w:rsidR="00B16A8C" w:rsidRPr="004F507A">
        <w:rPr>
          <w:rFonts w:ascii="Arial" w:hAnsi="Arial" w:cs="Arial"/>
          <w:color w:val="000000"/>
          <w:sz w:val="22"/>
          <w:szCs w:val="22"/>
          <w:lang w:val="fr-FR"/>
        </w:rPr>
        <w:t>Ces bases de données devraient</w:t>
      </w:r>
      <w:r w:rsidR="00525EB9">
        <w:rPr>
          <w:rFonts w:ascii="Arial" w:hAnsi="Arial" w:cs="Arial"/>
          <w:color w:val="000000"/>
          <w:sz w:val="22"/>
          <w:szCs w:val="22"/>
          <w:lang w:val="fr-FR"/>
        </w:rPr>
        <w:noBreakHyphen/>
      </w:r>
      <w:r w:rsidR="00B16A8C" w:rsidRPr="004F507A">
        <w:rPr>
          <w:rFonts w:ascii="Arial" w:hAnsi="Arial" w:cs="Arial"/>
          <w:color w:val="000000"/>
          <w:sz w:val="22"/>
          <w:szCs w:val="22"/>
          <w:lang w:val="fr-FR"/>
        </w:rPr>
        <w:t xml:space="preserve">elles </w:t>
      </w:r>
      <w:r w:rsidR="000B7332" w:rsidRPr="004F507A">
        <w:rPr>
          <w:rFonts w:ascii="Arial" w:hAnsi="Arial" w:cs="Arial"/>
          <w:color w:val="000000"/>
          <w:sz w:val="22"/>
          <w:szCs w:val="22"/>
          <w:lang w:val="fr-FR"/>
        </w:rPr>
        <w:t>être accompagnées</w:t>
      </w:r>
      <w:r w:rsidR="00B16A8C" w:rsidRPr="004F507A">
        <w:rPr>
          <w:rFonts w:ascii="Arial" w:hAnsi="Arial" w:cs="Arial"/>
          <w:color w:val="000000"/>
          <w:sz w:val="22"/>
          <w:szCs w:val="22"/>
          <w:lang w:val="fr-FR"/>
        </w:rPr>
        <w:t xml:space="preserve"> de lignes directrices?</w:t>
      </w:r>
    </w:p>
    <w:p w:rsidR="006D7B02" w:rsidRPr="004F507A" w:rsidRDefault="00B75864" w:rsidP="002B5624">
      <w:pPr>
        <w:tabs>
          <w:tab w:val="left" w:pos="567"/>
        </w:tabs>
        <w:spacing w:after="240"/>
        <w:rPr>
          <w:rFonts w:ascii="Arial" w:hAnsi="Arial" w:cs="Arial"/>
          <w:sz w:val="22"/>
          <w:szCs w:val="22"/>
          <w:lang w:val="fr-FR"/>
        </w:rPr>
      </w:pPr>
      <w:r w:rsidRPr="004F507A">
        <w:rPr>
          <w:rFonts w:ascii="Arial" w:hAnsi="Arial" w:cs="Arial"/>
          <w:sz w:val="22"/>
          <w:szCs w:val="22"/>
          <w:lang w:val="fr-FR"/>
        </w:rPr>
        <w:fldChar w:fldCharType="begin"/>
      </w:r>
      <w:r w:rsidRPr="004F507A">
        <w:rPr>
          <w:rFonts w:ascii="Arial" w:hAnsi="Arial" w:cs="Arial"/>
          <w:sz w:val="22"/>
          <w:szCs w:val="22"/>
          <w:lang w:val="fr-FR"/>
        </w:rPr>
        <w:instrText xml:space="preserve"> AUTONUM  </w:instrText>
      </w:r>
      <w:r w:rsidRPr="004F507A">
        <w:rPr>
          <w:rFonts w:ascii="Arial" w:hAnsi="Arial" w:cs="Arial"/>
          <w:sz w:val="22"/>
          <w:szCs w:val="22"/>
          <w:lang w:val="fr-FR"/>
        </w:rPr>
        <w:fldChar w:fldCharType="end"/>
      </w:r>
      <w:r w:rsidRPr="004F507A">
        <w:rPr>
          <w:rFonts w:ascii="Arial" w:hAnsi="Arial" w:cs="Arial"/>
          <w:sz w:val="22"/>
          <w:szCs w:val="22"/>
          <w:lang w:val="fr-FR"/>
        </w:rPr>
        <w:tab/>
      </w:r>
      <w:r w:rsidR="00B16A8C" w:rsidRPr="004F507A">
        <w:rPr>
          <w:rFonts w:ascii="Arial" w:hAnsi="Arial" w:cs="Arial"/>
          <w:color w:val="000000"/>
          <w:sz w:val="22"/>
          <w:szCs w:val="22"/>
          <w:lang w:val="fr-FR"/>
        </w:rPr>
        <w:t>Les exigences de divulgation ont fait l</w:t>
      </w:r>
      <w:r w:rsidR="006D7B02" w:rsidRPr="004F507A">
        <w:rPr>
          <w:rFonts w:ascii="Arial" w:hAnsi="Arial" w:cs="Arial"/>
          <w:color w:val="000000"/>
          <w:sz w:val="22"/>
          <w:szCs w:val="22"/>
          <w:lang w:val="fr-FR"/>
        </w:rPr>
        <w:t>’</w:t>
      </w:r>
      <w:r w:rsidR="00B16A8C" w:rsidRPr="004F507A">
        <w:rPr>
          <w:rFonts w:ascii="Arial" w:hAnsi="Arial" w:cs="Arial"/>
          <w:color w:val="000000"/>
          <w:sz w:val="22"/>
          <w:szCs w:val="22"/>
          <w:lang w:val="fr-FR"/>
        </w:rPr>
        <w:t xml:space="preserve">objet de débats approfondis lors </w:t>
      </w:r>
      <w:proofErr w:type="gramStart"/>
      <w:r w:rsidR="00B16A8C" w:rsidRPr="004F507A">
        <w:rPr>
          <w:rFonts w:ascii="Arial" w:hAnsi="Arial" w:cs="Arial"/>
          <w:color w:val="000000"/>
          <w:sz w:val="22"/>
          <w:szCs w:val="22"/>
          <w:lang w:val="fr-FR"/>
        </w:rPr>
        <w:t>des</w:t>
      </w:r>
      <w:proofErr w:type="gramEnd"/>
      <w:r w:rsidR="00B16A8C" w:rsidRPr="004F507A">
        <w:rPr>
          <w:rFonts w:ascii="Arial" w:hAnsi="Arial" w:cs="Arial"/>
          <w:color w:val="000000"/>
          <w:sz w:val="22"/>
          <w:szCs w:val="22"/>
          <w:lang w:val="fr-FR"/>
        </w:rPr>
        <w:t xml:space="preserve"> vingt</w:t>
      </w:r>
      <w:r w:rsidR="00525EB9">
        <w:rPr>
          <w:rFonts w:ascii="Arial" w:hAnsi="Arial" w:cs="Arial"/>
          <w:color w:val="000000"/>
          <w:sz w:val="22"/>
          <w:szCs w:val="22"/>
          <w:lang w:val="fr-FR"/>
        </w:rPr>
        <w:noBreakHyphen/>
      </w:r>
      <w:r w:rsidR="00B16A8C" w:rsidRPr="004F507A">
        <w:rPr>
          <w:rFonts w:ascii="Arial" w:hAnsi="Arial" w:cs="Arial"/>
          <w:color w:val="000000"/>
          <w:sz w:val="22"/>
          <w:szCs w:val="22"/>
          <w:lang w:val="fr-FR"/>
        </w:rPr>
        <w:t>neuvième et trentième</w:t>
      </w:r>
      <w:r w:rsidR="000E59D1" w:rsidRPr="004F507A">
        <w:rPr>
          <w:rFonts w:ascii="Arial" w:hAnsi="Arial" w:cs="Arial"/>
          <w:color w:val="000000"/>
          <w:sz w:val="22"/>
          <w:szCs w:val="22"/>
          <w:lang w:val="fr-FR"/>
        </w:rPr>
        <w:t> </w:t>
      </w:r>
      <w:r w:rsidR="00B16A8C" w:rsidRPr="004F507A">
        <w:rPr>
          <w:rFonts w:ascii="Arial" w:hAnsi="Arial" w:cs="Arial"/>
          <w:color w:val="000000"/>
          <w:sz w:val="22"/>
          <w:szCs w:val="22"/>
          <w:lang w:val="fr-FR"/>
        </w:rPr>
        <w:t>sessions de l</w:t>
      </w:r>
      <w:r w:rsidR="006D7B02" w:rsidRPr="004F507A">
        <w:rPr>
          <w:rFonts w:ascii="Arial" w:hAnsi="Arial" w:cs="Arial"/>
          <w:color w:val="000000"/>
          <w:sz w:val="22"/>
          <w:szCs w:val="22"/>
          <w:lang w:val="fr-FR"/>
        </w:rPr>
        <w:t>’</w:t>
      </w:r>
      <w:r w:rsidR="00B16A8C" w:rsidRPr="004F507A">
        <w:rPr>
          <w:rFonts w:ascii="Arial" w:hAnsi="Arial" w:cs="Arial"/>
          <w:color w:val="000000"/>
          <w:sz w:val="22"/>
          <w:szCs w:val="22"/>
          <w:lang w:val="fr-FR"/>
        </w:rPr>
        <w:t>IGC, ainsi que lors de sessions antérieures.</w:t>
      </w:r>
      <w:r w:rsidRPr="004F507A">
        <w:rPr>
          <w:rFonts w:ascii="Arial" w:hAnsi="Arial"/>
          <w:color w:val="000000"/>
          <w:sz w:val="22"/>
          <w:lang w:val="fr-FR"/>
        </w:rPr>
        <w:t xml:space="preserve">  </w:t>
      </w:r>
      <w:r w:rsidR="00B16A8C" w:rsidRPr="004F507A">
        <w:rPr>
          <w:rFonts w:ascii="Arial" w:hAnsi="Arial" w:cs="Arial"/>
          <w:color w:val="000000"/>
          <w:sz w:val="22"/>
          <w:szCs w:val="22"/>
          <w:lang w:val="fr-FR"/>
        </w:rPr>
        <w:t>L</w:t>
      </w:r>
      <w:r w:rsidR="006D7B02" w:rsidRPr="004F507A">
        <w:rPr>
          <w:rFonts w:ascii="Arial" w:hAnsi="Arial" w:cs="Arial"/>
          <w:color w:val="000000"/>
          <w:sz w:val="22"/>
          <w:szCs w:val="22"/>
          <w:lang w:val="fr-FR"/>
        </w:rPr>
        <w:t>’</w:t>
      </w:r>
      <w:r w:rsidR="00B16A8C" w:rsidRPr="004F507A">
        <w:rPr>
          <w:rFonts w:ascii="Arial" w:hAnsi="Arial" w:cs="Arial"/>
          <w:color w:val="000000"/>
          <w:sz w:val="22"/>
          <w:szCs w:val="22"/>
          <w:lang w:val="fr-FR"/>
        </w:rPr>
        <w:t>IGC n</w:t>
      </w:r>
      <w:r w:rsidR="006D7B02" w:rsidRPr="004F507A">
        <w:rPr>
          <w:rFonts w:ascii="Arial" w:hAnsi="Arial" w:cs="Arial"/>
          <w:color w:val="000000"/>
          <w:sz w:val="22"/>
          <w:szCs w:val="22"/>
          <w:lang w:val="fr-FR"/>
        </w:rPr>
        <w:t>’</w:t>
      </w:r>
      <w:r w:rsidR="00B16A8C" w:rsidRPr="004F507A">
        <w:rPr>
          <w:rFonts w:ascii="Arial" w:hAnsi="Arial" w:cs="Arial"/>
          <w:color w:val="000000"/>
          <w:sz w:val="22"/>
          <w:szCs w:val="22"/>
          <w:lang w:val="fr-FR"/>
        </w:rPr>
        <w:t>est pas encore parvenu à un consensus à ce sujet et continue d</w:t>
      </w:r>
      <w:r w:rsidR="006D7B02" w:rsidRPr="004F507A">
        <w:rPr>
          <w:rFonts w:ascii="Arial" w:hAnsi="Arial" w:cs="Arial"/>
          <w:color w:val="000000"/>
          <w:sz w:val="22"/>
          <w:szCs w:val="22"/>
          <w:lang w:val="fr-FR"/>
        </w:rPr>
        <w:t>’</w:t>
      </w:r>
      <w:r w:rsidR="00B16A8C" w:rsidRPr="004F507A">
        <w:rPr>
          <w:rFonts w:ascii="Arial" w:hAnsi="Arial" w:cs="Arial"/>
          <w:color w:val="000000"/>
          <w:sz w:val="22"/>
          <w:szCs w:val="22"/>
          <w:lang w:val="fr-FR"/>
        </w:rPr>
        <w:t>étudier cette mesure.</w:t>
      </w:r>
    </w:p>
    <w:p w:rsidR="004F60C4" w:rsidRPr="004F507A" w:rsidRDefault="00E753D2" w:rsidP="00192CB7">
      <w:pPr>
        <w:keepNext/>
        <w:keepLines/>
        <w:tabs>
          <w:tab w:val="left" w:pos="567"/>
        </w:tabs>
        <w:spacing w:after="240"/>
        <w:rPr>
          <w:rFonts w:ascii="Arial" w:hAnsi="Arial" w:cs="Arial"/>
          <w:i/>
          <w:sz w:val="22"/>
          <w:szCs w:val="22"/>
          <w:lang w:val="fr-FR"/>
        </w:rPr>
      </w:pPr>
      <w:r w:rsidRPr="004F507A">
        <w:rPr>
          <w:rFonts w:ascii="Arial" w:hAnsi="Arial" w:cs="Arial"/>
          <w:i/>
          <w:sz w:val="22"/>
          <w:szCs w:val="22"/>
          <w:lang w:val="fr-FR"/>
        </w:rPr>
        <w:lastRenderedPageBreak/>
        <w:t xml:space="preserve">Sanctions, </w:t>
      </w:r>
      <w:r w:rsidR="00B16A8C" w:rsidRPr="004F507A">
        <w:rPr>
          <w:rFonts w:ascii="Arial" w:hAnsi="Arial" w:cs="Arial"/>
          <w:i/>
          <w:sz w:val="22"/>
          <w:szCs w:val="22"/>
          <w:lang w:val="fr-FR"/>
        </w:rPr>
        <w:t>moyens de recours et exercice des droits</w:t>
      </w:r>
    </w:p>
    <w:p w:rsidR="004F60C4" w:rsidRPr="004F507A" w:rsidRDefault="0066556B" w:rsidP="00192CB7">
      <w:pPr>
        <w:keepNext/>
        <w:keepLines/>
        <w:tabs>
          <w:tab w:val="left" w:pos="567"/>
        </w:tabs>
        <w:spacing w:after="240"/>
        <w:rPr>
          <w:rFonts w:ascii="Arial" w:hAnsi="Arial" w:cs="Arial"/>
          <w:sz w:val="22"/>
          <w:szCs w:val="22"/>
          <w:lang w:val="fr-FR"/>
        </w:rPr>
      </w:pPr>
      <w:r w:rsidRPr="004F507A">
        <w:rPr>
          <w:rFonts w:ascii="Arial" w:hAnsi="Arial" w:cs="Arial"/>
          <w:sz w:val="22"/>
          <w:szCs w:val="22"/>
          <w:lang w:val="fr-FR"/>
        </w:rPr>
        <w:fldChar w:fldCharType="begin"/>
      </w:r>
      <w:r w:rsidRPr="004F507A">
        <w:rPr>
          <w:rFonts w:ascii="Arial" w:hAnsi="Arial" w:cs="Arial"/>
          <w:sz w:val="22"/>
          <w:szCs w:val="22"/>
          <w:lang w:val="fr-FR"/>
        </w:rPr>
        <w:instrText xml:space="preserve"> AUTONUM  </w:instrText>
      </w:r>
      <w:r w:rsidRPr="004F507A">
        <w:rPr>
          <w:rFonts w:ascii="Arial" w:hAnsi="Arial" w:cs="Arial"/>
          <w:sz w:val="22"/>
          <w:szCs w:val="22"/>
          <w:lang w:val="fr-FR"/>
        </w:rPr>
        <w:fldChar w:fldCharType="end"/>
      </w:r>
      <w:r w:rsidRPr="004F507A">
        <w:rPr>
          <w:rFonts w:ascii="Arial" w:hAnsi="Arial" w:cs="Arial"/>
          <w:sz w:val="22"/>
          <w:szCs w:val="22"/>
          <w:lang w:val="fr-FR"/>
        </w:rPr>
        <w:tab/>
      </w:r>
      <w:r w:rsidR="00226B58" w:rsidRPr="004F507A">
        <w:rPr>
          <w:rFonts w:ascii="Arial" w:hAnsi="Arial" w:cs="Arial"/>
          <w:color w:val="000000"/>
          <w:sz w:val="22"/>
          <w:szCs w:val="22"/>
          <w:lang w:val="fr-FR"/>
        </w:rPr>
        <w:t>Les textes relatifs aux savoirs traditionnels, aux expressions culturelles traditionnelles et aux ressources génétiques comportent des dispositions concernant les sanctions et les moyens de recou</w:t>
      </w:r>
      <w:r w:rsidR="004F507A" w:rsidRPr="004F507A">
        <w:rPr>
          <w:rFonts w:ascii="Arial" w:hAnsi="Arial" w:cs="Arial"/>
          <w:color w:val="000000"/>
          <w:sz w:val="22"/>
          <w:szCs w:val="22"/>
          <w:lang w:val="fr-FR"/>
        </w:rPr>
        <w:t>rs.  Le</w:t>
      </w:r>
      <w:r w:rsidR="00226B58" w:rsidRPr="004F507A">
        <w:rPr>
          <w:rFonts w:ascii="Arial" w:hAnsi="Arial" w:cs="Arial"/>
          <w:color w:val="000000"/>
          <w:sz w:val="22"/>
          <w:szCs w:val="22"/>
          <w:lang w:val="fr-FR"/>
        </w:rPr>
        <w:t>s approches diffèrent selon le tex</w:t>
      </w:r>
      <w:r w:rsidR="004F507A" w:rsidRPr="004F507A">
        <w:rPr>
          <w:rFonts w:ascii="Arial" w:hAnsi="Arial" w:cs="Arial"/>
          <w:color w:val="000000"/>
          <w:sz w:val="22"/>
          <w:szCs w:val="22"/>
          <w:lang w:val="fr-FR"/>
        </w:rPr>
        <w:t xml:space="preserve">te.  </w:t>
      </w:r>
      <w:r w:rsidR="004F507A" w:rsidRPr="004F507A">
        <w:rPr>
          <w:rFonts w:ascii="Arial" w:hAnsi="Arial" w:cs="Arial"/>
          <w:sz w:val="22"/>
          <w:szCs w:val="22"/>
          <w:lang w:val="fr-FR"/>
        </w:rPr>
        <w:t>Da</w:t>
      </w:r>
      <w:r w:rsidR="00226B58" w:rsidRPr="004F507A">
        <w:rPr>
          <w:rFonts w:ascii="Arial" w:hAnsi="Arial" w:cs="Arial"/>
          <w:sz w:val="22"/>
          <w:szCs w:val="22"/>
          <w:lang w:val="fr-FR"/>
        </w:rPr>
        <w:t>ns celui</w:t>
      </w:r>
      <w:r w:rsidR="00226B58" w:rsidRPr="004F507A">
        <w:rPr>
          <w:rFonts w:ascii="Arial" w:hAnsi="Arial" w:cs="Arial"/>
          <w:color w:val="000000"/>
          <w:sz w:val="22"/>
          <w:szCs w:val="22"/>
          <w:lang w:val="fr-FR"/>
        </w:rPr>
        <w:t xml:space="preserve"> </w:t>
      </w:r>
      <w:r w:rsidR="00F01F1F" w:rsidRPr="004F507A">
        <w:rPr>
          <w:rFonts w:ascii="Arial" w:hAnsi="Arial" w:cs="Arial"/>
          <w:color w:val="000000"/>
          <w:sz w:val="22"/>
          <w:szCs w:val="22"/>
          <w:lang w:val="fr-FR"/>
        </w:rPr>
        <w:t>consacré aux</w:t>
      </w:r>
      <w:r w:rsidR="00226B58" w:rsidRPr="004F507A">
        <w:rPr>
          <w:rFonts w:ascii="Arial" w:hAnsi="Arial" w:cs="Arial"/>
          <w:color w:val="000000"/>
          <w:sz w:val="22"/>
          <w:szCs w:val="22"/>
          <w:lang w:val="fr-FR"/>
        </w:rPr>
        <w:t xml:space="preserve"> ressources génétiques, par exemple, les dispositions sont très précis</w:t>
      </w:r>
      <w:r w:rsidR="004F507A" w:rsidRPr="004F507A">
        <w:rPr>
          <w:rFonts w:ascii="Arial" w:hAnsi="Arial" w:cs="Arial"/>
          <w:color w:val="000000"/>
          <w:sz w:val="22"/>
          <w:szCs w:val="22"/>
          <w:lang w:val="fr-FR"/>
        </w:rPr>
        <w:t>es.  Je</w:t>
      </w:r>
      <w:r w:rsidR="00F01F1F" w:rsidRPr="004F507A">
        <w:rPr>
          <w:rFonts w:ascii="Arial" w:hAnsi="Arial" w:cs="Arial"/>
          <w:color w:val="000000"/>
          <w:sz w:val="22"/>
          <w:szCs w:val="22"/>
          <w:lang w:val="fr-FR"/>
        </w:rPr>
        <w:t xml:space="preserve"> pense qu</w:t>
      </w:r>
      <w:r w:rsidR="006D7B02" w:rsidRPr="004F507A">
        <w:rPr>
          <w:rFonts w:ascii="Arial" w:hAnsi="Arial" w:cs="Arial"/>
          <w:color w:val="000000"/>
          <w:sz w:val="22"/>
          <w:szCs w:val="22"/>
          <w:lang w:val="fr-FR"/>
        </w:rPr>
        <w:t>’</w:t>
      </w:r>
      <w:r w:rsidR="00F01F1F" w:rsidRPr="004F507A">
        <w:rPr>
          <w:rFonts w:ascii="Arial" w:hAnsi="Arial" w:cs="Arial"/>
          <w:color w:val="000000"/>
          <w:sz w:val="22"/>
          <w:szCs w:val="22"/>
          <w:lang w:val="fr-FR"/>
        </w:rPr>
        <w:t>il serait judicieux</w:t>
      </w:r>
      <w:r w:rsidR="00226B58" w:rsidRPr="004F507A">
        <w:rPr>
          <w:rFonts w:ascii="Arial" w:hAnsi="Arial" w:cs="Arial"/>
          <w:color w:val="000000"/>
          <w:sz w:val="22"/>
          <w:szCs w:val="22"/>
          <w:lang w:val="fr-FR"/>
        </w:rPr>
        <w:t xml:space="preserve"> de consulter les trois</w:t>
      </w:r>
      <w:r w:rsidR="000E59D1" w:rsidRPr="004F507A">
        <w:rPr>
          <w:rFonts w:ascii="Arial" w:hAnsi="Arial" w:cs="Arial"/>
          <w:color w:val="000000"/>
          <w:sz w:val="22"/>
          <w:szCs w:val="22"/>
          <w:lang w:val="fr-FR"/>
        </w:rPr>
        <w:t> </w:t>
      </w:r>
      <w:r w:rsidR="00226B58" w:rsidRPr="004F507A">
        <w:rPr>
          <w:rFonts w:ascii="Arial" w:hAnsi="Arial" w:cs="Arial"/>
          <w:color w:val="000000"/>
          <w:sz w:val="22"/>
          <w:szCs w:val="22"/>
          <w:lang w:val="fr-FR"/>
        </w:rPr>
        <w:t>textes</w:t>
      </w:r>
      <w:r w:rsidR="00226B58" w:rsidRPr="004F507A">
        <w:rPr>
          <w:rStyle w:val="FootnoteReference"/>
          <w:rFonts w:ascii="Arial" w:hAnsi="Arial" w:cs="Arial"/>
          <w:color w:val="000000"/>
          <w:sz w:val="22"/>
          <w:szCs w:val="22"/>
          <w:lang w:val="fr-FR"/>
        </w:rPr>
        <w:footnoteReference w:id="6"/>
      </w:r>
      <w:r w:rsidR="00226B58" w:rsidRPr="004F507A">
        <w:rPr>
          <w:rFonts w:ascii="Arial" w:hAnsi="Arial" w:cs="Arial"/>
          <w:color w:val="000000"/>
          <w:sz w:val="22"/>
          <w:szCs w:val="22"/>
          <w:lang w:val="fr-FR"/>
        </w:rPr>
        <w:t>, en vue d</w:t>
      </w:r>
      <w:r w:rsidR="006D7B02" w:rsidRPr="004F507A">
        <w:rPr>
          <w:rFonts w:ascii="Arial" w:hAnsi="Arial" w:cs="Arial"/>
          <w:color w:val="000000"/>
          <w:sz w:val="22"/>
          <w:szCs w:val="22"/>
          <w:lang w:val="fr-FR"/>
        </w:rPr>
        <w:t>’</w:t>
      </w:r>
      <w:r w:rsidR="00226B58" w:rsidRPr="004F507A">
        <w:rPr>
          <w:rFonts w:ascii="Arial" w:hAnsi="Arial" w:cs="Arial"/>
          <w:color w:val="000000"/>
          <w:sz w:val="22"/>
          <w:szCs w:val="22"/>
          <w:lang w:val="fr-FR"/>
        </w:rPr>
        <w:t xml:space="preserve">améliorer celui </w:t>
      </w:r>
      <w:r w:rsidR="00F01F1F" w:rsidRPr="004F507A">
        <w:rPr>
          <w:rFonts w:ascii="Arial" w:hAnsi="Arial" w:cs="Arial"/>
          <w:color w:val="000000"/>
          <w:sz w:val="22"/>
          <w:szCs w:val="22"/>
          <w:lang w:val="fr-FR"/>
        </w:rPr>
        <w:t>qui porte sur les</w:t>
      </w:r>
      <w:r w:rsidR="00226B58" w:rsidRPr="004F507A">
        <w:rPr>
          <w:rFonts w:ascii="Arial" w:hAnsi="Arial" w:cs="Arial"/>
          <w:color w:val="000000"/>
          <w:sz w:val="22"/>
          <w:szCs w:val="22"/>
          <w:lang w:val="fr-FR"/>
        </w:rPr>
        <w:t xml:space="preserve"> savoirs traditionne</w:t>
      </w:r>
      <w:r w:rsidR="004F507A" w:rsidRPr="004F507A">
        <w:rPr>
          <w:rFonts w:ascii="Arial" w:hAnsi="Arial" w:cs="Arial"/>
          <w:color w:val="000000"/>
          <w:sz w:val="22"/>
          <w:szCs w:val="22"/>
          <w:lang w:val="fr-FR"/>
        </w:rPr>
        <w:t>ls.  Il</w:t>
      </w:r>
      <w:r w:rsidR="006A38B7" w:rsidRPr="004F507A">
        <w:rPr>
          <w:rFonts w:ascii="Arial" w:hAnsi="Arial" w:cs="Arial"/>
          <w:color w:val="000000"/>
          <w:sz w:val="22"/>
          <w:szCs w:val="22"/>
          <w:lang w:val="fr-FR"/>
        </w:rPr>
        <w:t xml:space="preserve"> serait aussi intéressant, selon moi, d</w:t>
      </w:r>
      <w:r w:rsidR="006D7B02" w:rsidRPr="004F507A">
        <w:rPr>
          <w:rFonts w:ascii="Arial" w:hAnsi="Arial" w:cs="Arial"/>
          <w:color w:val="000000"/>
          <w:sz w:val="22"/>
          <w:szCs w:val="22"/>
          <w:lang w:val="fr-FR"/>
        </w:rPr>
        <w:t>’</w:t>
      </w:r>
      <w:r w:rsidR="006A38B7" w:rsidRPr="004F507A">
        <w:rPr>
          <w:rFonts w:ascii="Arial" w:hAnsi="Arial" w:cs="Arial"/>
          <w:color w:val="000000"/>
          <w:sz w:val="22"/>
          <w:szCs w:val="22"/>
          <w:lang w:val="fr-FR"/>
        </w:rPr>
        <w:t>envisager la possibilité de définir un cadre général fondé sur des principes harmonisés au niveau international et de confier au législateur national le soin de traiter les détails.</w:t>
      </w:r>
    </w:p>
    <w:p w:rsidR="004F60C4" w:rsidRPr="004F507A" w:rsidRDefault="006A38B7" w:rsidP="002B5624">
      <w:pPr>
        <w:tabs>
          <w:tab w:val="left" w:pos="567"/>
        </w:tabs>
        <w:spacing w:after="240"/>
        <w:rPr>
          <w:rFonts w:ascii="Arial" w:hAnsi="Arial" w:cs="Arial"/>
          <w:i/>
          <w:sz w:val="22"/>
          <w:szCs w:val="22"/>
          <w:lang w:val="fr-FR"/>
        </w:rPr>
      </w:pPr>
      <w:r w:rsidRPr="004F507A">
        <w:rPr>
          <w:rFonts w:ascii="Arial" w:hAnsi="Arial" w:cs="Arial"/>
          <w:i/>
          <w:color w:val="000000"/>
          <w:sz w:val="22"/>
          <w:szCs w:val="22"/>
          <w:lang w:val="fr-FR"/>
        </w:rPr>
        <w:t>Administration des droits/des intérêts</w:t>
      </w:r>
    </w:p>
    <w:p w:rsidR="006D7B02" w:rsidRPr="004F507A" w:rsidRDefault="007C5259" w:rsidP="002B5624">
      <w:pPr>
        <w:tabs>
          <w:tab w:val="left" w:pos="567"/>
        </w:tabs>
        <w:spacing w:after="240"/>
        <w:rPr>
          <w:rFonts w:ascii="Arial" w:hAnsi="Arial" w:cs="Arial"/>
          <w:sz w:val="22"/>
          <w:szCs w:val="22"/>
          <w:lang w:val="fr-FR"/>
        </w:rPr>
      </w:pPr>
      <w:r w:rsidRPr="004F507A">
        <w:rPr>
          <w:rFonts w:ascii="Arial" w:hAnsi="Arial" w:cs="Arial"/>
          <w:sz w:val="22"/>
          <w:szCs w:val="22"/>
          <w:lang w:val="fr-FR"/>
        </w:rPr>
        <w:fldChar w:fldCharType="begin"/>
      </w:r>
      <w:r w:rsidRPr="004F507A">
        <w:rPr>
          <w:rFonts w:ascii="Arial" w:hAnsi="Arial" w:cs="Arial"/>
          <w:sz w:val="22"/>
          <w:szCs w:val="22"/>
          <w:lang w:val="fr-FR"/>
        </w:rPr>
        <w:instrText xml:space="preserve"> AUTONUM  </w:instrText>
      </w:r>
      <w:r w:rsidRPr="004F507A">
        <w:rPr>
          <w:rFonts w:ascii="Arial" w:hAnsi="Arial" w:cs="Arial"/>
          <w:sz w:val="22"/>
          <w:szCs w:val="22"/>
          <w:lang w:val="fr-FR"/>
        </w:rPr>
        <w:fldChar w:fldCharType="end"/>
      </w:r>
      <w:r w:rsidRPr="004F507A">
        <w:rPr>
          <w:rFonts w:ascii="Arial" w:hAnsi="Arial" w:cs="Arial"/>
          <w:sz w:val="22"/>
          <w:szCs w:val="22"/>
          <w:lang w:val="fr-FR"/>
        </w:rPr>
        <w:tab/>
      </w:r>
      <w:r w:rsidR="006A38B7" w:rsidRPr="004F507A">
        <w:rPr>
          <w:rFonts w:ascii="Arial" w:hAnsi="Arial" w:cs="Arial"/>
          <w:color w:val="000000"/>
          <w:sz w:val="22"/>
          <w:szCs w:val="22"/>
          <w:lang w:val="fr-FR"/>
        </w:rPr>
        <w:t>L</w:t>
      </w:r>
      <w:r w:rsidR="006D7B02" w:rsidRPr="004F507A">
        <w:rPr>
          <w:rFonts w:ascii="Arial" w:hAnsi="Arial" w:cs="Arial"/>
          <w:color w:val="000000"/>
          <w:sz w:val="22"/>
          <w:szCs w:val="22"/>
          <w:lang w:val="fr-FR"/>
        </w:rPr>
        <w:t>’</w:t>
      </w:r>
      <w:r w:rsidR="006A38B7" w:rsidRPr="004F507A">
        <w:rPr>
          <w:rFonts w:ascii="Arial" w:hAnsi="Arial" w:cs="Arial"/>
          <w:color w:val="000000"/>
          <w:sz w:val="22"/>
          <w:szCs w:val="22"/>
          <w:lang w:val="fr-FR"/>
        </w:rPr>
        <w:t>article</w:t>
      </w:r>
      <w:r w:rsidR="000E59D1" w:rsidRPr="004F507A">
        <w:rPr>
          <w:rFonts w:ascii="Arial" w:hAnsi="Arial" w:cs="Arial"/>
          <w:color w:val="000000"/>
          <w:sz w:val="22"/>
          <w:szCs w:val="22"/>
          <w:lang w:val="fr-FR"/>
        </w:rPr>
        <w:t> </w:t>
      </w:r>
      <w:r w:rsidR="006A38B7" w:rsidRPr="004F507A">
        <w:rPr>
          <w:rFonts w:ascii="Arial" w:hAnsi="Arial" w:cs="Arial"/>
          <w:color w:val="000000"/>
          <w:sz w:val="22"/>
          <w:szCs w:val="22"/>
          <w:lang w:val="fr-FR"/>
        </w:rPr>
        <w:t>5 comporte différentes variant</w:t>
      </w:r>
      <w:r w:rsidR="004F507A" w:rsidRPr="004F507A">
        <w:rPr>
          <w:rFonts w:ascii="Arial" w:hAnsi="Arial" w:cs="Arial"/>
          <w:color w:val="000000"/>
          <w:sz w:val="22"/>
          <w:szCs w:val="22"/>
          <w:lang w:val="fr-FR"/>
        </w:rPr>
        <w:t>es.  Il</w:t>
      </w:r>
      <w:r w:rsidR="006A38B7" w:rsidRPr="004F507A">
        <w:rPr>
          <w:rFonts w:ascii="Arial" w:hAnsi="Arial" w:cs="Arial"/>
          <w:color w:val="000000"/>
          <w:sz w:val="22"/>
          <w:szCs w:val="22"/>
          <w:lang w:val="fr-FR"/>
        </w:rPr>
        <w:t xml:space="preserve"> ne semble pas y avoir d</w:t>
      </w:r>
      <w:r w:rsidR="006D7B02" w:rsidRPr="004F507A">
        <w:rPr>
          <w:rFonts w:ascii="Arial" w:hAnsi="Arial" w:cs="Arial"/>
          <w:color w:val="000000"/>
          <w:sz w:val="22"/>
          <w:szCs w:val="22"/>
          <w:lang w:val="fr-FR"/>
        </w:rPr>
        <w:t>’</w:t>
      </w:r>
      <w:r w:rsidR="006A38B7" w:rsidRPr="004F507A">
        <w:rPr>
          <w:rFonts w:ascii="Arial" w:hAnsi="Arial" w:cs="Arial"/>
          <w:color w:val="000000"/>
          <w:sz w:val="22"/>
          <w:szCs w:val="22"/>
          <w:lang w:val="fr-FR"/>
        </w:rPr>
        <w:t xml:space="preserve">accord </w:t>
      </w:r>
      <w:r w:rsidR="00F01F1F" w:rsidRPr="004F507A">
        <w:rPr>
          <w:rFonts w:ascii="Arial" w:hAnsi="Arial" w:cs="Arial"/>
          <w:color w:val="000000"/>
          <w:sz w:val="22"/>
          <w:szCs w:val="22"/>
          <w:lang w:val="fr-FR"/>
        </w:rPr>
        <w:t>pour</w:t>
      </w:r>
      <w:r w:rsidR="006A38B7" w:rsidRPr="004F507A">
        <w:rPr>
          <w:rFonts w:ascii="Arial" w:hAnsi="Arial" w:cs="Arial"/>
          <w:color w:val="000000"/>
          <w:sz w:val="22"/>
          <w:szCs w:val="22"/>
          <w:lang w:val="fr-FR"/>
        </w:rPr>
        <w:t xml:space="preserve"> ce qui </w:t>
      </w:r>
      <w:r w:rsidR="00F01F1F" w:rsidRPr="004F507A">
        <w:rPr>
          <w:rFonts w:ascii="Arial" w:hAnsi="Arial" w:cs="Arial"/>
          <w:color w:val="000000"/>
          <w:sz w:val="22"/>
          <w:szCs w:val="22"/>
          <w:lang w:val="fr-FR"/>
        </w:rPr>
        <w:t>est du</w:t>
      </w:r>
      <w:r w:rsidR="006A38B7" w:rsidRPr="004F507A">
        <w:rPr>
          <w:rFonts w:ascii="Arial" w:hAnsi="Arial" w:cs="Arial"/>
          <w:color w:val="000000"/>
          <w:sz w:val="22"/>
          <w:szCs w:val="22"/>
          <w:lang w:val="fr-FR"/>
        </w:rPr>
        <w:t xml:space="preserve"> degré de participation des détenteurs de savoirs traditionnels à la création ou à la désignation d</w:t>
      </w:r>
      <w:r w:rsidR="006D7B02" w:rsidRPr="004F507A">
        <w:rPr>
          <w:rFonts w:ascii="Arial" w:hAnsi="Arial" w:cs="Arial"/>
          <w:color w:val="000000"/>
          <w:sz w:val="22"/>
          <w:szCs w:val="22"/>
          <w:lang w:val="fr-FR"/>
        </w:rPr>
        <w:t>’</w:t>
      </w:r>
      <w:r w:rsidR="006A38B7" w:rsidRPr="004F507A">
        <w:rPr>
          <w:rFonts w:ascii="Arial" w:hAnsi="Arial" w:cs="Arial"/>
          <w:color w:val="000000"/>
          <w:sz w:val="22"/>
          <w:szCs w:val="22"/>
          <w:lang w:val="fr-FR"/>
        </w:rPr>
        <w:t>une autorité compétente, ni pour ce qui est de savoir si la création d</w:t>
      </w:r>
      <w:r w:rsidR="006D7B02" w:rsidRPr="004F507A">
        <w:rPr>
          <w:rFonts w:ascii="Arial" w:hAnsi="Arial" w:cs="Arial"/>
          <w:color w:val="000000"/>
          <w:sz w:val="22"/>
          <w:szCs w:val="22"/>
          <w:lang w:val="fr-FR"/>
        </w:rPr>
        <w:t>’</w:t>
      </w:r>
      <w:r w:rsidR="006A38B7" w:rsidRPr="004F507A">
        <w:rPr>
          <w:rFonts w:ascii="Arial" w:hAnsi="Arial" w:cs="Arial"/>
          <w:color w:val="000000"/>
          <w:sz w:val="22"/>
          <w:szCs w:val="22"/>
          <w:lang w:val="fr-FR"/>
        </w:rPr>
        <w:t>une autorité compétente est obligatoire ou n</w:t>
      </w:r>
      <w:r w:rsidR="004F507A" w:rsidRPr="004F507A">
        <w:rPr>
          <w:rFonts w:ascii="Arial" w:hAnsi="Arial" w:cs="Arial"/>
          <w:color w:val="000000"/>
          <w:sz w:val="22"/>
          <w:szCs w:val="22"/>
          <w:lang w:val="fr-FR"/>
        </w:rPr>
        <w:t>on.  Se</w:t>
      </w:r>
      <w:r w:rsidR="006D6732" w:rsidRPr="004F507A">
        <w:rPr>
          <w:rFonts w:ascii="Arial" w:hAnsi="Arial" w:cs="Arial"/>
          <w:color w:val="000000"/>
          <w:sz w:val="22"/>
          <w:szCs w:val="22"/>
          <w:lang w:val="fr-FR"/>
        </w:rPr>
        <w:t>lon moi, une question essentielle que les États membres devraient se poser est de savoir s</w:t>
      </w:r>
      <w:r w:rsidR="006D7B02" w:rsidRPr="004F507A">
        <w:rPr>
          <w:rFonts w:ascii="Arial" w:hAnsi="Arial" w:cs="Arial"/>
          <w:color w:val="000000"/>
          <w:sz w:val="22"/>
          <w:szCs w:val="22"/>
          <w:lang w:val="fr-FR"/>
        </w:rPr>
        <w:t>’</w:t>
      </w:r>
      <w:r w:rsidR="006D6732" w:rsidRPr="004F507A">
        <w:rPr>
          <w:rFonts w:ascii="Arial" w:hAnsi="Arial" w:cs="Arial"/>
          <w:color w:val="000000"/>
          <w:sz w:val="22"/>
          <w:szCs w:val="22"/>
          <w:lang w:val="fr-FR"/>
        </w:rPr>
        <w:t>il convient de prévoir une certaine sou</w:t>
      </w:r>
      <w:r w:rsidR="00100D5C">
        <w:rPr>
          <w:rFonts w:ascii="Arial" w:hAnsi="Arial" w:cs="Arial"/>
          <w:color w:val="000000"/>
          <w:sz w:val="22"/>
          <w:szCs w:val="22"/>
          <w:lang w:val="fr-FR"/>
        </w:rPr>
        <w:t xml:space="preserve">plesse au niveau national pour la mise en </w:t>
      </w:r>
      <w:proofErr w:type="spellStart"/>
      <w:r w:rsidR="00100D5C">
        <w:rPr>
          <w:rFonts w:ascii="Arial" w:hAnsi="Arial" w:cs="Arial"/>
          <w:color w:val="000000"/>
          <w:sz w:val="22"/>
          <w:szCs w:val="22"/>
          <w:lang w:val="fr-FR"/>
        </w:rPr>
        <w:t>oeuvre</w:t>
      </w:r>
      <w:proofErr w:type="spellEnd"/>
      <w:r w:rsidR="006D6732" w:rsidRPr="004F507A">
        <w:rPr>
          <w:rFonts w:ascii="Arial" w:hAnsi="Arial" w:cs="Arial"/>
          <w:color w:val="000000"/>
          <w:sz w:val="22"/>
          <w:szCs w:val="22"/>
          <w:lang w:val="fr-FR"/>
        </w:rPr>
        <w:t xml:space="preserve"> des arrangements relatifs aux autorités compétentes</w:t>
      </w:r>
      <w:r w:rsidR="00100D5C">
        <w:rPr>
          <w:rFonts w:ascii="Arial" w:hAnsi="Arial" w:cs="Arial"/>
          <w:color w:val="000000"/>
          <w:sz w:val="22"/>
          <w:szCs w:val="22"/>
          <w:lang w:val="fr-FR"/>
        </w:rPr>
        <w:t>,</w:t>
      </w:r>
      <w:r w:rsidR="006D6732" w:rsidRPr="004F507A">
        <w:rPr>
          <w:rFonts w:ascii="Arial" w:hAnsi="Arial" w:cs="Arial"/>
          <w:color w:val="000000"/>
          <w:sz w:val="22"/>
          <w:szCs w:val="22"/>
          <w:lang w:val="fr-FR"/>
        </w:rPr>
        <w:t xml:space="preserve"> plutôt que de chercher à mettre en place une solution universelle.</w:t>
      </w:r>
    </w:p>
    <w:p w:rsidR="004F60C4" w:rsidRPr="004F507A" w:rsidRDefault="006D6732" w:rsidP="002B5624">
      <w:pPr>
        <w:tabs>
          <w:tab w:val="left" w:pos="567"/>
        </w:tabs>
        <w:spacing w:after="240"/>
        <w:rPr>
          <w:rFonts w:ascii="Arial" w:hAnsi="Arial" w:cs="Arial"/>
          <w:i/>
          <w:sz w:val="22"/>
          <w:szCs w:val="22"/>
          <w:lang w:val="fr-FR"/>
        </w:rPr>
      </w:pPr>
      <w:r w:rsidRPr="004F507A">
        <w:rPr>
          <w:rFonts w:ascii="Arial" w:hAnsi="Arial" w:cs="Arial"/>
          <w:i/>
          <w:color w:val="000000"/>
          <w:sz w:val="22"/>
          <w:szCs w:val="22"/>
          <w:lang w:val="fr-FR"/>
        </w:rPr>
        <w:t>Durée de la protection</w:t>
      </w:r>
    </w:p>
    <w:p w:rsidR="004F60C4" w:rsidRPr="004F507A" w:rsidRDefault="007C5259" w:rsidP="002B5624">
      <w:pPr>
        <w:tabs>
          <w:tab w:val="left" w:pos="567"/>
        </w:tabs>
        <w:spacing w:after="240"/>
        <w:rPr>
          <w:rFonts w:ascii="Arial" w:hAnsi="Arial" w:cs="Arial"/>
          <w:sz w:val="22"/>
          <w:szCs w:val="22"/>
          <w:lang w:val="fr-FR"/>
        </w:rPr>
      </w:pPr>
      <w:r w:rsidRPr="004F507A">
        <w:rPr>
          <w:rFonts w:ascii="Arial" w:hAnsi="Arial" w:cs="Arial"/>
          <w:sz w:val="22"/>
          <w:szCs w:val="22"/>
          <w:lang w:val="fr-FR"/>
        </w:rPr>
        <w:fldChar w:fldCharType="begin"/>
      </w:r>
      <w:r w:rsidRPr="004F507A">
        <w:rPr>
          <w:rFonts w:ascii="Arial" w:hAnsi="Arial" w:cs="Arial"/>
          <w:sz w:val="22"/>
          <w:szCs w:val="22"/>
          <w:lang w:val="fr-FR"/>
        </w:rPr>
        <w:instrText xml:space="preserve"> AUTONUM  </w:instrText>
      </w:r>
      <w:r w:rsidRPr="004F507A">
        <w:rPr>
          <w:rFonts w:ascii="Arial" w:hAnsi="Arial" w:cs="Arial"/>
          <w:sz w:val="22"/>
          <w:szCs w:val="22"/>
          <w:lang w:val="fr-FR"/>
        </w:rPr>
        <w:fldChar w:fldCharType="end"/>
      </w:r>
      <w:r w:rsidRPr="004F507A">
        <w:rPr>
          <w:rFonts w:ascii="Arial" w:hAnsi="Arial" w:cs="Arial"/>
          <w:sz w:val="22"/>
          <w:szCs w:val="22"/>
          <w:lang w:val="fr-FR"/>
        </w:rPr>
        <w:tab/>
      </w:r>
      <w:r w:rsidR="00E66B2F" w:rsidRPr="004F507A">
        <w:rPr>
          <w:rFonts w:ascii="Arial" w:hAnsi="Arial" w:cs="Arial"/>
          <w:color w:val="000000"/>
          <w:sz w:val="22"/>
          <w:szCs w:val="22"/>
          <w:lang w:val="fr-FR"/>
        </w:rPr>
        <w:t>Je ferais remarquer que l</w:t>
      </w:r>
      <w:r w:rsidR="006D7B02" w:rsidRPr="004F507A">
        <w:rPr>
          <w:rFonts w:ascii="Arial" w:hAnsi="Arial" w:cs="Arial"/>
          <w:color w:val="000000"/>
          <w:sz w:val="22"/>
          <w:szCs w:val="22"/>
          <w:lang w:val="fr-FR"/>
        </w:rPr>
        <w:t>’</w:t>
      </w:r>
      <w:r w:rsidR="00E66B2F" w:rsidRPr="004F507A">
        <w:rPr>
          <w:rFonts w:ascii="Arial" w:hAnsi="Arial" w:cs="Arial"/>
          <w:color w:val="000000"/>
          <w:sz w:val="22"/>
          <w:szCs w:val="22"/>
          <w:lang w:val="fr-FR"/>
        </w:rPr>
        <w:t>option</w:t>
      </w:r>
      <w:r w:rsidR="00192CB7">
        <w:rPr>
          <w:rFonts w:ascii="Arial" w:hAnsi="Arial" w:cs="Arial"/>
          <w:color w:val="000000"/>
          <w:sz w:val="22"/>
          <w:szCs w:val="22"/>
          <w:lang w:val="fr-FR"/>
        </w:rPr>
        <w:t> </w:t>
      </w:r>
      <w:r w:rsidR="00E66B2F" w:rsidRPr="004F507A">
        <w:rPr>
          <w:rFonts w:ascii="Arial" w:hAnsi="Arial" w:cs="Arial"/>
          <w:color w:val="000000"/>
          <w:sz w:val="22"/>
          <w:szCs w:val="22"/>
          <w:lang w:val="fr-FR"/>
        </w:rPr>
        <w:t>1 et l</w:t>
      </w:r>
      <w:r w:rsidR="006D7B02" w:rsidRPr="004F507A">
        <w:rPr>
          <w:rFonts w:ascii="Arial" w:hAnsi="Arial" w:cs="Arial"/>
          <w:color w:val="000000"/>
          <w:sz w:val="22"/>
          <w:szCs w:val="22"/>
          <w:lang w:val="fr-FR"/>
        </w:rPr>
        <w:t>’</w:t>
      </w:r>
      <w:r w:rsidR="00E66B2F" w:rsidRPr="004F507A">
        <w:rPr>
          <w:rFonts w:ascii="Arial" w:hAnsi="Arial" w:cs="Arial"/>
          <w:color w:val="000000"/>
          <w:sz w:val="22"/>
          <w:szCs w:val="22"/>
          <w:lang w:val="fr-FR"/>
        </w:rPr>
        <w:t>option</w:t>
      </w:r>
      <w:r w:rsidR="00192CB7">
        <w:rPr>
          <w:rFonts w:ascii="Arial" w:hAnsi="Arial" w:cs="Arial"/>
          <w:color w:val="000000"/>
          <w:sz w:val="22"/>
          <w:szCs w:val="22"/>
          <w:lang w:val="fr-FR"/>
        </w:rPr>
        <w:t> </w:t>
      </w:r>
      <w:r w:rsidR="00E66B2F" w:rsidRPr="004F507A">
        <w:rPr>
          <w:rFonts w:ascii="Arial" w:hAnsi="Arial" w:cs="Arial"/>
          <w:color w:val="000000"/>
          <w:sz w:val="22"/>
          <w:szCs w:val="22"/>
          <w:lang w:val="fr-FR"/>
        </w:rPr>
        <w:t>3 de l</w:t>
      </w:r>
      <w:r w:rsidR="006D7B02" w:rsidRPr="004F507A">
        <w:rPr>
          <w:rFonts w:ascii="Arial" w:hAnsi="Arial" w:cs="Arial"/>
          <w:color w:val="000000"/>
          <w:sz w:val="22"/>
          <w:szCs w:val="22"/>
          <w:lang w:val="fr-FR"/>
        </w:rPr>
        <w:t>’</w:t>
      </w:r>
      <w:r w:rsidR="00E66B2F" w:rsidRPr="004F507A">
        <w:rPr>
          <w:rFonts w:ascii="Arial" w:hAnsi="Arial" w:cs="Arial"/>
          <w:color w:val="000000"/>
          <w:sz w:val="22"/>
          <w:szCs w:val="22"/>
          <w:lang w:val="fr-FR"/>
        </w:rPr>
        <w:t>article</w:t>
      </w:r>
      <w:r w:rsidR="000E59D1" w:rsidRPr="004F507A">
        <w:rPr>
          <w:rFonts w:ascii="Arial" w:hAnsi="Arial" w:cs="Arial"/>
          <w:color w:val="000000"/>
          <w:sz w:val="22"/>
          <w:szCs w:val="22"/>
          <w:lang w:val="fr-FR"/>
        </w:rPr>
        <w:t> </w:t>
      </w:r>
      <w:r w:rsidR="00E66B2F" w:rsidRPr="004F507A">
        <w:rPr>
          <w:rFonts w:ascii="Arial" w:hAnsi="Arial" w:cs="Arial"/>
          <w:color w:val="000000"/>
          <w:sz w:val="22"/>
          <w:szCs w:val="22"/>
          <w:lang w:val="fr-FR"/>
        </w:rPr>
        <w:t>6 du texte relatif aux expressions culturelles traditionnel</w:t>
      </w:r>
      <w:r w:rsidR="0089650F" w:rsidRPr="004F507A">
        <w:rPr>
          <w:rFonts w:ascii="Arial" w:hAnsi="Arial" w:cs="Arial"/>
          <w:color w:val="000000"/>
          <w:sz w:val="22"/>
          <w:szCs w:val="22"/>
          <w:lang w:val="fr-FR"/>
        </w:rPr>
        <w:t>les établissent une distinction</w:t>
      </w:r>
      <w:r w:rsidR="00E66B2F" w:rsidRPr="004F507A">
        <w:rPr>
          <w:rFonts w:ascii="Arial" w:hAnsi="Arial" w:cs="Arial"/>
          <w:color w:val="000000"/>
          <w:sz w:val="22"/>
          <w:szCs w:val="22"/>
          <w:lang w:val="fr-FR"/>
        </w:rPr>
        <w:t xml:space="preserve"> entre droits moraux et droits patrimoniaux</w:t>
      </w:r>
      <w:r w:rsidR="00E66B2F" w:rsidRPr="004F507A">
        <w:rPr>
          <w:rStyle w:val="FootnoteReference"/>
          <w:rFonts w:ascii="Arial" w:hAnsi="Arial" w:cs="Arial"/>
          <w:color w:val="000000"/>
          <w:sz w:val="22"/>
          <w:szCs w:val="22"/>
          <w:lang w:val="fr-FR"/>
        </w:rPr>
        <w:footnoteReference w:id="7"/>
      </w:r>
      <w:r w:rsidR="00E66B2F" w:rsidRPr="004F507A">
        <w:rPr>
          <w:rFonts w:ascii="Arial" w:hAnsi="Arial" w:cs="Arial"/>
          <w:color w:val="000000"/>
          <w:sz w:val="22"/>
          <w:szCs w:val="22"/>
          <w:lang w:val="fr-FR"/>
        </w:rPr>
        <w:t>.</w:t>
      </w:r>
      <w:r w:rsidR="008C10BB" w:rsidRPr="004F507A">
        <w:rPr>
          <w:rFonts w:ascii="Arial" w:hAnsi="Arial"/>
          <w:color w:val="000000"/>
          <w:sz w:val="22"/>
          <w:lang w:val="fr-FR"/>
        </w:rPr>
        <w:t xml:space="preserve">  </w:t>
      </w:r>
      <w:r w:rsidR="0089650F" w:rsidRPr="004F507A">
        <w:rPr>
          <w:rFonts w:ascii="Arial" w:hAnsi="Arial" w:cs="Arial"/>
          <w:color w:val="000000"/>
          <w:sz w:val="22"/>
          <w:szCs w:val="22"/>
          <w:lang w:val="fr-FR"/>
        </w:rPr>
        <w:t>L</w:t>
      </w:r>
      <w:r w:rsidR="006D7B02" w:rsidRPr="004F507A">
        <w:rPr>
          <w:rFonts w:ascii="Arial" w:hAnsi="Arial" w:cs="Arial"/>
          <w:color w:val="000000"/>
          <w:sz w:val="22"/>
          <w:szCs w:val="22"/>
          <w:lang w:val="fr-FR"/>
        </w:rPr>
        <w:t>’</w:t>
      </w:r>
      <w:r w:rsidR="0089650F" w:rsidRPr="004F507A">
        <w:rPr>
          <w:rFonts w:ascii="Arial" w:hAnsi="Arial" w:cs="Arial"/>
          <w:color w:val="000000"/>
          <w:sz w:val="22"/>
          <w:szCs w:val="22"/>
          <w:lang w:val="fr-FR"/>
        </w:rPr>
        <w:t>IGC pourrait envisager l</w:t>
      </w:r>
      <w:r w:rsidR="006D7B02" w:rsidRPr="004F507A">
        <w:rPr>
          <w:rFonts w:ascii="Arial" w:hAnsi="Arial" w:cs="Arial"/>
          <w:color w:val="000000"/>
          <w:sz w:val="22"/>
          <w:szCs w:val="22"/>
          <w:lang w:val="fr-FR"/>
        </w:rPr>
        <w:t>’</w:t>
      </w:r>
      <w:r w:rsidR="0089650F" w:rsidRPr="004F507A">
        <w:rPr>
          <w:rFonts w:ascii="Arial" w:hAnsi="Arial" w:cs="Arial"/>
          <w:color w:val="000000"/>
          <w:sz w:val="22"/>
          <w:szCs w:val="22"/>
          <w:lang w:val="fr-FR"/>
        </w:rPr>
        <w:t>adoption d</w:t>
      </w:r>
      <w:r w:rsidR="006D7B02" w:rsidRPr="004F507A">
        <w:rPr>
          <w:rFonts w:ascii="Arial" w:hAnsi="Arial" w:cs="Arial"/>
          <w:color w:val="000000"/>
          <w:sz w:val="22"/>
          <w:szCs w:val="22"/>
          <w:lang w:val="fr-FR"/>
        </w:rPr>
        <w:t>’</w:t>
      </w:r>
      <w:r w:rsidR="0089650F" w:rsidRPr="004F507A">
        <w:rPr>
          <w:rFonts w:ascii="Arial" w:hAnsi="Arial" w:cs="Arial"/>
          <w:color w:val="000000"/>
          <w:sz w:val="22"/>
          <w:szCs w:val="22"/>
          <w:lang w:val="fr-FR"/>
        </w:rPr>
        <w:t>une approche similaire pour l</w:t>
      </w:r>
      <w:r w:rsidR="006D7B02" w:rsidRPr="004F507A">
        <w:rPr>
          <w:rFonts w:ascii="Arial" w:hAnsi="Arial" w:cs="Arial"/>
          <w:color w:val="000000"/>
          <w:sz w:val="22"/>
          <w:szCs w:val="22"/>
          <w:lang w:val="fr-FR"/>
        </w:rPr>
        <w:t>’</w:t>
      </w:r>
      <w:r w:rsidR="0089650F" w:rsidRPr="004F507A">
        <w:rPr>
          <w:rFonts w:ascii="Arial" w:hAnsi="Arial" w:cs="Arial"/>
          <w:color w:val="000000"/>
          <w:sz w:val="22"/>
          <w:szCs w:val="22"/>
          <w:lang w:val="fr-FR"/>
        </w:rPr>
        <w:t>article</w:t>
      </w:r>
      <w:r w:rsidR="000E59D1" w:rsidRPr="004F507A">
        <w:rPr>
          <w:rFonts w:ascii="Arial" w:hAnsi="Arial" w:cs="Arial"/>
          <w:color w:val="000000"/>
          <w:sz w:val="22"/>
          <w:szCs w:val="22"/>
          <w:lang w:val="fr-FR"/>
        </w:rPr>
        <w:t> </w:t>
      </w:r>
      <w:r w:rsidR="0089650F" w:rsidRPr="004F507A">
        <w:rPr>
          <w:rFonts w:ascii="Arial" w:hAnsi="Arial" w:cs="Arial"/>
          <w:color w:val="000000"/>
          <w:sz w:val="22"/>
          <w:szCs w:val="22"/>
          <w:lang w:val="fr-FR"/>
        </w:rPr>
        <w:t>7 du texte relatif aux savoirs traditionnels.</w:t>
      </w:r>
    </w:p>
    <w:p w:rsidR="004F60C4" w:rsidRPr="004F507A" w:rsidRDefault="0089650F" w:rsidP="002B5624">
      <w:pPr>
        <w:tabs>
          <w:tab w:val="left" w:pos="567"/>
        </w:tabs>
        <w:spacing w:after="240"/>
        <w:rPr>
          <w:rFonts w:ascii="Arial" w:hAnsi="Arial" w:cs="Arial"/>
          <w:i/>
          <w:sz w:val="22"/>
          <w:szCs w:val="22"/>
          <w:lang w:val="fr-FR"/>
        </w:rPr>
      </w:pPr>
      <w:r w:rsidRPr="004F507A">
        <w:rPr>
          <w:rFonts w:ascii="Arial" w:hAnsi="Arial" w:cs="Arial"/>
          <w:i/>
          <w:sz w:val="22"/>
          <w:szCs w:val="22"/>
          <w:lang w:val="fr-FR"/>
        </w:rPr>
        <w:t>Formalité</w:t>
      </w:r>
      <w:r w:rsidR="00F87564" w:rsidRPr="004F507A">
        <w:rPr>
          <w:rFonts w:ascii="Arial" w:hAnsi="Arial" w:cs="Arial"/>
          <w:i/>
          <w:sz w:val="22"/>
          <w:szCs w:val="22"/>
          <w:lang w:val="fr-FR"/>
        </w:rPr>
        <w:t>s</w:t>
      </w:r>
    </w:p>
    <w:p w:rsidR="006D7B02" w:rsidRPr="004F507A" w:rsidRDefault="0066556B" w:rsidP="002B5624">
      <w:pPr>
        <w:tabs>
          <w:tab w:val="left" w:pos="567"/>
        </w:tabs>
        <w:spacing w:after="240"/>
        <w:rPr>
          <w:rFonts w:ascii="Arial" w:hAnsi="Arial" w:cs="Arial"/>
          <w:sz w:val="22"/>
          <w:szCs w:val="22"/>
          <w:lang w:val="fr-FR"/>
        </w:rPr>
      </w:pPr>
      <w:r w:rsidRPr="004F507A">
        <w:rPr>
          <w:rFonts w:ascii="Arial" w:hAnsi="Arial" w:cs="Arial"/>
          <w:sz w:val="22"/>
          <w:szCs w:val="22"/>
          <w:lang w:val="fr-FR"/>
        </w:rPr>
        <w:fldChar w:fldCharType="begin"/>
      </w:r>
      <w:r w:rsidRPr="004F507A">
        <w:rPr>
          <w:rFonts w:ascii="Arial" w:hAnsi="Arial" w:cs="Arial"/>
          <w:sz w:val="22"/>
          <w:szCs w:val="22"/>
          <w:lang w:val="fr-FR"/>
        </w:rPr>
        <w:instrText xml:space="preserve"> AUTONUM  </w:instrText>
      </w:r>
      <w:r w:rsidRPr="004F507A">
        <w:rPr>
          <w:rFonts w:ascii="Arial" w:hAnsi="Arial" w:cs="Arial"/>
          <w:sz w:val="22"/>
          <w:szCs w:val="22"/>
          <w:lang w:val="fr-FR"/>
        </w:rPr>
        <w:fldChar w:fldCharType="end"/>
      </w:r>
      <w:r w:rsidRPr="004F507A">
        <w:rPr>
          <w:rFonts w:ascii="Arial" w:hAnsi="Arial" w:cs="Arial"/>
          <w:sz w:val="22"/>
          <w:szCs w:val="22"/>
          <w:lang w:val="fr-FR"/>
        </w:rPr>
        <w:tab/>
      </w:r>
      <w:r w:rsidR="0089650F" w:rsidRPr="004F507A">
        <w:rPr>
          <w:rFonts w:ascii="Arial" w:hAnsi="Arial" w:cs="Arial"/>
          <w:color w:val="000000"/>
          <w:sz w:val="22"/>
          <w:szCs w:val="22"/>
          <w:lang w:val="fr-FR"/>
        </w:rPr>
        <w:t>Les options présentées à l</w:t>
      </w:r>
      <w:r w:rsidR="006D7B02" w:rsidRPr="004F507A">
        <w:rPr>
          <w:rFonts w:ascii="Arial" w:hAnsi="Arial" w:cs="Arial"/>
          <w:color w:val="000000"/>
          <w:sz w:val="22"/>
          <w:szCs w:val="22"/>
          <w:lang w:val="fr-FR"/>
        </w:rPr>
        <w:t>’</w:t>
      </w:r>
      <w:r w:rsidR="0089650F" w:rsidRPr="004F507A">
        <w:rPr>
          <w:rFonts w:ascii="Arial" w:hAnsi="Arial" w:cs="Arial"/>
          <w:color w:val="000000"/>
          <w:sz w:val="22"/>
          <w:szCs w:val="22"/>
          <w:lang w:val="fr-FR"/>
        </w:rPr>
        <w:t>article</w:t>
      </w:r>
      <w:r w:rsidR="000E59D1" w:rsidRPr="004F507A">
        <w:rPr>
          <w:rFonts w:ascii="Arial" w:hAnsi="Arial" w:cs="Arial"/>
          <w:color w:val="000000"/>
          <w:sz w:val="22"/>
          <w:szCs w:val="22"/>
          <w:lang w:val="fr-FR"/>
        </w:rPr>
        <w:t> </w:t>
      </w:r>
      <w:r w:rsidR="0089650F" w:rsidRPr="004F507A">
        <w:rPr>
          <w:rFonts w:ascii="Arial" w:hAnsi="Arial" w:cs="Arial"/>
          <w:color w:val="000000"/>
          <w:sz w:val="22"/>
          <w:szCs w:val="22"/>
          <w:lang w:val="fr-FR"/>
        </w:rPr>
        <w:t>8 du document WIPO/GRTKF/IC/31/4 reflètent une divergence de vu</w:t>
      </w:r>
      <w:r w:rsidR="004F507A" w:rsidRPr="004F507A">
        <w:rPr>
          <w:rFonts w:ascii="Arial" w:hAnsi="Arial" w:cs="Arial"/>
          <w:color w:val="000000"/>
          <w:sz w:val="22"/>
          <w:szCs w:val="22"/>
          <w:lang w:val="fr-FR"/>
        </w:rPr>
        <w:t>es.  La</w:t>
      </w:r>
      <w:r w:rsidR="000B1A99" w:rsidRPr="004F507A">
        <w:rPr>
          <w:rFonts w:ascii="Arial" w:hAnsi="Arial" w:cs="Arial"/>
          <w:color w:val="000000"/>
          <w:sz w:val="22"/>
          <w:szCs w:val="22"/>
          <w:lang w:val="fr-FR"/>
        </w:rPr>
        <w:t xml:space="preserve"> variante concerne spécialement les savoirs traditionnels secrets/sacrés/étroitement liés à des peuples autochton</w:t>
      </w:r>
      <w:r w:rsidR="004F507A" w:rsidRPr="004F507A">
        <w:rPr>
          <w:rFonts w:ascii="Arial" w:hAnsi="Arial" w:cs="Arial"/>
          <w:color w:val="000000"/>
          <w:sz w:val="22"/>
          <w:szCs w:val="22"/>
          <w:lang w:val="fr-FR"/>
        </w:rPr>
        <w:t>es.  Ce</w:t>
      </w:r>
      <w:r w:rsidR="000B1A99" w:rsidRPr="004F507A">
        <w:rPr>
          <w:rFonts w:ascii="Arial" w:hAnsi="Arial" w:cs="Arial"/>
          <w:color w:val="000000"/>
          <w:sz w:val="22"/>
          <w:szCs w:val="22"/>
          <w:lang w:val="fr-FR"/>
        </w:rPr>
        <w:t>tte question a trait au type de droits qui seraient octroy</w:t>
      </w:r>
      <w:r w:rsidR="004F507A" w:rsidRPr="004F507A">
        <w:rPr>
          <w:rFonts w:ascii="Arial" w:hAnsi="Arial" w:cs="Arial"/>
          <w:color w:val="000000"/>
          <w:sz w:val="22"/>
          <w:szCs w:val="22"/>
          <w:lang w:val="fr-FR"/>
        </w:rPr>
        <w:t>és.  Po</w:t>
      </w:r>
      <w:r w:rsidR="000B1A99" w:rsidRPr="004F507A">
        <w:rPr>
          <w:rFonts w:ascii="Arial" w:hAnsi="Arial" w:cs="Arial"/>
          <w:color w:val="000000"/>
          <w:sz w:val="22"/>
          <w:szCs w:val="22"/>
          <w:lang w:val="fr-FR"/>
        </w:rPr>
        <w:t>ur examiner les formalités, l</w:t>
      </w:r>
      <w:r w:rsidR="006D7B02" w:rsidRPr="004F507A">
        <w:rPr>
          <w:rFonts w:ascii="Arial" w:hAnsi="Arial" w:cs="Arial"/>
          <w:color w:val="000000"/>
          <w:sz w:val="22"/>
          <w:szCs w:val="22"/>
          <w:lang w:val="fr-FR"/>
        </w:rPr>
        <w:t>’</w:t>
      </w:r>
      <w:r w:rsidR="000B1A99" w:rsidRPr="004F507A">
        <w:rPr>
          <w:rFonts w:ascii="Arial" w:hAnsi="Arial" w:cs="Arial"/>
          <w:color w:val="000000"/>
          <w:sz w:val="22"/>
          <w:szCs w:val="22"/>
          <w:lang w:val="fr-FR"/>
        </w:rPr>
        <w:t xml:space="preserve">IGC pourrait réfléchir </w:t>
      </w:r>
      <w:r w:rsidR="00F01F1F" w:rsidRPr="004F507A">
        <w:rPr>
          <w:rFonts w:ascii="Arial" w:hAnsi="Arial" w:cs="Arial"/>
          <w:color w:val="000000"/>
          <w:sz w:val="22"/>
          <w:szCs w:val="22"/>
          <w:lang w:val="fr-FR"/>
        </w:rPr>
        <w:t xml:space="preserve">aux </w:t>
      </w:r>
      <w:r w:rsidR="000B1A99" w:rsidRPr="004F507A">
        <w:rPr>
          <w:rFonts w:ascii="Arial" w:hAnsi="Arial" w:cs="Arial"/>
          <w:color w:val="000000"/>
          <w:sz w:val="22"/>
          <w:szCs w:val="22"/>
          <w:lang w:val="fr-FR"/>
        </w:rPr>
        <w:t>incidence</w:t>
      </w:r>
      <w:r w:rsidR="00F01F1F" w:rsidRPr="004F507A">
        <w:rPr>
          <w:rFonts w:ascii="Arial" w:hAnsi="Arial" w:cs="Arial"/>
          <w:color w:val="000000"/>
          <w:sz w:val="22"/>
          <w:szCs w:val="22"/>
          <w:lang w:val="fr-FR"/>
        </w:rPr>
        <w:t xml:space="preserve">s </w:t>
      </w:r>
      <w:r w:rsidR="000B1A99" w:rsidRPr="004F507A">
        <w:rPr>
          <w:rFonts w:ascii="Arial" w:hAnsi="Arial" w:cs="Arial"/>
          <w:color w:val="000000"/>
          <w:sz w:val="22"/>
          <w:szCs w:val="22"/>
          <w:lang w:val="fr-FR"/>
        </w:rPr>
        <w:t>que l</w:t>
      </w:r>
      <w:r w:rsidR="006D7B02" w:rsidRPr="004F507A">
        <w:rPr>
          <w:rFonts w:ascii="Arial" w:hAnsi="Arial" w:cs="Arial"/>
          <w:color w:val="000000"/>
          <w:sz w:val="22"/>
          <w:szCs w:val="22"/>
          <w:lang w:val="fr-FR"/>
        </w:rPr>
        <w:t>’</w:t>
      </w:r>
      <w:r w:rsidR="000B1A99" w:rsidRPr="004F507A">
        <w:rPr>
          <w:rFonts w:ascii="Arial" w:hAnsi="Arial" w:cs="Arial"/>
          <w:color w:val="000000"/>
          <w:sz w:val="22"/>
          <w:szCs w:val="22"/>
          <w:lang w:val="fr-FR"/>
        </w:rPr>
        <w:t>approche progressive décrite à l</w:t>
      </w:r>
      <w:r w:rsidR="006D7B02" w:rsidRPr="004F507A">
        <w:rPr>
          <w:rFonts w:ascii="Arial" w:hAnsi="Arial" w:cs="Arial"/>
          <w:color w:val="000000"/>
          <w:sz w:val="22"/>
          <w:szCs w:val="22"/>
          <w:lang w:val="fr-FR"/>
        </w:rPr>
        <w:t>’</w:t>
      </w:r>
      <w:r w:rsidR="000B1A99" w:rsidRPr="004F507A">
        <w:rPr>
          <w:rFonts w:ascii="Arial" w:hAnsi="Arial" w:cs="Arial"/>
          <w:color w:val="000000"/>
          <w:sz w:val="22"/>
          <w:szCs w:val="22"/>
          <w:lang w:val="fr-FR"/>
        </w:rPr>
        <w:t>article</w:t>
      </w:r>
      <w:r w:rsidR="000E59D1" w:rsidRPr="004F507A">
        <w:rPr>
          <w:rFonts w:ascii="Arial" w:hAnsi="Arial" w:cs="Arial"/>
          <w:color w:val="000000"/>
          <w:sz w:val="22"/>
          <w:szCs w:val="22"/>
          <w:lang w:val="fr-FR"/>
        </w:rPr>
        <w:t> </w:t>
      </w:r>
      <w:r w:rsidR="000B1A99" w:rsidRPr="004F507A">
        <w:rPr>
          <w:rFonts w:ascii="Arial" w:hAnsi="Arial" w:cs="Arial"/>
          <w:color w:val="000000"/>
          <w:sz w:val="22"/>
          <w:szCs w:val="22"/>
          <w:lang w:val="fr-FR"/>
        </w:rPr>
        <w:t>3 aurait sur d</w:t>
      </w:r>
      <w:r w:rsidR="006D7B02" w:rsidRPr="004F507A">
        <w:rPr>
          <w:rFonts w:ascii="Arial" w:hAnsi="Arial" w:cs="Arial"/>
          <w:color w:val="000000"/>
          <w:sz w:val="22"/>
          <w:szCs w:val="22"/>
          <w:lang w:val="fr-FR"/>
        </w:rPr>
        <w:t>’</w:t>
      </w:r>
      <w:r w:rsidR="000B1A99" w:rsidRPr="004F507A">
        <w:rPr>
          <w:rFonts w:ascii="Arial" w:hAnsi="Arial" w:cs="Arial"/>
          <w:color w:val="000000"/>
          <w:sz w:val="22"/>
          <w:szCs w:val="22"/>
          <w:lang w:val="fr-FR"/>
        </w:rPr>
        <w:t>éventuelles formalit</w:t>
      </w:r>
      <w:r w:rsidR="004F507A" w:rsidRPr="004F507A">
        <w:rPr>
          <w:rFonts w:ascii="Arial" w:hAnsi="Arial" w:cs="Arial"/>
          <w:color w:val="000000"/>
          <w:sz w:val="22"/>
          <w:szCs w:val="22"/>
          <w:lang w:val="fr-FR"/>
        </w:rPr>
        <w:t>és.  Il</w:t>
      </w:r>
      <w:r w:rsidR="003051DF" w:rsidRPr="004F507A">
        <w:rPr>
          <w:rFonts w:ascii="Arial" w:hAnsi="Arial" w:cs="Arial"/>
          <w:color w:val="000000"/>
          <w:sz w:val="22"/>
          <w:szCs w:val="22"/>
          <w:lang w:val="fr-FR"/>
        </w:rPr>
        <w:t xml:space="preserve"> pourrait, par exemple, envisager de définir des formalités uniquement pour certain</w:t>
      </w:r>
      <w:r w:rsidR="00100D5C">
        <w:rPr>
          <w:rFonts w:ascii="Arial" w:hAnsi="Arial" w:cs="Arial"/>
          <w:color w:val="000000"/>
          <w:sz w:val="22"/>
          <w:szCs w:val="22"/>
          <w:lang w:val="fr-FR"/>
        </w:rPr>
        <w:t>e</w:t>
      </w:r>
      <w:r w:rsidR="003051DF" w:rsidRPr="004F507A">
        <w:rPr>
          <w:rFonts w:ascii="Arial" w:hAnsi="Arial" w:cs="Arial"/>
          <w:color w:val="000000"/>
          <w:sz w:val="22"/>
          <w:szCs w:val="22"/>
          <w:lang w:val="fr-FR"/>
        </w:rPr>
        <w:t xml:space="preserve">s </w:t>
      </w:r>
      <w:r w:rsidR="00100D5C">
        <w:rPr>
          <w:rFonts w:ascii="Arial" w:hAnsi="Arial" w:cs="Arial"/>
          <w:color w:val="000000"/>
          <w:sz w:val="22"/>
          <w:szCs w:val="22"/>
          <w:lang w:val="fr-FR"/>
        </w:rPr>
        <w:t>form</w:t>
      </w:r>
      <w:r w:rsidR="003051DF" w:rsidRPr="004F507A">
        <w:rPr>
          <w:rFonts w:ascii="Arial" w:hAnsi="Arial" w:cs="Arial"/>
          <w:color w:val="000000"/>
          <w:sz w:val="22"/>
          <w:szCs w:val="22"/>
          <w:lang w:val="fr-FR"/>
        </w:rPr>
        <w:t>es de savoirs traditionne</w:t>
      </w:r>
      <w:r w:rsidR="004F507A" w:rsidRPr="004F507A">
        <w:rPr>
          <w:rFonts w:ascii="Arial" w:hAnsi="Arial" w:cs="Arial"/>
          <w:color w:val="000000"/>
          <w:sz w:val="22"/>
          <w:szCs w:val="22"/>
          <w:lang w:val="fr-FR"/>
        </w:rPr>
        <w:t>ls.  Il</w:t>
      </w:r>
      <w:r w:rsidR="003051DF" w:rsidRPr="004F507A">
        <w:rPr>
          <w:rFonts w:ascii="Arial" w:hAnsi="Arial" w:cs="Arial"/>
          <w:color w:val="000000"/>
          <w:sz w:val="22"/>
          <w:szCs w:val="22"/>
          <w:lang w:val="fr-FR"/>
        </w:rPr>
        <w:t xml:space="preserve"> pourrait aussi être intéressant de réfléchir à la possibilité de convenir que le traitement de cette question ait lieu au niveau national.</w:t>
      </w:r>
    </w:p>
    <w:p w:rsidR="004F60C4" w:rsidRPr="004F507A" w:rsidRDefault="003051DF" w:rsidP="002B5624">
      <w:pPr>
        <w:tabs>
          <w:tab w:val="left" w:pos="567"/>
        </w:tabs>
        <w:spacing w:after="240"/>
        <w:rPr>
          <w:rFonts w:ascii="Arial" w:hAnsi="Arial" w:cs="Arial"/>
          <w:i/>
          <w:sz w:val="22"/>
          <w:szCs w:val="22"/>
          <w:lang w:val="fr-FR"/>
        </w:rPr>
      </w:pPr>
      <w:r w:rsidRPr="004F507A">
        <w:rPr>
          <w:rFonts w:ascii="Arial" w:hAnsi="Arial" w:cs="Arial"/>
          <w:i/>
          <w:color w:val="000000"/>
          <w:sz w:val="22"/>
          <w:szCs w:val="22"/>
          <w:lang w:val="fr-FR"/>
        </w:rPr>
        <w:t>Mesures de transition</w:t>
      </w:r>
    </w:p>
    <w:p w:rsidR="004F60C4" w:rsidRPr="004F507A" w:rsidRDefault="007C5259" w:rsidP="002B5624">
      <w:pPr>
        <w:tabs>
          <w:tab w:val="left" w:pos="567"/>
        </w:tabs>
        <w:spacing w:after="240"/>
        <w:rPr>
          <w:rFonts w:ascii="Arial" w:hAnsi="Arial" w:cs="Arial"/>
          <w:sz w:val="22"/>
          <w:szCs w:val="22"/>
          <w:lang w:val="fr-FR"/>
        </w:rPr>
      </w:pPr>
      <w:r w:rsidRPr="004F507A">
        <w:rPr>
          <w:rFonts w:ascii="Arial" w:hAnsi="Arial" w:cs="Arial"/>
          <w:sz w:val="22"/>
          <w:szCs w:val="22"/>
          <w:lang w:val="fr-FR"/>
        </w:rPr>
        <w:fldChar w:fldCharType="begin"/>
      </w:r>
      <w:r w:rsidRPr="004F507A">
        <w:rPr>
          <w:rFonts w:ascii="Arial" w:hAnsi="Arial" w:cs="Arial"/>
          <w:sz w:val="22"/>
          <w:szCs w:val="22"/>
          <w:lang w:val="fr-FR"/>
        </w:rPr>
        <w:instrText xml:space="preserve"> AUTONUM  </w:instrText>
      </w:r>
      <w:r w:rsidRPr="004F507A">
        <w:rPr>
          <w:rFonts w:ascii="Arial" w:hAnsi="Arial" w:cs="Arial"/>
          <w:sz w:val="22"/>
          <w:szCs w:val="22"/>
          <w:lang w:val="fr-FR"/>
        </w:rPr>
        <w:fldChar w:fldCharType="end"/>
      </w:r>
      <w:r w:rsidRPr="004F507A">
        <w:rPr>
          <w:rFonts w:ascii="Arial" w:hAnsi="Arial" w:cs="Arial"/>
          <w:sz w:val="22"/>
          <w:szCs w:val="22"/>
          <w:lang w:val="fr-FR"/>
        </w:rPr>
        <w:tab/>
      </w:r>
      <w:r w:rsidR="003051DF" w:rsidRPr="004F507A">
        <w:rPr>
          <w:rFonts w:ascii="Arial" w:hAnsi="Arial" w:cs="Arial"/>
          <w:sz w:val="22"/>
          <w:szCs w:val="22"/>
          <w:lang w:val="fr-FR"/>
        </w:rPr>
        <w:t>L</w:t>
      </w:r>
      <w:r w:rsidR="006D7B02" w:rsidRPr="004F507A">
        <w:rPr>
          <w:rFonts w:ascii="Arial" w:hAnsi="Arial" w:cs="Arial"/>
          <w:sz w:val="22"/>
          <w:szCs w:val="22"/>
          <w:lang w:val="fr-FR"/>
        </w:rPr>
        <w:t>’</w:t>
      </w:r>
      <w:r w:rsidR="003051DF" w:rsidRPr="004F507A">
        <w:rPr>
          <w:rFonts w:ascii="Arial" w:hAnsi="Arial" w:cs="Arial"/>
          <w:sz w:val="22"/>
          <w:szCs w:val="22"/>
          <w:lang w:val="fr-FR"/>
        </w:rPr>
        <w:t>article</w:t>
      </w:r>
      <w:r w:rsidR="000E59D1" w:rsidRPr="004F507A">
        <w:rPr>
          <w:rFonts w:ascii="Arial" w:hAnsi="Arial" w:cs="Arial"/>
          <w:sz w:val="22"/>
          <w:szCs w:val="22"/>
          <w:lang w:val="fr-FR"/>
        </w:rPr>
        <w:t> </w:t>
      </w:r>
      <w:r w:rsidR="003051DF" w:rsidRPr="004F507A">
        <w:rPr>
          <w:rFonts w:ascii="Arial" w:hAnsi="Arial" w:cs="Arial"/>
          <w:sz w:val="22"/>
          <w:szCs w:val="22"/>
          <w:lang w:val="fr-FR"/>
        </w:rPr>
        <w:t>9 du texte relatif aux expressions culturelles traditionnelles</w:t>
      </w:r>
      <w:r w:rsidR="003051DF" w:rsidRPr="004F507A">
        <w:rPr>
          <w:rStyle w:val="FootnoteReference"/>
          <w:rFonts w:ascii="Arial" w:hAnsi="Arial" w:cs="Arial"/>
          <w:sz w:val="22"/>
          <w:szCs w:val="22"/>
          <w:lang w:val="fr-FR"/>
        </w:rPr>
        <w:footnoteReference w:id="8"/>
      </w:r>
      <w:r w:rsidR="003051DF" w:rsidRPr="004F507A">
        <w:rPr>
          <w:rFonts w:ascii="Arial" w:hAnsi="Arial" w:cs="Arial"/>
          <w:sz w:val="22"/>
          <w:szCs w:val="22"/>
          <w:lang w:val="fr-FR"/>
        </w:rPr>
        <w:t xml:space="preserve"> traite également de cette question, mais d</w:t>
      </w:r>
      <w:r w:rsidR="006D7B02" w:rsidRPr="004F507A">
        <w:rPr>
          <w:rFonts w:ascii="Arial" w:hAnsi="Arial" w:cs="Arial"/>
          <w:sz w:val="22"/>
          <w:szCs w:val="22"/>
          <w:lang w:val="fr-FR"/>
        </w:rPr>
        <w:t>’</w:t>
      </w:r>
      <w:r w:rsidR="003051DF" w:rsidRPr="004F507A">
        <w:rPr>
          <w:rFonts w:ascii="Arial" w:hAnsi="Arial" w:cs="Arial"/>
          <w:sz w:val="22"/>
          <w:szCs w:val="22"/>
          <w:lang w:val="fr-FR"/>
        </w:rPr>
        <w:t xml:space="preserve">une manière différente.  </w:t>
      </w:r>
      <w:r w:rsidR="00765401" w:rsidRPr="004F507A">
        <w:rPr>
          <w:rFonts w:ascii="Arial" w:hAnsi="Arial" w:cs="Arial"/>
          <w:sz w:val="22"/>
          <w:szCs w:val="22"/>
          <w:lang w:val="fr-FR"/>
        </w:rPr>
        <w:t>L</w:t>
      </w:r>
      <w:r w:rsidR="006D7B02" w:rsidRPr="004F507A">
        <w:rPr>
          <w:rFonts w:ascii="Arial" w:hAnsi="Arial" w:cs="Arial"/>
          <w:sz w:val="22"/>
          <w:szCs w:val="22"/>
          <w:lang w:val="fr-FR"/>
        </w:rPr>
        <w:t>’</w:t>
      </w:r>
      <w:r w:rsidR="00765401" w:rsidRPr="004F507A">
        <w:rPr>
          <w:rFonts w:ascii="Arial" w:hAnsi="Arial" w:cs="Arial"/>
          <w:sz w:val="22"/>
          <w:szCs w:val="22"/>
          <w:lang w:val="fr-FR"/>
        </w:rPr>
        <w:t>IGC pourrait mettre les deux</w:t>
      </w:r>
      <w:r w:rsidR="000E59D1" w:rsidRPr="004F507A">
        <w:rPr>
          <w:rFonts w:ascii="Arial" w:hAnsi="Arial" w:cs="Arial"/>
          <w:sz w:val="22"/>
          <w:szCs w:val="22"/>
          <w:lang w:val="fr-FR"/>
        </w:rPr>
        <w:t> </w:t>
      </w:r>
      <w:r w:rsidR="00765401" w:rsidRPr="004F507A">
        <w:rPr>
          <w:rFonts w:ascii="Arial" w:hAnsi="Arial" w:cs="Arial"/>
          <w:sz w:val="22"/>
          <w:szCs w:val="22"/>
          <w:lang w:val="fr-FR"/>
        </w:rPr>
        <w:t xml:space="preserve">textes en regard et modifier comme il convient </w:t>
      </w:r>
      <w:r w:rsidR="00F01F1F" w:rsidRPr="004F507A">
        <w:rPr>
          <w:rFonts w:ascii="Arial" w:hAnsi="Arial" w:cs="Arial"/>
          <w:sz w:val="22"/>
          <w:szCs w:val="22"/>
          <w:lang w:val="fr-FR"/>
        </w:rPr>
        <w:t>celui consacré</w:t>
      </w:r>
      <w:r w:rsidR="00765401" w:rsidRPr="004F507A">
        <w:rPr>
          <w:rFonts w:ascii="Arial" w:hAnsi="Arial" w:cs="Arial"/>
          <w:sz w:val="22"/>
          <w:szCs w:val="22"/>
          <w:lang w:val="fr-FR"/>
        </w:rPr>
        <w:t xml:space="preserve"> aux savoirs traditionnels.</w:t>
      </w:r>
    </w:p>
    <w:p w:rsidR="004F60C4" w:rsidRPr="004F507A" w:rsidRDefault="00765401" w:rsidP="00192CB7">
      <w:pPr>
        <w:keepNext/>
        <w:keepLines/>
        <w:tabs>
          <w:tab w:val="left" w:pos="567"/>
        </w:tabs>
        <w:spacing w:after="240"/>
        <w:rPr>
          <w:rFonts w:ascii="Arial" w:hAnsi="Arial" w:cs="Arial"/>
          <w:i/>
          <w:sz w:val="22"/>
          <w:szCs w:val="22"/>
          <w:lang w:val="fr-FR"/>
        </w:rPr>
      </w:pPr>
      <w:r w:rsidRPr="004F507A">
        <w:rPr>
          <w:rFonts w:ascii="Arial" w:hAnsi="Arial" w:cs="Arial"/>
          <w:i/>
          <w:sz w:val="22"/>
          <w:szCs w:val="22"/>
          <w:lang w:val="fr-FR"/>
        </w:rPr>
        <w:lastRenderedPageBreak/>
        <w:t>Relation avec d</w:t>
      </w:r>
      <w:r w:rsidR="006D7B02" w:rsidRPr="004F507A">
        <w:rPr>
          <w:rFonts w:ascii="Arial" w:hAnsi="Arial" w:cs="Arial"/>
          <w:i/>
          <w:sz w:val="22"/>
          <w:szCs w:val="22"/>
          <w:lang w:val="fr-FR"/>
        </w:rPr>
        <w:t>’</w:t>
      </w:r>
      <w:r w:rsidRPr="004F507A">
        <w:rPr>
          <w:rFonts w:ascii="Arial" w:hAnsi="Arial" w:cs="Arial"/>
          <w:i/>
          <w:sz w:val="22"/>
          <w:szCs w:val="22"/>
          <w:lang w:val="fr-FR"/>
        </w:rPr>
        <w:t>autres accords internationaux</w:t>
      </w:r>
    </w:p>
    <w:p w:rsidR="004F60C4" w:rsidRPr="004F507A" w:rsidRDefault="0066556B" w:rsidP="00192CB7">
      <w:pPr>
        <w:keepNext/>
        <w:keepLines/>
        <w:tabs>
          <w:tab w:val="left" w:pos="567"/>
        </w:tabs>
        <w:spacing w:after="240"/>
        <w:rPr>
          <w:rFonts w:ascii="Arial" w:hAnsi="Arial" w:cs="Arial"/>
          <w:sz w:val="22"/>
          <w:szCs w:val="22"/>
          <w:lang w:val="fr-FR"/>
        </w:rPr>
      </w:pPr>
      <w:r w:rsidRPr="004F507A">
        <w:rPr>
          <w:rFonts w:ascii="Arial" w:hAnsi="Arial" w:cs="Arial"/>
          <w:sz w:val="22"/>
          <w:szCs w:val="22"/>
          <w:lang w:val="fr-FR"/>
        </w:rPr>
        <w:fldChar w:fldCharType="begin"/>
      </w:r>
      <w:r w:rsidRPr="004F507A">
        <w:rPr>
          <w:rFonts w:ascii="Arial" w:hAnsi="Arial" w:cs="Arial"/>
          <w:sz w:val="22"/>
          <w:szCs w:val="22"/>
          <w:lang w:val="fr-FR"/>
        </w:rPr>
        <w:instrText xml:space="preserve"> AUTONUM  </w:instrText>
      </w:r>
      <w:r w:rsidRPr="004F507A">
        <w:rPr>
          <w:rFonts w:ascii="Arial" w:hAnsi="Arial" w:cs="Arial"/>
          <w:sz w:val="22"/>
          <w:szCs w:val="22"/>
          <w:lang w:val="fr-FR"/>
        </w:rPr>
        <w:fldChar w:fldCharType="end"/>
      </w:r>
      <w:r w:rsidRPr="004F507A">
        <w:rPr>
          <w:rFonts w:ascii="Arial" w:hAnsi="Arial" w:cs="Arial"/>
          <w:sz w:val="22"/>
          <w:szCs w:val="22"/>
          <w:lang w:val="fr-FR"/>
        </w:rPr>
        <w:tab/>
      </w:r>
      <w:r w:rsidR="00DE54EB" w:rsidRPr="004F507A">
        <w:rPr>
          <w:rFonts w:ascii="Arial" w:hAnsi="Arial" w:cs="Arial"/>
          <w:sz w:val="22"/>
          <w:szCs w:val="22"/>
          <w:lang w:val="fr-FR"/>
        </w:rPr>
        <w:t>Le texte relatif aux ressources génétiques</w:t>
      </w:r>
      <w:r w:rsidR="00DE54EB" w:rsidRPr="004F507A">
        <w:rPr>
          <w:rStyle w:val="FootnoteReference"/>
          <w:rFonts w:ascii="Arial" w:hAnsi="Arial" w:cs="Arial"/>
          <w:sz w:val="22"/>
          <w:szCs w:val="22"/>
          <w:lang w:val="fr-FR"/>
        </w:rPr>
        <w:footnoteReference w:id="9"/>
      </w:r>
      <w:r w:rsidR="00DE54EB" w:rsidRPr="004F507A">
        <w:rPr>
          <w:rFonts w:ascii="Arial" w:hAnsi="Arial" w:cs="Arial"/>
          <w:sz w:val="22"/>
          <w:szCs w:val="22"/>
          <w:lang w:val="fr-FR"/>
        </w:rPr>
        <w:t xml:space="preserve"> (alinéa</w:t>
      </w:r>
      <w:r w:rsidR="000E59D1" w:rsidRPr="004F507A">
        <w:rPr>
          <w:rFonts w:ascii="Arial" w:hAnsi="Arial" w:cs="Arial"/>
          <w:sz w:val="22"/>
          <w:szCs w:val="22"/>
          <w:lang w:val="fr-FR"/>
        </w:rPr>
        <w:t> </w:t>
      </w:r>
      <w:r w:rsidR="00DE54EB" w:rsidRPr="004F507A">
        <w:rPr>
          <w:rFonts w:ascii="Arial" w:hAnsi="Arial" w:cs="Arial"/>
          <w:sz w:val="22"/>
          <w:szCs w:val="22"/>
          <w:lang w:val="fr-FR"/>
        </w:rPr>
        <w:t>8.3) et le texte relatif aux expressions culturelles traditionnelles</w:t>
      </w:r>
      <w:r w:rsidR="00DE54EB" w:rsidRPr="004F507A">
        <w:rPr>
          <w:rStyle w:val="FootnoteReference"/>
          <w:rFonts w:ascii="Arial" w:hAnsi="Arial" w:cs="Arial"/>
          <w:sz w:val="22"/>
          <w:szCs w:val="22"/>
          <w:lang w:val="fr-FR"/>
        </w:rPr>
        <w:footnoteReference w:id="10"/>
      </w:r>
      <w:r w:rsidR="00DE54EB" w:rsidRPr="004F507A">
        <w:rPr>
          <w:rFonts w:ascii="Arial" w:hAnsi="Arial" w:cs="Arial"/>
          <w:sz w:val="22"/>
          <w:szCs w:val="22"/>
          <w:lang w:val="fr-FR"/>
        </w:rPr>
        <w:t xml:space="preserve"> (article</w:t>
      </w:r>
      <w:r w:rsidR="000E59D1" w:rsidRPr="004F507A">
        <w:rPr>
          <w:rFonts w:ascii="Arial" w:hAnsi="Arial" w:cs="Arial"/>
          <w:sz w:val="22"/>
          <w:szCs w:val="22"/>
          <w:lang w:val="fr-FR"/>
        </w:rPr>
        <w:t> </w:t>
      </w:r>
      <w:r w:rsidR="00DE54EB" w:rsidRPr="004F507A">
        <w:rPr>
          <w:rFonts w:ascii="Arial" w:hAnsi="Arial" w:cs="Arial"/>
          <w:sz w:val="22"/>
          <w:szCs w:val="22"/>
          <w:lang w:val="fr-FR"/>
        </w:rPr>
        <w:t>10) prévoient une clause de non</w:t>
      </w:r>
      <w:r w:rsidR="00525EB9">
        <w:rPr>
          <w:rFonts w:ascii="Arial" w:hAnsi="Arial" w:cs="Arial"/>
          <w:sz w:val="22"/>
          <w:szCs w:val="22"/>
          <w:lang w:val="fr-FR"/>
        </w:rPr>
        <w:noBreakHyphen/>
      </w:r>
      <w:r w:rsidR="00DE54EB" w:rsidRPr="004F507A">
        <w:rPr>
          <w:rFonts w:ascii="Arial" w:hAnsi="Arial" w:cs="Arial"/>
          <w:sz w:val="22"/>
          <w:szCs w:val="22"/>
          <w:lang w:val="fr-FR"/>
        </w:rPr>
        <w:t>diminution concernant les droits des peuples autochtones.  L</w:t>
      </w:r>
      <w:r w:rsidR="006D7B02" w:rsidRPr="004F507A">
        <w:rPr>
          <w:rFonts w:ascii="Arial" w:hAnsi="Arial" w:cs="Arial"/>
          <w:sz w:val="22"/>
          <w:szCs w:val="22"/>
          <w:lang w:val="fr-FR"/>
        </w:rPr>
        <w:t>’</w:t>
      </w:r>
      <w:r w:rsidR="00DE54EB" w:rsidRPr="004F507A">
        <w:rPr>
          <w:rFonts w:ascii="Arial" w:hAnsi="Arial" w:cs="Arial"/>
          <w:sz w:val="22"/>
          <w:szCs w:val="22"/>
          <w:lang w:val="fr-FR"/>
        </w:rPr>
        <w:t>IGC pourrait envisager d</w:t>
      </w:r>
      <w:r w:rsidR="006D7B02" w:rsidRPr="004F507A">
        <w:rPr>
          <w:rFonts w:ascii="Arial" w:hAnsi="Arial" w:cs="Arial"/>
          <w:sz w:val="22"/>
          <w:szCs w:val="22"/>
          <w:lang w:val="fr-FR"/>
        </w:rPr>
        <w:t>’</w:t>
      </w:r>
      <w:r w:rsidR="00DE54EB" w:rsidRPr="004F507A">
        <w:rPr>
          <w:rFonts w:ascii="Arial" w:hAnsi="Arial" w:cs="Arial"/>
          <w:sz w:val="22"/>
          <w:szCs w:val="22"/>
          <w:lang w:val="fr-FR"/>
        </w:rPr>
        <w:t>incorporer une clause de non</w:t>
      </w:r>
      <w:r w:rsidR="00525EB9">
        <w:rPr>
          <w:rFonts w:ascii="Arial" w:hAnsi="Arial" w:cs="Arial"/>
          <w:sz w:val="22"/>
          <w:szCs w:val="22"/>
          <w:lang w:val="fr-FR"/>
        </w:rPr>
        <w:noBreakHyphen/>
      </w:r>
      <w:r w:rsidR="00DE54EB" w:rsidRPr="004F507A">
        <w:rPr>
          <w:rFonts w:ascii="Arial" w:hAnsi="Arial" w:cs="Arial"/>
          <w:sz w:val="22"/>
          <w:szCs w:val="22"/>
          <w:lang w:val="fr-FR"/>
        </w:rPr>
        <w:t>diminution dans le texte relatif aux savoirs traditionnels.</w:t>
      </w:r>
    </w:p>
    <w:p w:rsidR="004F60C4" w:rsidRPr="004F507A" w:rsidRDefault="00DE54EB" w:rsidP="002B5624">
      <w:pPr>
        <w:tabs>
          <w:tab w:val="left" w:pos="567"/>
        </w:tabs>
        <w:spacing w:after="240"/>
        <w:rPr>
          <w:rFonts w:ascii="Arial" w:hAnsi="Arial" w:cs="Arial"/>
          <w:i/>
          <w:sz w:val="22"/>
          <w:szCs w:val="22"/>
          <w:lang w:val="fr-FR"/>
        </w:rPr>
      </w:pPr>
      <w:r w:rsidRPr="004F507A">
        <w:rPr>
          <w:rFonts w:ascii="Arial" w:hAnsi="Arial" w:cs="Arial"/>
          <w:i/>
          <w:sz w:val="22"/>
          <w:szCs w:val="22"/>
          <w:lang w:val="fr-FR"/>
        </w:rPr>
        <w:t>Traitement national</w:t>
      </w:r>
    </w:p>
    <w:p w:rsidR="004F60C4" w:rsidRPr="004F507A" w:rsidRDefault="007C5259" w:rsidP="002B5624">
      <w:pPr>
        <w:tabs>
          <w:tab w:val="left" w:pos="567"/>
        </w:tabs>
        <w:spacing w:after="240"/>
        <w:rPr>
          <w:rFonts w:ascii="Arial" w:hAnsi="Arial" w:cs="Arial"/>
          <w:sz w:val="22"/>
          <w:szCs w:val="22"/>
          <w:highlight w:val="yellow"/>
          <w:lang w:val="fr-FR"/>
        </w:rPr>
      </w:pPr>
      <w:r w:rsidRPr="004F507A">
        <w:rPr>
          <w:rFonts w:ascii="Arial" w:hAnsi="Arial" w:cs="Arial"/>
          <w:sz w:val="22"/>
          <w:szCs w:val="22"/>
          <w:lang w:val="fr-FR"/>
        </w:rPr>
        <w:fldChar w:fldCharType="begin"/>
      </w:r>
      <w:r w:rsidRPr="004F507A">
        <w:rPr>
          <w:rFonts w:ascii="Arial" w:hAnsi="Arial" w:cs="Arial"/>
          <w:sz w:val="22"/>
          <w:szCs w:val="22"/>
          <w:lang w:val="fr-FR"/>
        </w:rPr>
        <w:instrText xml:space="preserve"> AUTONUM  </w:instrText>
      </w:r>
      <w:r w:rsidRPr="004F507A">
        <w:rPr>
          <w:rFonts w:ascii="Arial" w:hAnsi="Arial" w:cs="Arial"/>
          <w:sz w:val="22"/>
          <w:szCs w:val="22"/>
          <w:lang w:val="fr-FR"/>
        </w:rPr>
        <w:fldChar w:fldCharType="end"/>
      </w:r>
      <w:r w:rsidRPr="004F507A">
        <w:rPr>
          <w:rFonts w:ascii="Arial" w:hAnsi="Arial" w:cs="Arial"/>
          <w:sz w:val="22"/>
          <w:szCs w:val="22"/>
          <w:lang w:val="fr-FR"/>
        </w:rPr>
        <w:tab/>
      </w:r>
      <w:r w:rsidR="00DE54EB" w:rsidRPr="004F507A">
        <w:rPr>
          <w:rFonts w:ascii="Arial" w:hAnsi="Arial" w:cs="Arial"/>
          <w:sz w:val="22"/>
          <w:szCs w:val="22"/>
          <w:lang w:val="fr-FR"/>
        </w:rPr>
        <w:t>Cette question est traitée à l</w:t>
      </w:r>
      <w:r w:rsidR="006D7B02" w:rsidRPr="004F507A">
        <w:rPr>
          <w:rFonts w:ascii="Arial" w:hAnsi="Arial" w:cs="Arial"/>
          <w:sz w:val="22"/>
          <w:szCs w:val="22"/>
          <w:lang w:val="fr-FR"/>
        </w:rPr>
        <w:t>’</w:t>
      </w:r>
      <w:r w:rsidR="00DE54EB" w:rsidRPr="004F507A">
        <w:rPr>
          <w:rFonts w:ascii="Arial" w:hAnsi="Arial" w:cs="Arial"/>
          <w:sz w:val="22"/>
          <w:szCs w:val="22"/>
          <w:lang w:val="fr-FR"/>
        </w:rPr>
        <w:t>article</w:t>
      </w:r>
      <w:r w:rsidR="000E59D1" w:rsidRPr="004F507A">
        <w:rPr>
          <w:rFonts w:ascii="Arial" w:hAnsi="Arial" w:cs="Arial"/>
          <w:sz w:val="22"/>
          <w:szCs w:val="22"/>
          <w:lang w:val="fr-FR"/>
        </w:rPr>
        <w:t> </w:t>
      </w:r>
      <w:r w:rsidR="00DE54EB" w:rsidRPr="004F507A">
        <w:rPr>
          <w:rFonts w:ascii="Arial" w:hAnsi="Arial" w:cs="Arial"/>
          <w:sz w:val="22"/>
          <w:szCs w:val="22"/>
          <w:lang w:val="fr-FR"/>
        </w:rPr>
        <w:t>11 du texte relatif aux expressions culturelles traditionnelles</w:t>
      </w:r>
      <w:r w:rsidR="004F60C4" w:rsidRPr="004F507A">
        <w:rPr>
          <w:rStyle w:val="FootnoteReference"/>
          <w:rFonts w:ascii="Arial" w:hAnsi="Arial" w:cs="Arial"/>
          <w:sz w:val="22"/>
          <w:szCs w:val="22"/>
          <w:lang w:val="fr-FR"/>
        </w:rPr>
        <w:footnoteReference w:id="11"/>
      </w:r>
      <w:r w:rsidR="00DE54EB" w:rsidRPr="004F507A">
        <w:rPr>
          <w:rFonts w:ascii="Arial" w:hAnsi="Arial" w:cs="Arial"/>
          <w:sz w:val="22"/>
          <w:szCs w:val="22"/>
          <w:lang w:val="fr-FR"/>
        </w:rPr>
        <w:t xml:space="preserve"> ainsi qu</w:t>
      </w:r>
      <w:r w:rsidR="006D7B02" w:rsidRPr="004F507A">
        <w:rPr>
          <w:rFonts w:ascii="Arial" w:hAnsi="Arial" w:cs="Arial"/>
          <w:sz w:val="22"/>
          <w:szCs w:val="22"/>
          <w:lang w:val="fr-FR"/>
        </w:rPr>
        <w:t>’</w:t>
      </w:r>
      <w:r w:rsidR="00DE54EB" w:rsidRPr="004F507A">
        <w:rPr>
          <w:rFonts w:ascii="Arial" w:hAnsi="Arial" w:cs="Arial"/>
          <w:sz w:val="22"/>
          <w:szCs w:val="22"/>
          <w:lang w:val="fr-FR"/>
        </w:rPr>
        <w:t>à l</w:t>
      </w:r>
      <w:r w:rsidR="006D7B02" w:rsidRPr="004F507A">
        <w:rPr>
          <w:rFonts w:ascii="Arial" w:hAnsi="Arial" w:cs="Arial"/>
          <w:sz w:val="22"/>
          <w:szCs w:val="22"/>
          <w:lang w:val="fr-FR"/>
        </w:rPr>
        <w:t>’</w:t>
      </w:r>
      <w:r w:rsidR="00DE54EB" w:rsidRPr="004F507A">
        <w:rPr>
          <w:rFonts w:ascii="Arial" w:hAnsi="Arial" w:cs="Arial"/>
          <w:sz w:val="22"/>
          <w:szCs w:val="22"/>
          <w:lang w:val="fr-FR"/>
        </w:rPr>
        <w:t>article</w:t>
      </w:r>
      <w:r w:rsidR="000E59D1" w:rsidRPr="004F507A">
        <w:rPr>
          <w:rFonts w:ascii="Arial" w:hAnsi="Arial" w:cs="Arial"/>
          <w:sz w:val="22"/>
          <w:szCs w:val="22"/>
          <w:lang w:val="fr-FR"/>
        </w:rPr>
        <w:t> </w:t>
      </w:r>
      <w:r w:rsidR="00DE54EB" w:rsidRPr="004F507A">
        <w:rPr>
          <w:rFonts w:ascii="Arial" w:hAnsi="Arial" w:cs="Arial"/>
          <w:sz w:val="22"/>
          <w:szCs w:val="22"/>
          <w:lang w:val="fr-FR"/>
        </w:rPr>
        <w:t xml:space="preserve">11 du texte relatif aux savoirs </w:t>
      </w:r>
      <w:r w:rsidR="004F60C4" w:rsidRPr="004F507A">
        <w:rPr>
          <w:rFonts w:ascii="Arial" w:hAnsi="Arial" w:cs="Arial"/>
          <w:sz w:val="22"/>
          <w:szCs w:val="22"/>
          <w:lang w:val="fr-FR"/>
        </w:rPr>
        <w:t xml:space="preserve">traditionnels, mais </w:t>
      </w:r>
      <w:r w:rsidR="00F01F1F" w:rsidRPr="004F507A">
        <w:rPr>
          <w:rFonts w:ascii="Arial" w:hAnsi="Arial" w:cs="Arial"/>
          <w:sz w:val="22"/>
          <w:szCs w:val="22"/>
          <w:lang w:val="fr-FR"/>
        </w:rPr>
        <w:t>selon deux</w:t>
      </w:r>
      <w:r w:rsidR="000E59D1" w:rsidRPr="004F507A">
        <w:rPr>
          <w:rFonts w:ascii="Arial" w:hAnsi="Arial" w:cs="Arial"/>
          <w:sz w:val="22"/>
          <w:szCs w:val="22"/>
          <w:lang w:val="fr-FR"/>
        </w:rPr>
        <w:t> </w:t>
      </w:r>
      <w:r w:rsidR="00F01F1F" w:rsidRPr="004F507A">
        <w:rPr>
          <w:rFonts w:ascii="Arial" w:hAnsi="Arial" w:cs="Arial"/>
          <w:sz w:val="22"/>
          <w:szCs w:val="22"/>
          <w:lang w:val="fr-FR"/>
        </w:rPr>
        <w:t>approches très différent</w:t>
      </w:r>
      <w:r w:rsidR="004F507A" w:rsidRPr="004F507A">
        <w:rPr>
          <w:rFonts w:ascii="Arial" w:hAnsi="Arial" w:cs="Arial"/>
          <w:sz w:val="22"/>
          <w:szCs w:val="22"/>
          <w:lang w:val="fr-FR"/>
        </w:rPr>
        <w:t>es.  Il</w:t>
      </w:r>
      <w:r w:rsidR="004F60C4" w:rsidRPr="004F507A">
        <w:rPr>
          <w:rFonts w:ascii="Arial" w:hAnsi="Arial" w:cs="Arial"/>
          <w:sz w:val="22"/>
          <w:szCs w:val="22"/>
          <w:lang w:val="fr-FR"/>
        </w:rPr>
        <w:t xml:space="preserve"> convient de remédier à cette divergence de vues.  L</w:t>
      </w:r>
      <w:r w:rsidR="006D7B02" w:rsidRPr="004F507A">
        <w:rPr>
          <w:rFonts w:ascii="Arial" w:hAnsi="Arial" w:cs="Arial"/>
          <w:sz w:val="22"/>
          <w:szCs w:val="22"/>
          <w:lang w:val="fr-FR"/>
        </w:rPr>
        <w:t>’</w:t>
      </w:r>
      <w:r w:rsidR="004F60C4" w:rsidRPr="004F507A">
        <w:rPr>
          <w:rFonts w:ascii="Arial" w:hAnsi="Arial" w:cs="Arial"/>
          <w:sz w:val="22"/>
          <w:szCs w:val="22"/>
          <w:lang w:val="fr-FR"/>
        </w:rPr>
        <w:t xml:space="preserve">IGC </w:t>
      </w:r>
      <w:r w:rsidR="00F01F1F" w:rsidRPr="004F507A">
        <w:rPr>
          <w:rFonts w:ascii="Arial" w:hAnsi="Arial" w:cs="Arial"/>
          <w:sz w:val="22"/>
          <w:szCs w:val="22"/>
          <w:lang w:val="fr-FR"/>
        </w:rPr>
        <w:t>aurait peut</w:t>
      </w:r>
      <w:r w:rsidR="00525EB9">
        <w:rPr>
          <w:rFonts w:ascii="Arial" w:hAnsi="Arial" w:cs="Arial"/>
          <w:sz w:val="22"/>
          <w:szCs w:val="22"/>
          <w:lang w:val="fr-FR"/>
        </w:rPr>
        <w:noBreakHyphen/>
      </w:r>
      <w:r w:rsidR="00F01F1F" w:rsidRPr="004F507A">
        <w:rPr>
          <w:rFonts w:ascii="Arial" w:hAnsi="Arial" w:cs="Arial"/>
          <w:sz w:val="22"/>
          <w:szCs w:val="22"/>
          <w:lang w:val="fr-FR"/>
        </w:rPr>
        <w:t>être intérêt à consulter les deux</w:t>
      </w:r>
      <w:r w:rsidR="000E59D1" w:rsidRPr="004F507A">
        <w:rPr>
          <w:rFonts w:ascii="Arial" w:hAnsi="Arial" w:cs="Arial"/>
          <w:sz w:val="22"/>
          <w:szCs w:val="22"/>
          <w:lang w:val="fr-FR"/>
        </w:rPr>
        <w:t> </w:t>
      </w:r>
      <w:r w:rsidR="00F01F1F" w:rsidRPr="004F507A">
        <w:rPr>
          <w:rFonts w:ascii="Arial" w:hAnsi="Arial" w:cs="Arial"/>
          <w:sz w:val="22"/>
          <w:szCs w:val="22"/>
          <w:lang w:val="fr-FR"/>
        </w:rPr>
        <w:t>textes et à apporter les modifications voulues pour en assurer la cohérence.</w:t>
      </w:r>
    </w:p>
    <w:p w:rsidR="004F60C4" w:rsidRPr="004F507A" w:rsidRDefault="004F60C4" w:rsidP="002B5624">
      <w:pPr>
        <w:tabs>
          <w:tab w:val="left" w:pos="567"/>
        </w:tabs>
        <w:spacing w:after="240"/>
        <w:rPr>
          <w:rFonts w:ascii="Arial" w:hAnsi="Arial" w:cs="Arial"/>
          <w:i/>
          <w:sz w:val="22"/>
          <w:szCs w:val="22"/>
          <w:lang w:val="fr-FR"/>
        </w:rPr>
      </w:pPr>
      <w:r w:rsidRPr="004F507A">
        <w:rPr>
          <w:rFonts w:ascii="Arial" w:hAnsi="Arial" w:cs="Arial"/>
          <w:i/>
          <w:sz w:val="22"/>
          <w:szCs w:val="22"/>
          <w:lang w:val="fr-FR"/>
        </w:rPr>
        <w:t>C</w:t>
      </w:r>
      <w:r w:rsidR="001A71DF" w:rsidRPr="004F507A">
        <w:rPr>
          <w:rFonts w:ascii="Arial" w:hAnsi="Arial" w:cs="Arial"/>
          <w:i/>
          <w:sz w:val="22"/>
          <w:szCs w:val="22"/>
          <w:lang w:val="fr-FR"/>
        </w:rPr>
        <w:t>oop</w:t>
      </w:r>
      <w:r w:rsidRPr="004F507A">
        <w:rPr>
          <w:rFonts w:ascii="Arial" w:hAnsi="Arial" w:cs="Arial"/>
          <w:i/>
          <w:sz w:val="22"/>
          <w:szCs w:val="22"/>
          <w:lang w:val="fr-FR"/>
        </w:rPr>
        <w:t>é</w:t>
      </w:r>
      <w:r w:rsidR="001A71DF" w:rsidRPr="004F507A">
        <w:rPr>
          <w:rFonts w:ascii="Arial" w:hAnsi="Arial" w:cs="Arial"/>
          <w:i/>
          <w:sz w:val="22"/>
          <w:szCs w:val="22"/>
          <w:lang w:val="fr-FR"/>
        </w:rPr>
        <w:t>ration</w:t>
      </w:r>
      <w:r w:rsidRPr="004F507A">
        <w:rPr>
          <w:rFonts w:ascii="Arial" w:hAnsi="Arial" w:cs="Arial"/>
          <w:i/>
          <w:sz w:val="22"/>
          <w:szCs w:val="22"/>
          <w:lang w:val="fr-FR"/>
        </w:rPr>
        <w:t xml:space="preserve"> transfrontière</w:t>
      </w:r>
    </w:p>
    <w:p w:rsidR="004F60C4" w:rsidRPr="004F507A" w:rsidRDefault="0066556B" w:rsidP="002B5624">
      <w:pPr>
        <w:tabs>
          <w:tab w:val="left" w:pos="567"/>
        </w:tabs>
        <w:spacing w:after="240"/>
        <w:rPr>
          <w:rFonts w:ascii="Arial" w:hAnsi="Arial" w:cs="Arial"/>
          <w:sz w:val="22"/>
          <w:szCs w:val="22"/>
          <w:lang w:val="fr-FR"/>
        </w:rPr>
      </w:pPr>
      <w:r w:rsidRPr="004F507A">
        <w:rPr>
          <w:rFonts w:ascii="Arial" w:hAnsi="Arial" w:cs="Arial"/>
          <w:sz w:val="22"/>
          <w:szCs w:val="22"/>
          <w:lang w:val="fr-FR"/>
        </w:rPr>
        <w:fldChar w:fldCharType="begin"/>
      </w:r>
      <w:r w:rsidRPr="004F507A">
        <w:rPr>
          <w:rFonts w:ascii="Arial" w:hAnsi="Arial" w:cs="Arial"/>
          <w:sz w:val="22"/>
          <w:szCs w:val="22"/>
          <w:lang w:val="fr-FR"/>
        </w:rPr>
        <w:instrText xml:space="preserve"> AUTONUM  </w:instrText>
      </w:r>
      <w:r w:rsidRPr="004F507A">
        <w:rPr>
          <w:rFonts w:ascii="Arial" w:hAnsi="Arial" w:cs="Arial"/>
          <w:sz w:val="22"/>
          <w:szCs w:val="22"/>
          <w:lang w:val="fr-FR"/>
        </w:rPr>
        <w:fldChar w:fldCharType="end"/>
      </w:r>
      <w:r w:rsidRPr="004F507A">
        <w:rPr>
          <w:rFonts w:ascii="Arial" w:hAnsi="Arial" w:cs="Arial"/>
          <w:sz w:val="22"/>
          <w:szCs w:val="22"/>
          <w:lang w:val="fr-FR"/>
        </w:rPr>
        <w:tab/>
      </w:r>
      <w:r w:rsidR="00A774B3" w:rsidRPr="004F507A">
        <w:rPr>
          <w:rFonts w:ascii="Arial" w:hAnsi="Arial" w:cs="Arial"/>
          <w:color w:val="000000"/>
          <w:sz w:val="22"/>
          <w:szCs w:val="22"/>
          <w:lang w:val="fr-FR"/>
        </w:rPr>
        <w:t>L</w:t>
      </w:r>
      <w:r w:rsidR="006D7B02" w:rsidRPr="004F507A">
        <w:rPr>
          <w:rFonts w:ascii="Arial" w:hAnsi="Arial" w:cs="Arial"/>
          <w:color w:val="000000"/>
          <w:sz w:val="22"/>
          <w:szCs w:val="22"/>
          <w:lang w:val="fr-FR"/>
        </w:rPr>
        <w:t>’</w:t>
      </w:r>
      <w:r w:rsidR="00A774B3" w:rsidRPr="004F507A">
        <w:rPr>
          <w:rFonts w:ascii="Arial" w:hAnsi="Arial" w:cs="Arial"/>
          <w:color w:val="000000"/>
          <w:sz w:val="22"/>
          <w:szCs w:val="22"/>
          <w:lang w:val="fr-FR"/>
        </w:rPr>
        <w:t>article</w:t>
      </w:r>
      <w:r w:rsidR="000E59D1" w:rsidRPr="004F507A">
        <w:rPr>
          <w:rFonts w:ascii="Arial" w:hAnsi="Arial" w:cs="Arial"/>
          <w:color w:val="000000"/>
          <w:sz w:val="22"/>
          <w:szCs w:val="22"/>
          <w:lang w:val="fr-FR"/>
        </w:rPr>
        <w:t> </w:t>
      </w:r>
      <w:r w:rsidR="00A774B3" w:rsidRPr="004F507A">
        <w:rPr>
          <w:rFonts w:ascii="Arial" w:hAnsi="Arial" w:cs="Arial"/>
          <w:color w:val="000000"/>
          <w:sz w:val="22"/>
          <w:szCs w:val="22"/>
          <w:lang w:val="fr-FR"/>
        </w:rPr>
        <w:t>12 a trait à la question très importante des savoirs traditionnels partagés de part et d</w:t>
      </w:r>
      <w:r w:rsidR="006D7B02" w:rsidRPr="004F507A">
        <w:rPr>
          <w:rFonts w:ascii="Arial" w:hAnsi="Arial" w:cs="Arial"/>
          <w:color w:val="000000"/>
          <w:sz w:val="22"/>
          <w:szCs w:val="22"/>
          <w:lang w:val="fr-FR"/>
        </w:rPr>
        <w:t>’</w:t>
      </w:r>
      <w:r w:rsidR="00A774B3" w:rsidRPr="004F507A">
        <w:rPr>
          <w:rFonts w:ascii="Arial" w:hAnsi="Arial" w:cs="Arial"/>
          <w:color w:val="000000"/>
          <w:sz w:val="22"/>
          <w:szCs w:val="22"/>
          <w:lang w:val="fr-FR"/>
        </w:rPr>
        <w:t>autre de frontières.</w:t>
      </w:r>
      <w:r w:rsidR="00BD5454" w:rsidRPr="004F507A">
        <w:rPr>
          <w:rFonts w:ascii="Arial" w:hAnsi="Arial"/>
          <w:color w:val="000000"/>
          <w:sz w:val="22"/>
          <w:lang w:val="fr-FR"/>
        </w:rPr>
        <w:t xml:space="preserve">  </w:t>
      </w:r>
      <w:r w:rsidR="00A774B3" w:rsidRPr="004F507A">
        <w:rPr>
          <w:rFonts w:ascii="Arial" w:hAnsi="Arial" w:cs="Arial"/>
          <w:color w:val="000000"/>
          <w:sz w:val="22"/>
          <w:szCs w:val="22"/>
          <w:lang w:val="fr-FR"/>
        </w:rPr>
        <w:t>L</w:t>
      </w:r>
      <w:r w:rsidR="006D7B02" w:rsidRPr="004F507A">
        <w:rPr>
          <w:rFonts w:ascii="Arial" w:hAnsi="Arial" w:cs="Arial"/>
          <w:color w:val="000000"/>
          <w:sz w:val="22"/>
          <w:szCs w:val="22"/>
          <w:lang w:val="fr-FR"/>
        </w:rPr>
        <w:t>’</w:t>
      </w:r>
      <w:r w:rsidR="00A774B3" w:rsidRPr="004F507A">
        <w:rPr>
          <w:rFonts w:ascii="Arial" w:hAnsi="Arial" w:cs="Arial"/>
          <w:color w:val="000000"/>
          <w:sz w:val="22"/>
          <w:szCs w:val="22"/>
          <w:lang w:val="fr-FR"/>
        </w:rPr>
        <w:t>IGC doit réfléchir à la formulation la plus appropriée, au vu des alinéas</w:t>
      </w:r>
      <w:r w:rsidR="000E59D1" w:rsidRPr="004F507A">
        <w:rPr>
          <w:rFonts w:ascii="Arial" w:hAnsi="Arial" w:cs="Arial"/>
          <w:color w:val="000000"/>
          <w:sz w:val="22"/>
          <w:szCs w:val="22"/>
          <w:lang w:val="fr-FR"/>
        </w:rPr>
        <w:t> </w:t>
      </w:r>
      <w:r w:rsidR="00A774B3" w:rsidRPr="004F507A">
        <w:rPr>
          <w:rFonts w:ascii="Arial" w:hAnsi="Arial" w:cs="Arial"/>
          <w:color w:val="000000"/>
          <w:sz w:val="22"/>
          <w:szCs w:val="22"/>
          <w:lang w:val="fr-FR"/>
        </w:rPr>
        <w:t>12.1 et 12.2.</w:t>
      </w:r>
    </w:p>
    <w:p w:rsidR="004F60C4" w:rsidRPr="004F507A" w:rsidRDefault="00A774B3" w:rsidP="002B5624">
      <w:pPr>
        <w:tabs>
          <w:tab w:val="left" w:pos="567"/>
        </w:tabs>
        <w:spacing w:after="240"/>
        <w:rPr>
          <w:rFonts w:ascii="Arial" w:hAnsi="Arial" w:cs="Arial"/>
          <w:b/>
          <w:sz w:val="22"/>
          <w:szCs w:val="22"/>
          <w:lang w:val="fr-FR"/>
        </w:rPr>
      </w:pPr>
      <w:r w:rsidRPr="004F507A">
        <w:rPr>
          <w:rFonts w:ascii="Arial" w:hAnsi="Arial" w:cs="Arial"/>
          <w:b/>
          <w:color w:val="000000"/>
          <w:sz w:val="22"/>
          <w:szCs w:val="22"/>
          <w:lang w:val="fr-FR"/>
        </w:rPr>
        <w:t>Autres ressources utiles</w:t>
      </w:r>
    </w:p>
    <w:p w:rsidR="00A774B3" w:rsidRPr="004F507A" w:rsidRDefault="002A13DE" w:rsidP="002B5624">
      <w:pPr>
        <w:tabs>
          <w:tab w:val="left" w:pos="567"/>
        </w:tabs>
        <w:spacing w:after="240"/>
        <w:rPr>
          <w:rFonts w:ascii="Arial" w:hAnsi="Arial" w:cs="Arial"/>
          <w:sz w:val="22"/>
          <w:szCs w:val="22"/>
          <w:lang w:val="fr-FR"/>
        </w:rPr>
      </w:pPr>
      <w:r w:rsidRPr="004F507A">
        <w:rPr>
          <w:rFonts w:ascii="Arial" w:hAnsi="Arial" w:cs="Arial"/>
          <w:sz w:val="22"/>
          <w:szCs w:val="22"/>
          <w:lang w:val="fr-FR"/>
        </w:rPr>
        <w:fldChar w:fldCharType="begin"/>
      </w:r>
      <w:r w:rsidRPr="004F507A">
        <w:rPr>
          <w:rFonts w:ascii="Arial" w:hAnsi="Arial" w:cs="Arial"/>
          <w:sz w:val="22"/>
          <w:szCs w:val="22"/>
          <w:lang w:val="fr-FR"/>
        </w:rPr>
        <w:instrText xml:space="preserve"> AUTONUM  </w:instrText>
      </w:r>
      <w:r w:rsidRPr="004F507A">
        <w:rPr>
          <w:rFonts w:ascii="Arial" w:hAnsi="Arial" w:cs="Arial"/>
          <w:sz w:val="22"/>
          <w:szCs w:val="22"/>
          <w:lang w:val="fr-FR"/>
        </w:rPr>
        <w:fldChar w:fldCharType="end"/>
      </w:r>
      <w:r w:rsidRPr="004F507A">
        <w:rPr>
          <w:rFonts w:ascii="Arial" w:hAnsi="Arial" w:cs="Arial"/>
          <w:sz w:val="22"/>
          <w:szCs w:val="22"/>
          <w:lang w:val="fr-FR"/>
        </w:rPr>
        <w:tab/>
      </w:r>
      <w:r w:rsidR="00A774B3" w:rsidRPr="004F507A">
        <w:rPr>
          <w:rFonts w:ascii="Arial" w:hAnsi="Arial" w:cs="Arial"/>
          <w:sz w:val="22"/>
          <w:szCs w:val="22"/>
          <w:lang w:val="fr-FR"/>
        </w:rPr>
        <w:t>Je signale que des ressources utiles sont disponibles sur le site</w:t>
      </w:r>
      <w:r w:rsidR="000E59D1" w:rsidRPr="004F507A">
        <w:rPr>
          <w:rFonts w:ascii="Arial" w:hAnsi="Arial" w:cs="Arial"/>
          <w:sz w:val="22"/>
          <w:szCs w:val="22"/>
          <w:lang w:val="fr-FR"/>
        </w:rPr>
        <w:t> </w:t>
      </w:r>
      <w:r w:rsidR="00A774B3" w:rsidRPr="004F507A">
        <w:rPr>
          <w:rFonts w:ascii="Arial" w:hAnsi="Arial" w:cs="Arial"/>
          <w:sz w:val="22"/>
          <w:szCs w:val="22"/>
          <w:lang w:val="fr-FR"/>
        </w:rPr>
        <w:t>Web de l</w:t>
      </w:r>
      <w:r w:rsidR="006D7B02" w:rsidRPr="004F507A">
        <w:rPr>
          <w:rFonts w:ascii="Arial" w:hAnsi="Arial" w:cs="Arial"/>
          <w:sz w:val="22"/>
          <w:szCs w:val="22"/>
          <w:lang w:val="fr-FR"/>
        </w:rPr>
        <w:t>’</w:t>
      </w:r>
      <w:r w:rsidR="00A774B3" w:rsidRPr="004F507A">
        <w:rPr>
          <w:rFonts w:ascii="Arial" w:hAnsi="Arial" w:cs="Arial"/>
          <w:sz w:val="22"/>
          <w:szCs w:val="22"/>
          <w:lang w:val="fr-FR"/>
        </w:rPr>
        <w:t>OMPI</w:t>
      </w:r>
      <w:r w:rsidR="00232836" w:rsidRPr="004F507A">
        <w:rPr>
          <w:rFonts w:ascii="Arial" w:hAnsi="Arial" w:cs="Arial"/>
          <w:sz w:val="22"/>
          <w:szCs w:val="22"/>
          <w:lang w:val="fr-FR"/>
        </w:rPr>
        <w:t xml:space="preserve"> et </w:t>
      </w:r>
      <w:r w:rsidR="00F01F1F" w:rsidRPr="004F507A">
        <w:rPr>
          <w:rFonts w:ascii="Arial" w:hAnsi="Arial" w:cs="Arial"/>
          <w:sz w:val="22"/>
          <w:szCs w:val="22"/>
          <w:lang w:val="fr-FR"/>
        </w:rPr>
        <w:t xml:space="preserve">que les États membres </w:t>
      </w:r>
      <w:r w:rsidR="00232836" w:rsidRPr="004F507A">
        <w:rPr>
          <w:rFonts w:ascii="Arial" w:hAnsi="Arial" w:cs="Arial"/>
          <w:sz w:val="22"/>
          <w:szCs w:val="22"/>
          <w:lang w:val="fr-FR"/>
        </w:rPr>
        <w:t xml:space="preserve">pourraient </w:t>
      </w:r>
      <w:r w:rsidR="00F01F1F" w:rsidRPr="004F507A">
        <w:rPr>
          <w:rFonts w:ascii="Arial" w:hAnsi="Arial" w:cs="Arial"/>
          <w:sz w:val="22"/>
          <w:szCs w:val="22"/>
          <w:lang w:val="fr-FR"/>
        </w:rPr>
        <w:t>s</w:t>
      </w:r>
      <w:r w:rsidR="006D7B02" w:rsidRPr="004F507A">
        <w:rPr>
          <w:rFonts w:ascii="Arial" w:hAnsi="Arial" w:cs="Arial"/>
          <w:sz w:val="22"/>
          <w:szCs w:val="22"/>
          <w:lang w:val="fr-FR"/>
        </w:rPr>
        <w:t>’</w:t>
      </w:r>
      <w:r w:rsidR="00F01F1F" w:rsidRPr="004F507A">
        <w:rPr>
          <w:rFonts w:ascii="Arial" w:hAnsi="Arial" w:cs="Arial"/>
          <w:sz w:val="22"/>
          <w:szCs w:val="22"/>
          <w:lang w:val="fr-FR"/>
        </w:rPr>
        <w:t xml:space="preserve">en </w:t>
      </w:r>
      <w:r w:rsidR="00232836" w:rsidRPr="004F507A">
        <w:rPr>
          <w:rFonts w:ascii="Arial" w:hAnsi="Arial" w:cs="Arial"/>
          <w:sz w:val="22"/>
          <w:szCs w:val="22"/>
          <w:lang w:val="fr-FR"/>
        </w:rPr>
        <w:t>s</w:t>
      </w:r>
      <w:r w:rsidR="00365824" w:rsidRPr="004F507A">
        <w:rPr>
          <w:rFonts w:ascii="Arial" w:hAnsi="Arial" w:cs="Arial"/>
          <w:sz w:val="22"/>
          <w:szCs w:val="22"/>
          <w:lang w:val="fr-FR"/>
        </w:rPr>
        <w:t>ervir</w:t>
      </w:r>
      <w:r w:rsidR="00232836" w:rsidRPr="004F507A">
        <w:rPr>
          <w:rFonts w:ascii="Arial" w:hAnsi="Arial" w:cs="Arial"/>
          <w:sz w:val="22"/>
          <w:szCs w:val="22"/>
          <w:lang w:val="fr-FR"/>
        </w:rPr>
        <w:t xml:space="preserve"> </w:t>
      </w:r>
      <w:r w:rsidR="00F01F1F" w:rsidRPr="004F507A">
        <w:rPr>
          <w:rFonts w:ascii="Arial" w:hAnsi="Arial" w:cs="Arial"/>
          <w:sz w:val="22"/>
          <w:szCs w:val="22"/>
          <w:lang w:val="fr-FR"/>
        </w:rPr>
        <w:t>comme</w:t>
      </w:r>
      <w:r w:rsidR="00232836" w:rsidRPr="004F507A">
        <w:rPr>
          <w:rFonts w:ascii="Arial" w:hAnsi="Arial" w:cs="Arial"/>
          <w:sz w:val="22"/>
          <w:szCs w:val="22"/>
          <w:lang w:val="fr-FR"/>
        </w:rPr>
        <w:t xml:space="preserve"> </w:t>
      </w:r>
      <w:r w:rsidR="00365824" w:rsidRPr="004F507A">
        <w:rPr>
          <w:rFonts w:ascii="Arial" w:hAnsi="Arial" w:cs="Arial"/>
          <w:sz w:val="22"/>
          <w:szCs w:val="22"/>
          <w:lang w:val="fr-FR"/>
        </w:rPr>
        <w:t xml:space="preserve">documentation de </w:t>
      </w:r>
      <w:r w:rsidR="00232836" w:rsidRPr="004F507A">
        <w:rPr>
          <w:rFonts w:ascii="Arial" w:hAnsi="Arial" w:cs="Arial"/>
          <w:sz w:val="22"/>
          <w:szCs w:val="22"/>
          <w:lang w:val="fr-FR"/>
        </w:rPr>
        <w:t xml:space="preserve">référence </w:t>
      </w:r>
      <w:r w:rsidR="00365824" w:rsidRPr="004F507A">
        <w:rPr>
          <w:rFonts w:ascii="Arial" w:hAnsi="Arial" w:cs="Arial"/>
          <w:sz w:val="22"/>
          <w:szCs w:val="22"/>
          <w:lang w:val="fr-FR"/>
        </w:rPr>
        <w:t>p</w:t>
      </w:r>
      <w:r w:rsidR="00232836" w:rsidRPr="004F507A">
        <w:rPr>
          <w:rFonts w:ascii="Arial" w:hAnsi="Arial" w:cs="Arial"/>
          <w:sz w:val="22"/>
          <w:szCs w:val="22"/>
          <w:lang w:val="fr-FR"/>
        </w:rPr>
        <w:t>our préparer la trente</w:t>
      </w:r>
      <w:r w:rsidR="000E59D1" w:rsidRPr="004F507A">
        <w:rPr>
          <w:rFonts w:ascii="Arial" w:hAnsi="Arial" w:cs="Arial"/>
          <w:sz w:val="22"/>
          <w:szCs w:val="22"/>
          <w:lang w:val="fr-FR"/>
        </w:rPr>
        <w:t> </w:t>
      </w:r>
      <w:r w:rsidR="00232836" w:rsidRPr="004F507A">
        <w:rPr>
          <w:rFonts w:ascii="Arial" w:hAnsi="Arial" w:cs="Arial"/>
          <w:sz w:val="22"/>
          <w:szCs w:val="22"/>
          <w:lang w:val="fr-FR"/>
        </w:rPr>
        <w:t>et</w:t>
      </w:r>
      <w:r w:rsidR="000E59D1" w:rsidRPr="004F507A">
        <w:rPr>
          <w:rFonts w:ascii="Arial" w:hAnsi="Arial" w:cs="Arial"/>
          <w:sz w:val="22"/>
          <w:szCs w:val="22"/>
          <w:lang w:val="fr-FR"/>
        </w:rPr>
        <w:t> </w:t>
      </w:r>
      <w:r w:rsidR="00232836" w:rsidRPr="004F507A">
        <w:rPr>
          <w:rFonts w:ascii="Arial" w:hAnsi="Arial" w:cs="Arial"/>
          <w:sz w:val="22"/>
          <w:szCs w:val="22"/>
          <w:lang w:val="fr-FR"/>
        </w:rPr>
        <w:t>unième</w:t>
      </w:r>
      <w:r w:rsidR="000E59D1" w:rsidRPr="004F507A">
        <w:rPr>
          <w:rFonts w:ascii="Arial" w:hAnsi="Arial" w:cs="Arial"/>
          <w:sz w:val="22"/>
          <w:szCs w:val="22"/>
          <w:lang w:val="fr-FR"/>
        </w:rPr>
        <w:t> </w:t>
      </w:r>
      <w:r w:rsidR="00232836" w:rsidRPr="004F507A">
        <w:rPr>
          <w:rFonts w:ascii="Arial" w:hAnsi="Arial" w:cs="Arial"/>
          <w:sz w:val="22"/>
          <w:szCs w:val="22"/>
          <w:lang w:val="fr-FR"/>
        </w:rPr>
        <w:t>session de l</w:t>
      </w:r>
      <w:r w:rsidR="006D7B02" w:rsidRPr="004F507A">
        <w:rPr>
          <w:rFonts w:ascii="Arial" w:hAnsi="Arial" w:cs="Arial"/>
          <w:sz w:val="22"/>
          <w:szCs w:val="22"/>
          <w:lang w:val="fr-FR"/>
        </w:rPr>
        <w:t>’</w:t>
      </w:r>
      <w:r w:rsidR="004F507A" w:rsidRPr="004F507A">
        <w:rPr>
          <w:rFonts w:ascii="Arial" w:hAnsi="Arial" w:cs="Arial"/>
          <w:sz w:val="22"/>
          <w:szCs w:val="22"/>
          <w:lang w:val="fr-FR"/>
        </w:rPr>
        <w:t>IGC.  Pa</w:t>
      </w:r>
      <w:r w:rsidR="00F01F1F" w:rsidRPr="004F507A">
        <w:rPr>
          <w:rFonts w:ascii="Arial" w:hAnsi="Arial" w:cs="Arial"/>
          <w:sz w:val="22"/>
          <w:szCs w:val="22"/>
          <w:lang w:val="fr-FR"/>
        </w:rPr>
        <w:t>r</w:t>
      </w:r>
      <w:r w:rsidR="00232836" w:rsidRPr="004F507A">
        <w:rPr>
          <w:rFonts w:ascii="Arial" w:hAnsi="Arial" w:cs="Arial"/>
          <w:sz w:val="22"/>
          <w:szCs w:val="22"/>
          <w:lang w:val="fr-FR"/>
        </w:rPr>
        <w:t xml:space="preserve"> exemple</w:t>
      </w:r>
      <w:r w:rsidR="000E59D1" w:rsidRPr="004F507A">
        <w:rPr>
          <w:rFonts w:ascii="Arial" w:hAnsi="Arial" w:cs="Arial"/>
          <w:sz w:val="22"/>
          <w:szCs w:val="22"/>
          <w:lang w:val="fr-FR"/>
        </w:rPr>
        <w:t> </w:t>
      </w:r>
      <w:r w:rsidR="00232836" w:rsidRPr="004F507A">
        <w:rPr>
          <w:rFonts w:ascii="Arial" w:hAnsi="Arial" w:cs="Arial"/>
          <w:sz w:val="22"/>
          <w:szCs w:val="22"/>
          <w:lang w:val="fr-FR"/>
        </w:rPr>
        <w:t>:</w:t>
      </w:r>
    </w:p>
    <w:p w:rsidR="004F60C4" w:rsidRPr="004F507A" w:rsidRDefault="002B5624" w:rsidP="002B5624">
      <w:pPr>
        <w:numPr>
          <w:ilvl w:val="0"/>
          <w:numId w:val="6"/>
        </w:numPr>
        <w:spacing w:after="240"/>
        <w:ind w:left="1134" w:hanging="567"/>
        <w:rPr>
          <w:rFonts w:ascii="Arial" w:hAnsi="Arial" w:cs="Arial"/>
          <w:sz w:val="22"/>
          <w:szCs w:val="22"/>
          <w:lang w:val="fr-FR"/>
        </w:rPr>
      </w:pPr>
      <w:r>
        <w:rPr>
          <w:rFonts w:ascii="Arial" w:hAnsi="Arial" w:cs="Arial"/>
          <w:sz w:val="22"/>
          <w:szCs w:val="22"/>
          <w:lang w:val="fr-FR"/>
        </w:rPr>
        <w:t>D</w:t>
      </w:r>
      <w:r w:rsidR="00365824" w:rsidRPr="004F507A">
        <w:rPr>
          <w:rFonts w:ascii="Arial" w:hAnsi="Arial" w:cs="Arial"/>
          <w:sz w:val="22"/>
          <w:szCs w:val="22"/>
          <w:lang w:val="fr-FR"/>
        </w:rPr>
        <w:t xml:space="preserve">ocument </w:t>
      </w:r>
      <w:r w:rsidR="00FF1476" w:rsidRPr="004F507A">
        <w:rPr>
          <w:rFonts w:ascii="Arial" w:hAnsi="Arial" w:cs="Arial"/>
          <w:sz w:val="22"/>
          <w:szCs w:val="22"/>
          <w:lang w:val="fr-FR"/>
        </w:rPr>
        <w:t>WIPO/GRTKF/IC/17/INF/8</w:t>
      </w:r>
      <w:r w:rsidR="0053162E" w:rsidRPr="004F507A">
        <w:rPr>
          <w:rFonts w:ascii="Arial" w:hAnsi="Arial" w:cs="Arial"/>
          <w:sz w:val="22"/>
          <w:szCs w:val="22"/>
          <w:lang w:val="fr-FR"/>
        </w:rPr>
        <w:t>,</w:t>
      </w:r>
      <w:r w:rsidR="00FF1476" w:rsidRPr="004F507A">
        <w:rPr>
          <w:rFonts w:ascii="Arial" w:hAnsi="Arial" w:cs="Arial"/>
          <w:sz w:val="22"/>
          <w:szCs w:val="22"/>
          <w:lang w:val="fr-FR"/>
        </w:rPr>
        <w:t xml:space="preserve"> </w:t>
      </w:r>
      <w:r w:rsidR="00100D5C">
        <w:rPr>
          <w:rFonts w:ascii="Arial" w:hAnsi="Arial" w:cs="Arial"/>
          <w:bCs/>
          <w:sz w:val="22"/>
          <w:szCs w:val="22"/>
          <w:lang w:val="fr-FR"/>
        </w:rPr>
        <w:t>N</w:t>
      </w:r>
      <w:r w:rsidR="00365824" w:rsidRPr="004F507A">
        <w:rPr>
          <w:rFonts w:ascii="Arial" w:hAnsi="Arial" w:cs="Arial"/>
          <w:bCs/>
          <w:sz w:val="22"/>
          <w:szCs w:val="22"/>
          <w:lang w:val="fr-FR"/>
        </w:rPr>
        <w:t xml:space="preserve">ote sur les significations du terme </w:t>
      </w:r>
      <w:r w:rsidR="006D7B02" w:rsidRPr="004F507A">
        <w:rPr>
          <w:rFonts w:ascii="Arial" w:hAnsi="Arial" w:cs="Arial"/>
          <w:bCs/>
          <w:sz w:val="22"/>
          <w:szCs w:val="22"/>
          <w:lang w:val="fr-FR"/>
        </w:rPr>
        <w:t>“</w:t>
      </w:r>
      <w:r w:rsidR="00365824" w:rsidRPr="004F507A">
        <w:rPr>
          <w:rFonts w:ascii="Arial" w:hAnsi="Arial" w:cs="Arial"/>
          <w:bCs/>
          <w:sz w:val="22"/>
          <w:szCs w:val="22"/>
          <w:lang w:val="fr-FR"/>
        </w:rPr>
        <w:t>domaine public</w:t>
      </w:r>
      <w:r w:rsidR="006D7B02" w:rsidRPr="004F507A">
        <w:rPr>
          <w:rFonts w:ascii="Arial" w:hAnsi="Arial" w:cs="Arial"/>
          <w:bCs/>
          <w:sz w:val="22"/>
          <w:szCs w:val="22"/>
          <w:lang w:val="fr-FR"/>
        </w:rPr>
        <w:t>”</w:t>
      </w:r>
      <w:r w:rsidR="00365824" w:rsidRPr="004F507A">
        <w:rPr>
          <w:rFonts w:ascii="Arial" w:hAnsi="Arial" w:cs="Arial"/>
          <w:bCs/>
          <w:sz w:val="22"/>
          <w:szCs w:val="22"/>
          <w:lang w:val="fr-FR"/>
        </w:rPr>
        <w:t xml:space="preserve"> dans le système de la propriété intellectuelle, traitant en particulier de la protection des savoirs traditionnels et des expressions culturelles traditionnelles ou expressions du folklore</w:t>
      </w:r>
      <w:r w:rsidR="00AF458F" w:rsidRPr="004F507A">
        <w:rPr>
          <w:rFonts w:ascii="Arial" w:hAnsi="Arial" w:cs="Arial"/>
          <w:sz w:val="22"/>
          <w:szCs w:val="22"/>
          <w:lang w:val="fr-FR"/>
        </w:rPr>
        <w:t xml:space="preserve">, </w:t>
      </w:r>
      <w:hyperlink r:id="rId9" w:history="1">
        <w:r w:rsidR="00AF458F" w:rsidRPr="004F507A">
          <w:rPr>
            <w:rStyle w:val="Hyperlink"/>
            <w:rFonts w:ascii="Arial" w:hAnsi="Arial" w:cs="Arial"/>
            <w:color w:val="auto"/>
            <w:sz w:val="22"/>
            <w:szCs w:val="22"/>
            <w:u w:val="none"/>
            <w:lang w:val="fr-FR"/>
          </w:rPr>
          <w:t>http://www.wipo.int/meetings/en/doc_details.jsp?doc_id=149213</w:t>
        </w:r>
      </w:hyperlink>
      <w:r w:rsidR="002365A6" w:rsidRPr="004F507A">
        <w:rPr>
          <w:rFonts w:ascii="Arial" w:hAnsi="Arial" w:cs="Arial"/>
          <w:sz w:val="22"/>
          <w:szCs w:val="22"/>
          <w:lang w:val="fr-FR"/>
        </w:rPr>
        <w:t>;</w:t>
      </w:r>
    </w:p>
    <w:p w:rsidR="004F60C4" w:rsidRPr="004F507A" w:rsidRDefault="002B5624" w:rsidP="002B5624">
      <w:pPr>
        <w:numPr>
          <w:ilvl w:val="0"/>
          <w:numId w:val="6"/>
        </w:numPr>
        <w:spacing w:after="240"/>
        <w:ind w:left="1134" w:hanging="567"/>
        <w:rPr>
          <w:rFonts w:ascii="Arial" w:hAnsi="Arial" w:cs="Arial"/>
          <w:sz w:val="22"/>
          <w:szCs w:val="22"/>
          <w:lang w:val="fr-FR"/>
        </w:rPr>
      </w:pPr>
      <w:r>
        <w:rPr>
          <w:rFonts w:ascii="Arial" w:hAnsi="Arial" w:cs="Arial"/>
          <w:sz w:val="22"/>
          <w:szCs w:val="22"/>
          <w:lang w:val="fr-FR"/>
        </w:rPr>
        <w:t>D</w:t>
      </w:r>
      <w:r w:rsidR="00365824" w:rsidRPr="004F507A">
        <w:rPr>
          <w:rFonts w:ascii="Arial" w:hAnsi="Arial" w:cs="Arial"/>
          <w:sz w:val="22"/>
          <w:szCs w:val="22"/>
          <w:lang w:val="fr-FR"/>
        </w:rPr>
        <w:t xml:space="preserve">ocument </w:t>
      </w:r>
      <w:r w:rsidR="00FF1476" w:rsidRPr="004F507A">
        <w:rPr>
          <w:rFonts w:ascii="Arial" w:hAnsi="Arial" w:cs="Arial"/>
          <w:sz w:val="22"/>
          <w:szCs w:val="22"/>
          <w:lang w:val="fr-FR"/>
        </w:rPr>
        <w:t>WIPO/GRTKF/IC/17/INF/9</w:t>
      </w:r>
      <w:r w:rsidR="0053162E" w:rsidRPr="004F507A">
        <w:rPr>
          <w:rFonts w:ascii="Arial" w:hAnsi="Arial" w:cs="Arial"/>
          <w:sz w:val="22"/>
          <w:szCs w:val="22"/>
          <w:lang w:val="fr-FR"/>
        </w:rPr>
        <w:t>,</w:t>
      </w:r>
      <w:r w:rsidR="00FF1476" w:rsidRPr="004F507A">
        <w:rPr>
          <w:rFonts w:ascii="Arial" w:hAnsi="Arial" w:cs="Arial"/>
          <w:sz w:val="22"/>
          <w:szCs w:val="22"/>
          <w:lang w:val="fr-FR"/>
        </w:rPr>
        <w:t xml:space="preserve"> </w:t>
      </w:r>
      <w:r w:rsidR="00365824" w:rsidRPr="004F507A">
        <w:rPr>
          <w:rFonts w:ascii="Arial" w:hAnsi="Arial" w:cs="Arial"/>
          <w:bCs/>
          <w:sz w:val="22"/>
          <w:szCs w:val="22"/>
          <w:lang w:val="fr-FR"/>
        </w:rPr>
        <w:t>Liste et explication technique succincte des différentes formes sous lesquelles les savoirs traditionnels peuvent se présenter</w:t>
      </w:r>
      <w:r w:rsidR="00AF458F" w:rsidRPr="004F507A">
        <w:rPr>
          <w:rFonts w:ascii="Arial" w:hAnsi="Arial" w:cs="Arial"/>
          <w:sz w:val="22"/>
          <w:szCs w:val="22"/>
          <w:lang w:val="fr-FR"/>
        </w:rPr>
        <w:t xml:space="preserve">, </w:t>
      </w:r>
      <w:hyperlink r:id="rId10" w:history="1">
        <w:r w:rsidR="00AF458F" w:rsidRPr="004F507A">
          <w:rPr>
            <w:rStyle w:val="Hyperlink"/>
            <w:rFonts w:ascii="Arial" w:hAnsi="Arial" w:cs="Arial"/>
            <w:color w:val="auto"/>
            <w:sz w:val="22"/>
            <w:szCs w:val="22"/>
            <w:u w:val="none"/>
            <w:lang w:val="fr-FR"/>
          </w:rPr>
          <w:t>http://www.wipo.int/meetings/en/doc_details.jsp?doc_id=147152</w:t>
        </w:r>
      </w:hyperlink>
      <w:r w:rsidR="002365A6" w:rsidRPr="004F507A">
        <w:rPr>
          <w:rFonts w:ascii="Arial" w:hAnsi="Arial" w:cs="Arial"/>
          <w:sz w:val="22"/>
          <w:szCs w:val="22"/>
          <w:lang w:val="fr-FR"/>
        </w:rPr>
        <w:t>;</w:t>
      </w:r>
    </w:p>
    <w:p w:rsidR="004F60C4" w:rsidRPr="004F507A" w:rsidRDefault="00365824" w:rsidP="002B5624">
      <w:pPr>
        <w:numPr>
          <w:ilvl w:val="0"/>
          <w:numId w:val="6"/>
        </w:numPr>
        <w:spacing w:after="240"/>
        <w:ind w:left="1134" w:hanging="567"/>
        <w:rPr>
          <w:rFonts w:ascii="Arial" w:hAnsi="Arial" w:cs="Arial"/>
          <w:bCs/>
          <w:sz w:val="22"/>
          <w:szCs w:val="22"/>
          <w:lang w:val="fr-FR"/>
        </w:rPr>
      </w:pPr>
      <w:r w:rsidRPr="004F507A">
        <w:rPr>
          <w:rFonts w:ascii="Arial" w:hAnsi="Arial" w:cs="Arial"/>
          <w:bCs/>
          <w:sz w:val="22"/>
          <w:szCs w:val="22"/>
          <w:lang w:val="fr-FR"/>
        </w:rPr>
        <w:t>Données d</w:t>
      </w:r>
      <w:r w:rsidR="006D7B02" w:rsidRPr="004F507A">
        <w:rPr>
          <w:rFonts w:ascii="Arial" w:hAnsi="Arial" w:cs="Arial"/>
          <w:bCs/>
          <w:sz w:val="22"/>
          <w:szCs w:val="22"/>
          <w:lang w:val="fr-FR"/>
        </w:rPr>
        <w:t>’</w:t>
      </w:r>
      <w:r w:rsidRPr="004F507A">
        <w:rPr>
          <w:rFonts w:ascii="Arial" w:hAnsi="Arial" w:cs="Arial"/>
          <w:bCs/>
          <w:sz w:val="22"/>
          <w:szCs w:val="22"/>
          <w:lang w:val="fr-FR"/>
        </w:rPr>
        <w:t>expérience régionales, nationales, locales et communautaires</w:t>
      </w:r>
      <w:r w:rsidR="00904E10" w:rsidRPr="004F507A">
        <w:rPr>
          <w:rFonts w:ascii="Arial" w:hAnsi="Arial" w:cs="Arial"/>
          <w:sz w:val="22"/>
          <w:szCs w:val="22"/>
          <w:lang w:val="fr-FR"/>
        </w:rPr>
        <w:t xml:space="preserve">, </w:t>
      </w:r>
      <w:hyperlink r:id="rId11" w:history="1">
        <w:r w:rsidR="00904E10" w:rsidRPr="004F507A">
          <w:rPr>
            <w:rStyle w:val="Hyperlink"/>
            <w:rFonts w:ascii="Arial" w:hAnsi="Arial" w:cs="Arial"/>
            <w:color w:val="auto"/>
            <w:sz w:val="22"/>
            <w:szCs w:val="22"/>
            <w:u w:val="none"/>
            <w:lang w:val="fr-FR"/>
          </w:rPr>
          <w:t>http://www.wipo.int/tk/en/resources/tk_experiences.html</w:t>
        </w:r>
      </w:hyperlink>
      <w:r w:rsidR="00904E10" w:rsidRPr="004F507A">
        <w:rPr>
          <w:rFonts w:ascii="Arial" w:hAnsi="Arial" w:cs="Arial"/>
          <w:sz w:val="22"/>
          <w:szCs w:val="22"/>
          <w:lang w:val="fr-FR"/>
        </w:rPr>
        <w:t>;</w:t>
      </w:r>
    </w:p>
    <w:p w:rsidR="006D7B02" w:rsidRPr="004F507A" w:rsidRDefault="00B738B4" w:rsidP="002B5624">
      <w:pPr>
        <w:numPr>
          <w:ilvl w:val="0"/>
          <w:numId w:val="6"/>
        </w:numPr>
        <w:spacing w:after="240"/>
        <w:ind w:left="1134" w:hanging="567"/>
        <w:rPr>
          <w:rFonts w:ascii="Arial" w:hAnsi="Arial" w:cs="Arial"/>
          <w:sz w:val="22"/>
          <w:szCs w:val="22"/>
          <w:lang w:val="fr-FR"/>
        </w:rPr>
      </w:pPr>
      <w:r w:rsidRPr="004F507A">
        <w:rPr>
          <w:rFonts w:ascii="Arial" w:hAnsi="Arial" w:cs="Arial"/>
          <w:sz w:val="22"/>
          <w:szCs w:val="22"/>
          <w:lang w:val="fr-FR"/>
        </w:rPr>
        <w:t xml:space="preserve">Exposés sur la législation ou les cadres juridiques propres à garantir la protection des savoirs traditionnels, </w:t>
      </w:r>
      <w:hyperlink r:id="rId12" w:history="1">
        <w:r w:rsidR="00F87564" w:rsidRPr="004F507A">
          <w:rPr>
            <w:rStyle w:val="Hyperlink"/>
            <w:rFonts w:ascii="Arial" w:hAnsi="Arial" w:cs="Arial"/>
            <w:color w:val="auto"/>
            <w:sz w:val="22"/>
            <w:szCs w:val="22"/>
            <w:u w:val="none"/>
            <w:lang w:val="fr-FR"/>
          </w:rPr>
          <w:t>http://www.wipo.int/meetings/en/details.jsp?meeting_id=35602</w:t>
        </w:r>
      </w:hyperlink>
      <w:r w:rsidR="00904E10" w:rsidRPr="004F507A">
        <w:rPr>
          <w:rFonts w:ascii="Arial" w:hAnsi="Arial" w:cs="Arial"/>
          <w:sz w:val="22"/>
          <w:szCs w:val="22"/>
          <w:lang w:val="fr-FR"/>
        </w:rPr>
        <w:t>;</w:t>
      </w:r>
    </w:p>
    <w:p w:rsidR="006D7B02" w:rsidRPr="004F507A" w:rsidRDefault="00B738B4" w:rsidP="002B5624">
      <w:pPr>
        <w:numPr>
          <w:ilvl w:val="0"/>
          <w:numId w:val="6"/>
        </w:numPr>
        <w:spacing w:after="240"/>
        <w:ind w:left="1134" w:hanging="567"/>
        <w:rPr>
          <w:rFonts w:ascii="Arial" w:hAnsi="Arial" w:cs="Arial"/>
          <w:sz w:val="22"/>
          <w:szCs w:val="22"/>
          <w:lang w:val="fr-FR"/>
        </w:rPr>
      </w:pPr>
      <w:r w:rsidRPr="004F507A">
        <w:rPr>
          <w:rFonts w:ascii="Arial" w:hAnsi="Arial" w:cs="Arial"/>
          <w:sz w:val="22"/>
          <w:szCs w:val="22"/>
          <w:lang w:val="fr-FR"/>
        </w:rPr>
        <w:t>Exposés sur les utilisations des savoirs traditionnels</w:t>
      </w:r>
      <w:r w:rsidR="00904E10" w:rsidRPr="004F507A">
        <w:rPr>
          <w:rFonts w:ascii="Arial" w:hAnsi="Arial" w:cs="Arial"/>
          <w:sz w:val="22"/>
          <w:szCs w:val="22"/>
          <w:lang w:val="fr-FR"/>
        </w:rPr>
        <w:t>,</w:t>
      </w:r>
      <w:r w:rsidR="00F87564" w:rsidRPr="004F507A">
        <w:rPr>
          <w:rFonts w:ascii="Arial" w:hAnsi="Arial" w:cs="Arial"/>
          <w:lang w:val="fr-FR"/>
        </w:rPr>
        <w:t xml:space="preserve"> </w:t>
      </w:r>
      <w:r w:rsidRPr="004F507A">
        <w:rPr>
          <w:rFonts w:ascii="Arial" w:hAnsi="Arial" w:cs="Arial"/>
          <w:sz w:val="22"/>
          <w:szCs w:val="22"/>
          <w:lang w:val="fr-FR"/>
        </w:rPr>
        <w:t>http://www.wipo.int/meetings/en/details.jsp?meeting_id=35602</w:t>
      </w:r>
      <w:r w:rsidR="00904E10" w:rsidRPr="004F507A">
        <w:rPr>
          <w:rFonts w:ascii="Arial" w:hAnsi="Arial" w:cs="Arial"/>
          <w:sz w:val="22"/>
          <w:szCs w:val="22"/>
          <w:lang w:val="fr-FR"/>
        </w:rPr>
        <w:t>;</w:t>
      </w:r>
    </w:p>
    <w:p w:rsidR="004F60C4" w:rsidRPr="004F507A" w:rsidRDefault="00B738B4" w:rsidP="002B5624">
      <w:pPr>
        <w:numPr>
          <w:ilvl w:val="0"/>
          <w:numId w:val="6"/>
        </w:numPr>
        <w:spacing w:after="240"/>
        <w:ind w:left="1134" w:hanging="567"/>
        <w:rPr>
          <w:rFonts w:ascii="Arial" w:hAnsi="Arial" w:cs="Arial"/>
          <w:sz w:val="22"/>
          <w:szCs w:val="22"/>
          <w:lang w:val="fr-FR"/>
        </w:rPr>
      </w:pPr>
      <w:r w:rsidRPr="004F507A">
        <w:rPr>
          <w:rFonts w:ascii="Arial" w:hAnsi="Arial" w:cs="Arial"/>
          <w:sz w:val="22"/>
          <w:szCs w:val="22"/>
          <w:lang w:val="fr-FR"/>
        </w:rPr>
        <w:t>Exposés sur le domaine public</w:t>
      </w:r>
      <w:r w:rsidR="00904E10" w:rsidRPr="004F507A">
        <w:rPr>
          <w:rFonts w:ascii="Arial" w:hAnsi="Arial" w:cs="Arial"/>
          <w:sz w:val="22"/>
          <w:szCs w:val="22"/>
          <w:lang w:val="fr-FR"/>
        </w:rPr>
        <w:t>,</w:t>
      </w:r>
      <w:r w:rsidR="00F87564" w:rsidRPr="004F507A">
        <w:rPr>
          <w:rFonts w:ascii="Arial" w:hAnsi="Arial" w:cs="Arial"/>
          <w:lang w:val="fr-FR"/>
        </w:rPr>
        <w:t xml:space="preserve"> </w:t>
      </w:r>
      <w:hyperlink r:id="rId13" w:history="1">
        <w:r w:rsidR="00F87564" w:rsidRPr="004F507A">
          <w:rPr>
            <w:rStyle w:val="Hyperlink"/>
            <w:rFonts w:ascii="Arial" w:hAnsi="Arial" w:cs="Arial"/>
            <w:color w:val="auto"/>
            <w:sz w:val="22"/>
            <w:szCs w:val="22"/>
            <w:u w:val="none"/>
            <w:lang w:val="fr-FR"/>
          </w:rPr>
          <w:t>http://www.wipo.int/meetings/en/details.jsp?meeting_id=35602</w:t>
        </w:r>
      </w:hyperlink>
      <w:r w:rsidR="00904E10" w:rsidRPr="004F507A">
        <w:rPr>
          <w:rFonts w:ascii="Arial" w:hAnsi="Arial" w:cs="Arial"/>
          <w:sz w:val="22"/>
          <w:szCs w:val="22"/>
          <w:lang w:val="fr-FR"/>
        </w:rPr>
        <w:t>;</w:t>
      </w:r>
    </w:p>
    <w:p w:rsidR="004F60C4" w:rsidRPr="004F507A" w:rsidRDefault="00B738B4" w:rsidP="002B5624">
      <w:pPr>
        <w:numPr>
          <w:ilvl w:val="0"/>
          <w:numId w:val="6"/>
        </w:numPr>
        <w:spacing w:after="240"/>
        <w:ind w:left="1134" w:hanging="567"/>
        <w:rPr>
          <w:rFonts w:ascii="Arial" w:hAnsi="Arial" w:cs="Arial"/>
          <w:sz w:val="22"/>
          <w:szCs w:val="22"/>
          <w:lang w:val="fr-FR"/>
        </w:rPr>
      </w:pPr>
      <w:r w:rsidRPr="004F507A">
        <w:rPr>
          <w:rFonts w:ascii="Arial" w:hAnsi="Arial" w:cs="Arial"/>
          <w:sz w:val="22"/>
          <w:szCs w:val="22"/>
          <w:lang w:val="fr-FR"/>
        </w:rPr>
        <w:lastRenderedPageBreak/>
        <w:t>Exposés sur la protection transfrontière</w:t>
      </w:r>
      <w:r w:rsidR="00904E10" w:rsidRPr="004F507A">
        <w:rPr>
          <w:rFonts w:ascii="Arial" w:hAnsi="Arial" w:cs="Arial"/>
          <w:sz w:val="22"/>
          <w:szCs w:val="22"/>
          <w:lang w:val="fr-FR"/>
        </w:rPr>
        <w:t>,</w:t>
      </w:r>
      <w:r w:rsidR="00F87564" w:rsidRPr="004F507A">
        <w:rPr>
          <w:rFonts w:ascii="Arial" w:hAnsi="Arial" w:cs="Arial"/>
          <w:lang w:val="fr-FR"/>
        </w:rPr>
        <w:t xml:space="preserve"> </w:t>
      </w:r>
      <w:hyperlink r:id="rId14" w:history="1">
        <w:r w:rsidR="00F87564" w:rsidRPr="004F507A">
          <w:rPr>
            <w:rStyle w:val="Hyperlink"/>
            <w:rFonts w:ascii="Arial" w:hAnsi="Arial" w:cs="Arial"/>
            <w:color w:val="auto"/>
            <w:sz w:val="22"/>
            <w:szCs w:val="22"/>
            <w:u w:val="none"/>
            <w:lang w:val="fr-FR"/>
          </w:rPr>
          <w:t>http://www.wipo.int/meetings/en/details.jsp?meeting_id=36502</w:t>
        </w:r>
      </w:hyperlink>
      <w:r w:rsidR="00904E10" w:rsidRPr="004F507A">
        <w:rPr>
          <w:rFonts w:ascii="Arial" w:hAnsi="Arial" w:cs="Arial"/>
          <w:sz w:val="22"/>
          <w:szCs w:val="22"/>
          <w:lang w:val="fr-FR"/>
        </w:rPr>
        <w:t>;</w:t>
      </w:r>
      <w:r w:rsidR="002365A6" w:rsidRPr="004F507A">
        <w:rPr>
          <w:rFonts w:ascii="Arial" w:hAnsi="Arial" w:cs="Arial"/>
          <w:sz w:val="22"/>
          <w:szCs w:val="22"/>
          <w:lang w:val="fr-FR"/>
        </w:rPr>
        <w:t xml:space="preserve">  </w:t>
      </w:r>
      <w:r w:rsidRPr="004F507A">
        <w:rPr>
          <w:rFonts w:ascii="Arial" w:hAnsi="Arial" w:cs="Arial"/>
          <w:sz w:val="22"/>
          <w:szCs w:val="22"/>
          <w:lang w:val="fr-FR"/>
        </w:rPr>
        <w:t>et</w:t>
      </w:r>
    </w:p>
    <w:p w:rsidR="00904E10" w:rsidRPr="004F507A" w:rsidRDefault="00B738B4" w:rsidP="002B5624">
      <w:pPr>
        <w:numPr>
          <w:ilvl w:val="0"/>
          <w:numId w:val="6"/>
        </w:numPr>
        <w:spacing w:after="240"/>
        <w:ind w:left="1134" w:hanging="567"/>
        <w:rPr>
          <w:rFonts w:ascii="Arial" w:hAnsi="Arial" w:cs="Arial"/>
          <w:sz w:val="22"/>
          <w:szCs w:val="22"/>
          <w:lang w:val="fr-FR"/>
        </w:rPr>
      </w:pPr>
      <w:r w:rsidRPr="004F507A">
        <w:rPr>
          <w:rFonts w:ascii="Arial" w:hAnsi="Arial" w:cs="Arial"/>
          <w:sz w:val="22"/>
          <w:szCs w:val="22"/>
          <w:lang w:val="fr-FR"/>
        </w:rPr>
        <w:t>Exposés sur les savoirs traditionnels (partagés) transfrontières</w:t>
      </w:r>
      <w:r w:rsidR="00904E10" w:rsidRPr="004F507A">
        <w:rPr>
          <w:rFonts w:ascii="Arial" w:hAnsi="Arial" w:cs="Arial"/>
          <w:sz w:val="22"/>
          <w:szCs w:val="22"/>
          <w:lang w:val="fr-FR"/>
        </w:rPr>
        <w:t>,</w:t>
      </w:r>
      <w:r w:rsidR="00F87564" w:rsidRPr="004F507A">
        <w:rPr>
          <w:rFonts w:ascii="Arial" w:hAnsi="Arial" w:cs="Arial"/>
          <w:lang w:val="fr-FR"/>
        </w:rPr>
        <w:t xml:space="preserve"> </w:t>
      </w:r>
      <w:hyperlink r:id="rId15" w:history="1">
        <w:r w:rsidR="00F87564" w:rsidRPr="004F507A">
          <w:rPr>
            <w:rStyle w:val="Hyperlink"/>
            <w:rFonts w:ascii="Arial" w:hAnsi="Arial" w:cs="Arial"/>
            <w:color w:val="auto"/>
            <w:sz w:val="22"/>
            <w:szCs w:val="22"/>
            <w:u w:val="none"/>
            <w:lang w:val="fr-FR"/>
          </w:rPr>
          <w:t>http://www.wipo.int/meetings/en/details.jsp?meeting_id=36502</w:t>
        </w:r>
      </w:hyperlink>
      <w:r w:rsidR="00904E10" w:rsidRPr="004F507A">
        <w:rPr>
          <w:rFonts w:ascii="Arial" w:hAnsi="Arial" w:cs="Arial"/>
          <w:sz w:val="22"/>
          <w:szCs w:val="22"/>
          <w:lang w:val="fr-FR"/>
        </w:rPr>
        <w:t>.</w:t>
      </w:r>
    </w:p>
    <w:sectPr w:rsidR="00904E10" w:rsidRPr="004F507A" w:rsidSect="00F71CD1">
      <w:footerReference w:type="default" r:id="rId16"/>
      <w:type w:val="continuous"/>
      <w:pgSz w:w="11909" w:h="16834" w:code="9"/>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476" w:rsidRDefault="006F5476" w:rsidP="00B24B34">
      <w:r>
        <w:separator/>
      </w:r>
    </w:p>
  </w:endnote>
  <w:endnote w:type="continuationSeparator" w:id="0">
    <w:p w:rsidR="006F5476" w:rsidRDefault="006F5476" w:rsidP="00B24B34">
      <w:r>
        <w:continuationSeparator/>
      </w:r>
    </w:p>
  </w:endnote>
  <w:endnote w:type="continuationNotice" w:id="1">
    <w:p w:rsidR="006F5476" w:rsidRDefault="006F5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476" w:rsidRPr="00921B68" w:rsidRDefault="006F5476" w:rsidP="007330CE">
    <w:pPr>
      <w:pStyle w:val="Header"/>
      <w:jc w:val="right"/>
      <w:rPr>
        <w:rFonts w:ascii="Arial" w:hAnsi="Arial" w:cs="Arial"/>
        <w:sz w:val="22"/>
        <w:szCs w:val="22"/>
      </w:rPr>
    </w:pPr>
    <w:r w:rsidRPr="00921B68">
      <w:rPr>
        <w:rFonts w:ascii="Arial" w:hAnsi="Arial" w:cs="Arial"/>
        <w:sz w:val="22"/>
        <w:szCs w:val="22"/>
      </w:rPr>
      <w:fldChar w:fldCharType="begin"/>
    </w:r>
    <w:r w:rsidRPr="00921B68">
      <w:rPr>
        <w:rFonts w:ascii="Arial" w:hAnsi="Arial" w:cs="Arial"/>
        <w:sz w:val="22"/>
        <w:szCs w:val="22"/>
      </w:rPr>
      <w:instrText xml:space="preserve"> PAGE   \* MERGEFORMAT </w:instrText>
    </w:r>
    <w:r w:rsidRPr="00921B68">
      <w:rPr>
        <w:rFonts w:ascii="Arial" w:hAnsi="Arial" w:cs="Arial"/>
        <w:sz w:val="22"/>
        <w:szCs w:val="22"/>
      </w:rPr>
      <w:fldChar w:fldCharType="separate"/>
    </w:r>
    <w:r w:rsidR="00217843">
      <w:rPr>
        <w:rFonts w:ascii="Arial" w:hAnsi="Arial" w:cs="Arial"/>
        <w:noProof/>
        <w:sz w:val="22"/>
        <w:szCs w:val="22"/>
      </w:rPr>
      <w:t>1</w:t>
    </w:r>
    <w:r w:rsidRPr="00921B68">
      <w:rPr>
        <w:rFonts w:ascii="Arial" w:hAnsi="Arial" w:cs="Arial"/>
        <w:noProof/>
        <w:sz w:val="22"/>
        <w:szCs w:val="22"/>
      </w:rPr>
      <w:fldChar w:fldCharType="end"/>
    </w:r>
  </w:p>
  <w:p w:rsidR="006F5476" w:rsidRPr="007330CE" w:rsidRDefault="006F5476" w:rsidP="007330CE">
    <w:pPr>
      <w:pStyle w:val="Footer"/>
      <w:jc w:val="right"/>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476" w:rsidRDefault="006F5476" w:rsidP="00B24B34">
      <w:r>
        <w:separator/>
      </w:r>
    </w:p>
  </w:footnote>
  <w:footnote w:type="continuationSeparator" w:id="0">
    <w:p w:rsidR="006F5476" w:rsidRDefault="006F5476" w:rsidP="00B24B34">
      <w:r>
        <w:continuationSeparator/>
      </w:r>
    </w:p>
  </w:footnote>
  <w:footnote w:type="continuationNotice" w:id="1">
    <w:p w:rsidR="006F5476" w:rsidRDefault="006F5476"/>
  </w:footnote>
  <w:footnote w:id="2">
    <w:p w:rsidR="008641ED" w:rsidRPr="008641ED" w:rsidRDefault="008641ED" w:rsidP="008641ED">
      <w:pPr>
        <w:pStyle w:val="FootnoteText"/>
        <w:tabs>
          <w:tab w:val="left" w:pos="567"/>
        </w:tabs>
        <w:rPr>
          <w:lang w:val="fr-CH"/>
        </w:rPr>
      </w:pPr>
      <w:r w:rsidRPr="00217843">
        <w:rPr>
          <w:rStyle w:val="FootnoteReference"/>
          <w:lang w:val="fr-FR"/>
        </w:rPr>
        <w:t>*</w:t>
      </w:r>
      <w:r w:rsidRPr="00217843">
        <w:rPr>
          <w:lang w:val="fr-FR"/>
        </w:rPr>
        <w:tab/>
      </w:r>
      <w:r w:rsidRPr="00F71CD1">
        <w:rPr>
          <w:rFonts w:ascii="Arial" w:hAnsi="Arial" w:cs="Arial"/>
          <w:sz w:val="18"/>
          <w:szCs w:val="18"/>
          <w:lang w:val="fr-FR"/>
        </w:rPr>
        <w:t>Note du Secrétariat de l’OMPI</w:t>
      </w:r>
      <w:r>
        <w:rPr>
          <w:rFonts w:ascii="Arial" w:hAnsi="Arial" w:cs="Arial"/>
          <w:sz w:val="18"/>
          <w:szCs w:val="18"/>
          <w:lang w:val="fr-FR"/>
        </w:rPr>
        <w:t> </w:t>
      </w:r>
      <w:r w:rsidRPr="00F71CD1">
        <w:rPr>
          <w:rFonts w:ascii="Arial" w:hAnsi="Arial" w:cs="Arial"/>
          <w:sz w:val="18"/>
          <w:szCs w:val="18"/>
          <w:lang w:val="fr-FR"/>
        </w:rPr>
        <w:t>: Étant d</w:t>
      </w:r>
      <w:r>
        <w:rPr>
          <w:rFonts w:ascii="Arial" w:hAnsi="Arial" w:cs="Arial"/>
          <w:sz w:val="18"/>
          <w:szCs w:val="18"/>
          <w:lang w:val="fr-FR"/>
        </w:rPr>
        <w:t>onné que cela fait plus de deux </w:t>
      </w:r>
      <w:r w:rsidRPr="00F71CD1">
        <w:rPr>
          <w:rFonts w:ascii="Arial" w:hAnsi="Arial" w:cs="Arial"/>
          <w:sz w:val="18"/>
          <w:szCs w:val="18"/>
          <w:lang w:val="fr-FR"/>
        </w:rPr>
        <w:t>ans que l’IGC</w:t>
      </w:r>
      <w:r>
        <w:rPr>
          <w:rFonts w:ascii="Arial" w:hAnsi="Arial" w:cs="Arial"/>
          <w:sz w:val="18"/>
          <w:szCs w:val="18"/>
          <w:lang w:val="fr-FR"/>
        </w:rPr>
        <w:t xml:space="preserve"> n’a pas abordé la </w:t>
      </w:r>
      <w:r w:rsidRPr="00F71CD1">
        <w:rPr>
          <w:rFonts w:ascii="Arial" w:hAnsi="Arial" w:cs="Arial"/>
          <w:sz w:val="18"/>
          <w:szCs w:val="18"/>
          <w:lang w:val="fr-FR"/>
        </w:rPr>
        <w:t>question des savoirs traditionnels de manière ciblée (c’était à sa vingt</w:t>
      </w:r>
      <w:r w:rsidRPr="00F71CD1">
        <w:rPr>
          <w:rFonts w:ascii="Arial" w:hAnsi="Arial" w:cs="Arial"/>
          <w:sz w:val="18"/>
          <w:szCs w:val="18"/>
          <w:lang w:val="fr-FR"/>
        </w:rPr>
        <w:noBreakHyphen/>
        <w:t>septième session</w:t>
      </w:r>
      <w:r>
        <w:rPr>
          <w:rFonts w:ascii="Arial" w:hAnsi="Arial" w:cs="Arial"/>
          <w:sz w:val="18"/>
          <w:szCs w:val="18"/>
          <w:lang w:val="fr-FR"/>
        </w:rPr>
        <w:t>, tenue en mars/avril </w:t>
      </w:r>
      <w:r w:rsidRPr="00F71CD1">
        <w:rPr>
          <w:rFonts w:ascii="Arial" w:hAnsi="Arial" w:cs="Arial"/>
          <w:sz w:val="18"/>
          <w:szCs w:val="18"/>
          <w:lang w:val="fr-FR"/>
        </w:rPr>
        <w:t xml:space="preserve">2014) et que le comité ne s’est concentré que sur </w:t>
      </w:r>
      <w:r w:rsidR="001E6CD8">
        <w:rPr>
          <w:rFonts w:ascii="Arial" w:hAnsi="Arial" w:cs="Arial"/>
          <w:sz w:val="18"/>
          <w:szCs w:val="18"/>
          <w:lang w:val="fr-FR"/>
        </w:rPr>
        <w:t>quatre </w:t>
      </w:r>
      <w:r>
        <w:rPr>
          <w:rFonts w:ascii="Arial" w:hAnsi="Arial" w:cs="Arial"/>
          <w:sz w:val="18"/>
          <w:szCs w:val="18"/>
          <w:lang w:val="fr-FR"/>
        </w:rPr>
        <w:t>articles clés depuis </w:t>
      </w:r>
      <w:r w:rsidRPr="00F71CD1">
        <w:rPr>
          <w:rFonts w:ascii="Arial" w:hAnsi="Arial" w:cs="Arial"/>
          <w:sz w:val="18"/>
          <w:szCs w:val="18"/>
          <w:lang w:val="fr-FR"/>
        </w:rPr>
        <w:t>2012, le président de l’IGC</w:t>
      </w:r>
      <w:r>
        <w:rPr>
          <w:rFonts w:ascii="Arial" w:hAnsi="Arial" w:cs="Arial"/>
          <w:sz w:val="18"/>
          <w:szCs w:val="18"/>
          <w:lang w:val="fr-FR"/>
        </w:rPr>
        <w:t>, M. </w:t>
      </w:r>
      <w:r w:rsidRPr="00F71CD1">
        <w:rPr>
          <w:rFonts w:ascii="Arial" w:hAnsi="Arial" w:cs="Arial"/>
          <w:sz w:val="18"/>
          <w:szCs w:val="18"/>
          <w:lang w:val="fr-FR"/>
        </w:rPr>
        <w:t>Ian</w:t>
      </w:r>
      <w:r>
        <w:rPr>
          <w:rFonts w:ascii="Arial" w:hAnsi="Arial" w:cs="Arial"/>
          <w:sz w:val="18"/>
          <w:szCs w:val="18"/>
          <w:lang w:val="fr-FR"/>
        </w:rPr>
        <w:t> </w:t>
      </w:r>
      <w:r w:rsidRPr="00F71CD1">
        <w:rPr>
          <w:rFonts w:ascii="Arial" w:hAnsi="Arial" w:cs="Arial"/>
          <w:sz w:val="18"/>
          <w:szCs w:val="18"/>
          <w:lang w:val="fr-FR"/>
        </w:rPr>
        <w:t xml:space="preserve">Goss, a </w:t>
      </w:r>
      <w:r w:rsidR="001E6CD8">
        <w:rPr>
          <w:rFonts w:ascii="Arial" w:hAnsi="Arial" w:cs="Arial"/>
          <w:sz w:val="18"/>
          <w:szCs w:val="18"/>
          <w:lang w:val="fr-FR"/>
        </w:rPr>
        <w:t>établi la présente</w:t>
      </w:r>
      <w:r w:rsidRPr="00F71CD1">
        <w:rPr>
          <w:rFonts w:ascii="Arial" w:hAnsi="Arial" w:cs="Arial"/>
          <w:sz w:val="18"/>
          <w:szCs w:val="18"/>
          <w:lang w:val="fr-FR"/>
        </w:rPr>
        <w:t xml:space="preserve"> note d’information afin de rafraîchir la mémoire des délégués quant au contexte du document WIPO/GRTKF/IC/31/4 et des questions essentielles concernant la propriété intellectuelle et les savoirs traditionnels.</w:t>
      </w:r>
    </w:p>
  </w:footnote>
  <w:footnote w:id="3">
    <w:p w:rsidR="006F5476" w:rsidRPr="00F71CD1" w:rsidRDefault="006F5476" w:rsidP="00525EB9">
      <w:pPr>
        <w:pStyle w:val="FootnoteText"/>
        <w:tabs>
          <w:tab w:val="left" w:pos="567"/>
        </w:tabs>
        <w:rPr>
          <w:rFonts w:ascii="Arial" w:hAnsi="Arial" w:cs="Arial"/>
          <w:sz w:val="18"/>
          <w:szCs w:val="18"/>
          <w:lang w:val="fr-CH"/>
        </w:rPr>
      </w:pPr>
      <w:r w:rsidRPr="00F71CD1">
        <w:rPr>
          <w:rStyle w:val="FootnoteReference"/>
          <w:rFonts w:ascii="Arial" w:hAnsi="Arial" w:cs="Arial"/>
          <w:sz w:val="18"/>
          <w:szCs w:val="18"/>
        </w:rPr>
        <w:footnoteRef/>
      </w:r>
      <w:r w:rsidR="007575FA" w:rsidRPr="00F71CD1">
        <w:rPr>
          <w:rFonts w:ascii="Arial" w:hAnsi="Arial" w:cs="Arial"/>
          <w:sz w:val="18"/>
          <w:szCs w:val="18"/>
          <w:lang w:val="fr-CH"/>
        </w:rPr>
        <w:tab/>
      </w:r>
      <w:r w:rsidRPr="00F71CD1">
        <w:rPr>
          <w:rFonts w:ascii="Arial" w:hAnsi="Arial" w:cs="Arial"/>
          <w:sz w:val="18"/>
          <w:szCs w:val="18"/>
          <w:lang w:val="fr-CH"/>
        </w:rPr>
        <w:t>Concernant la nature des savoirs traditionnels, le document</w:t>
      </w:r>
      <w:r w:rsidR="001F5F84" w:rsidRPr="00F71CD1">
        <w:rPr>
          <w:rFonts w:ascii="Arial" w:hAnsi="Arial" w:cs="Arial"/>
          <w:sz w:val="18"/>
          <w:szCs w:val="18"/>
          <w:lang w:val="fr-CH"/>
        </w:rPr>
        <w:t xml:space="preserve"> </w:t>
      </w:r>
      <w:r w:rsidRPr="00F71CD1">
        <w:rPr>
          <w:rFonts w:ascii="Arial" w:hAnsi="Arial" w:cs="Arial"/>
          <w:sz w:val="18"/>
          <w:szCs w:val="18"/>
          <w:lang w:val="fr-CH"/>
        </w:rPr>
        <w:t>WIPO/GRTKF/IC/17/INF/9 (</w:t>
      </w:r>
      <w:r w:rsidRPr="00F71CD1">
        <w:rPr>
          <w:rFonts w:ascii="Arial" w:hAnsi="Arial" w:cs="Arial"/>
          <w:i/>
          <w:sz w:val="18"/>
          <w:szCs w:val="18"/>
          <w:lang w:val="fr-CH"/>
        </w:rPr>
        <w:t>Liste et explication technique succincte des différentes formes sous lesquelles les savoirs traditionnels peuvent se présenter</w:t>
      </w:r>
      <w:r w:rsidRPr="00F71CD1">
        <w:rPr>
          <w:rFonts w:ascii="Arial" w:hAnsi="Arial" w:cs="Arial"/>
          <w:sz w:val="18"/>
          <w:szCs w:val="18"/>
          <w:lang w:val="fr-CH"/>
        </w:rPr>
        <w:t>) décrit les différentes formes sous lesquelles les savoirs traditionnels peuvent se présenter.</w:t>
      </w:r>
    </w:p>
  </w:footnote>
  <w:footnote w:id="4">
    <w:p w:rsidR="006F5476" w:rsidRPr="00F71CD1" w:rsidRDefault="006F5476" w:rsidP="00525EB9">
      <w:pPr>
        <w:pStyle w:val="FootnoteText"/>
        <w:tabs>
          <w:tab w:val="left" w:pos="567"/>
        </w:tabs>
        <w:rPr>
          <w:rFonts w:ascii="Arial" w:hAnsi="Arial" w:cs="Arial"/>
          <w:sz w:val="18"/>
          <w:szCs w:val="18"/>
          <w:lang w:val="fr-CH"/>
        </w:rPr>
      </w:pPr>
      <w:r w:rsidRPr="00F71CD1">
        <w:rPr>
          <w:rStyle w:val="FootnoteReference"/>
          <w:rFonts w:ascii="Arial" w:hAnsi="Arial" w:cs="Arial"/>
          <w:sz w:val="18"/>
          <w:szCs w:val="18"/>
        </w:rPr>
        <w:footnoteRef/>
      </w:r>
      <w:r w:rsidR="00525EB9" w:rsidRPr="00F71CD1">
        <w:rPr>
          <w:rFonts w:ascii="Arial" w:hAnsi="Arial" w:cs="Arial"/>
          <w:sz w:val="18"/>
          <w:szCs w:val="18"/>
          <w:lang w:val="fr-CH"/>
        </w:rPr>
        <w:tab/>
      </w:r>
      <w:r w:rsidRPr="00F71CD1">
        <w:rPr>
          <w:rFonts w:ascii="Arial" w:hAnsi="Arial" w:cs="Arial"/>
          <w:sz w:val="18"/>
          <w:szCs w:val="18"/>
          <w:lang w:val="fr-CH"/>
        </w:rPr>
        <w:t>À ce sujet, il peut être utile de rappeler deux</w:t>
      </w:r>
      <w:r w:rsidR="00BB5364" w:rsidRPr="00F71CD1">
        <w:rPr>
          <w:rFonts w:ascii="Arial" w:hAnsi="Arial" w:cs="Arial"/>
          <w:sz w:val="18"/>
          <w:szCs w:val="18"/>
          <w:lang w:val="fr-CH"/>
        </w:rPr>
        <w:t> </w:t>
      </w:r>
      <w:r w:rsidRPr="00F71CD1">
        <w:rPr>
          <w:rFonts w:ascii="Arial" w:hAnsi="Arial" w:cs="Arial"/>
          <w:sz w:val="18"/>
          <w:szCs w:val="18"/>
          <w:lang w:val="fr-CH"/>
        </w:rPr>
        <w:t>commentaires formulés dans le document officieux établi en vue de la vingtième</w:t>
      </w:r>
      <w:r w:rsidR="00633559" w:rsidRPr="00F71CD1">
        <w:rPr>
          <w:rFonts w:ascii="Arial" w:hAnsi="Arial" w:cs="Arial"/>
          <w:sz w:val="18"/>
          <w:szCs w:val="18"/>
          <w:lang w:val="fr-CH"/>
        </w:rPr>
        <w:noBreakHyphen/>
      </w:r>
      <w:r w:rsidRPr="00F71CD1">
        <w:rPr>
          <w:rFonts w:ascii="Arial" w:hAnsi="Arial" w:cs="Arial"/>
          <w:sz w:val="18"/>
          <w:szCs w:val="18"/>
          <w:lang w:val="fr-CH"/>
        </w:rPr>
        <w:t>septième</w:t>
      </w:r>
      <w:r w:rsidR="00BB5364" w:rsidRPr="00F71CD1">
        <w:rPr>
          <w:rFonts w:ascii="Arial" w:hAnsi="Arial" w:cs="Arial"/>
          <w:sz w:val="18"/>
          <w:szCs w:val="18"/>
          <w:lang w:val="fr-CH"/>
        </w:rPr>
        <w:t> </w:t>
      </w:r>
      <w:r w:rsidRPr="00F71CD1">
        <w:rPr>
          <w:rFonts w:ascii="Arial" w:hAnsi="Arial" w:cs="Arial"/>
          <w:sz w:val="18"/>
          <w:szCs w:val="18"/>
          <w:lang w:val="fr-CH"/>
        </w:rPr>
        <w:t>session de l</w:t>
      </w:r>
      <w:r w:rsidR="007575FA" w:rsidRPr="00F71CD1">
        <w:rPr>
          <w:rFonts w:ascii="Arial" w:hAnsi="Arial" w:cs="Arial"/>
          <w:sz w:val="18"/>
          <w:szCs w:val="18"/>
          <w:lang w:val="fr-CH"/>
        </w:rPr>
        <w:t>’</w:t>
      </w:r>
      <w:r w:rsidRPr="00F71CD1">
        <w:rPr>
          <w:rFonts w:ascii="Arial" w:hAnsi="Arial" w:cs="Arial"/>
          <w:sz w:val="18"/>
          <w:szCs w:val="18"/>
          <w:lang w:val="fr-CH"/>
        </w:rPr>
        <w:t>IGC par le président d</w:t>
      </w:r>
      <w:r w:rsidR="007575FA" w:rsidRPr="00F71CD1">
        <w:rPr>
          <w:rFonts w:ascii="Arial" w:hAnsi="Arial" w:cs="Arial"/>
          <w:sz w:val="18"/>
          <w:szCs w:val="18"/>
          <w:lang w:val="fr-CH"/>
        </w:rPr>
        <w:t>’</w:t>
      </w:r>
      <w:r w:rsidRPr="00F71CD1">
        <w:rPr>
          <w:rFonts w:ascii="Arial" w:hAnsi="Arial" w:cs="Arial"/>
          <w:sz w:val="18"/>
          <w:szCs w:val="18"/>
          <w:lang w:val="fr-CH"/>
        </w:rPr>
        <w:t>alors du comité</w:t>
      </w:r>
      <w:r w:rsidR="00BB5364" w:rsidRPr="00F71CD1">
        <w:rPr>
          <w:rFonts w:ascii="Arial" w:hAnsi="Arial" w:cs="Arial"/>
          <w:sz w:val="18"/>
          <w:szCs w:val="18"/>
          <w:lang w:val="fr-CH"/>
        </w:rPr>
        <w:t> </w:t>
      </w:r>
      <w:r w:rsidRPr="00F71CD1">
        <w:rPr>
          <w:rFonts w:ascii="Arial" w:hAnsi="Arial" w:cs="Arial"/>
          <w:sz w:val="18"/>
          <w:szCs w:val="18"/>
          <w:lang w:val="fr-CH"/>
        </w:rPr>
        <w:t>:</w:t>
      </w:r>
    </w:p>
    <w:p w:rsidR="006F5476" w:rsidRPr="00F71CD1" w:rsidRDefault="006F5476" w:rsidP="00525EB9">
      <w:pPr>
        <w:pStyle w:val="FootnoteText"/>
        <w:numPr>
          <w:ilvl w:val="0"/>
          <w:numId w:val="14"/>
        </w:numPr>
        <w:tabs>
          <w:tab w:val="left" w:pos="567"/>
        </w:tabs>
        <w:ind w:left="0" w:firstLine="0"/>
        <w:rPr>
          <w:rFonts w:ascii="Arial" w:hAnsi="Arial" w:cs="Arial"/>
          <w:sz w:val="18"/>
          <w:szCs w:val="18"/>
          <w:lang w:val="fr-CH"/>
        </w:rPr>
      </w:pPr>
      <w:r w:rsidRPr="00F71CD1">
        <w:rPr>
          <w:rFonts w:ascii="Arial" w:hAnsi="Arial" w:cs="Arial"/>
          <w:sz w:val="18"/>
          <w:szCs w:val="18"/>
          <w:lang w:val="fr-CH"/>
        </w:rPr>
        <w:t xml:space="preserve">Les caractéristiques des savoirs traditionnels (et des expressions culturelles traditionnelles) varient considérablement dans les différentes parties du monde. </w:t>
      </w:r>
      <w:r w:rsidR="00BB5364" w:rsidRPr="00F71CD1">
        <w:rPr>
          <w:rFonts w:ascii="Arial" w:hAnsi="Arial" w:cs="Arial"/>
          <w:sz w:val="18"/>
          <w:szCs w:val="18"/>
          <w:lang w:val="fr-CH"/>
        </w:rPr>
        <w:t xml:space="preserve"> </w:t>
      </w:r>
      <w:r w:rsidRPr="00F71CD1">
        <w:rPr>
          <w:rFonts w:ascii="Arial" w:hAnsi="Arial" w:cs="Arial"/>
          <w:sz w:val="18"/>
          <w:szCs w:val="18"/>
          <w:lang w:val="fr-CH"/>
        </w:rPr>
        <w:t>C</w:t>
      </w:r>
      <w:r w:rsidR="007575FA" w:rsidRPr="00F71CD1">
        <w:rPr>
          <w:rFonts w:ascii="Arial" w:hAnsi="Arial" w:cs="Arial"/>
          <w:sz w:val="18"/>
          <w:szCs w:val="18"/>
          <w:lang w:val="fr-CH"/>
        </w:rPr>
        <w:t>’</w:t>
      </w:r>
      <w:r w:rsidRPr="00F71CD1">
        <w:rPr>
          <w:rFonts w:ascii="Arial" w:hAnsi="Arial" w:cs="Arial"/>
          <w:sz w:val="18"/>
          <w:szCs w:val="18"/>
          <w:lang w:val="fr-CH"/>
        </w:rPr>
        <w:t xml:space="preserve">est pourquoi il importe de </w:t>
      </w:r>
      <w:r w:rsidR="008A6717" w:rsidRPr="00F71CD1">
        <w:rPr>
          <w:rFonts w:ascii="Arial" w:hAnsi="Arial" w:cs="Arial"/>
          <w:sz w:val="18"/>
          <w:szCs w:val="18"/>
          <w:lang w:val="fr-CH"/>
        </w:rPr>
        <w:t>déterminer</w:t>
      </w:r>
      <w:r w:rsidRPr="00F71CD1">
        <w:rPr>
          <w:rFonts w:ascii="Arial" w:hAnsi="Arial" w:cs="Arial"/>
          <w:sz w:val="18"/>
          <w:szCs w:val="18"/>
          <w:lang w:val="fr-CH"/>
        </w:rPr>
        <w:t xml:space="preserve"> les caractéristiques universelles de haut niveau </w:t>
      </w:r>
      <w:r w:rsidR="008A6717" w:rsidRPr="00F71CD1">
        <w:rPr>
          <w:rFonts w:ascii="Arial" w:hAnsi="Arial" w:cs="Arial"/>
          <w:sz w:val="18"/>
          <w:szCs w:val="18"/>
          <w:lang w:val="fr-CH"/>
        </w:rPr>
        <w:t>qui devraient</w:t>
      </w:r>
      <w:r w:rsidRPr="00F71CD1">
        <w:rPr>
          <w:rFonts w:ascii="Arial" w:hAnsi="Arial" w:cs="Arial"/>
          <w:sz w:val="18"/>
          <w:szCs w:val="18"/>
          <w:lang w:val="fr-CH"/>
        </w:rPr>
        <w:t xml:space="preserve"> figurer dans un instrument international.</w:t>
      </w:r>
    </w:p>
    <w:p w:rsidR="006F5476" w:rsidRPr="00F71CD1" w:rsidRDefault="006F5476" w:rsidP="00525EB9">
      <w:pPr>
        <w:pStyle w:val="FootnoteText"/>
        <w:numPr>
          <w:ilvl w:val="0"/>
          <w:numId w:val="14"/>
        </w:numPr>
        <w:tabs>
          <w:tab w:val="left" w:pos="567"/>
        </w:tabs>
        <w:ind w:left="0" w:firstLine="0"/>
        <w:rPr>
          <w:rFonts w:ascii="Arial" w:hAnsi="Arial" w:cs="Arial"/>
          <w:sz w:val="18"/>
          <w:szCs w:val="18"/>
          <w:lang w:val="fr-CH"/>
        </w:rPr>
      </w:pPr>
      <w:r w:rsidRPr="00F71CD1">
        <w:rPr>
          <w:rFonts w:ascii="Arial" w:hAnsi="Arial" w:cs="Arial"/>
          <w:sz w:val="18"/>
          <w:szCs w:val="18"/>
          <w:lang w:val="fr-CH"/>
        </w:rPr>
        <w:t>D</w:t>
      </w:r>
      <w:r w:rsidR="007575FA" w:rsidRPr="00F71CD1">
        <w:rPr>
          <w:rFonts w:ascii="Arial" w:hAnsi="Arial" w:cs="Arial"/>
          <w:sz w:val="18"/>
          <w:szCs w:val="18"/>
          <w:lang w:val="fr-CH"/>
        </w:rPr>
        <w:t>’</w:t>
      </w:r>
      <w:r w:rsidRPr="00F71CD1">
        <w:rPr>
          <w:rFonts w:ascii="Arial" w:hAnsi="Arial" w:cs="Arial"/>
          <w:sz w:val="18"/>
          <w:szCs w:val="18"/>
          <w:lang w:val="fr-CH"/>
        </w:rPr>
        <w:t>une manière plus générale, on peut estimer soit que la définition devrait être suffisamment large pour couvrir toutes les formes de savoirs traditionnels et d</w:t>
      </w:r>
      <w:r w:rsidR="007575FA" w:rsidRPr="00F71CD1">
        <w:rPr>
          <w:rFonts w:ascii="Arial" w:hAnsi="Arial" w:cs="Arial"/>
          <w:sz w:val="18"/>
          <w:szCs w:val="18"/>
          <w:lang w:val="fr-CH"/>
        </w:rPr>
        <w:t>’</w:t>
      </w:r>
      <w:r w:rsidRPr="00F71CD1">
        <w:rPr>
          <w:rFonts w:ascii="Arial" w:hAnsi="Arial" w:cs="Arial"/>
          <w:sz w:val="18"/>
          <w:szCs w:val="18"/>
          <w:lang w:val="fr-CH"/>
        </w:rPr>
        <w:t>expressions culturelles traditionnelles, soit qu</w:t>
      </w:r>
      <w:r w:rsidR="007575FA" w:rsidRPr="00F71CD1">
        <w:rPr>
          <w:rFonts w:ascii="Arial" w:hAnsi="Arial" w:cs="Arial"/>
          <w:sz w:val="18"/>
          <w:szCs w:val="18"/>
          <w:lang w:val="fr-CH"/>
        </w:rPr>
        <w:t>’</w:t>
      </w:r>
      <w:r w:rsidRPr="00F71CD1">
        <w:rPr>
          <w:rFonts w:ascii="Arial" w:hAnsi="Arial" w:cs="Arial"/>
          <w:sz w:val="18"/>
          <w:szCs w:val="18"/>
          <w:lang w:val="fr-CH"/>
        </w:rPr>
        <w:t>elle devrait être précise et restreinte à des fins de clarté et de transparence.  Si la définition est large, alors d</w:t>
      </w:r>
      <w:r w:rsidR="007575FA" w:rsidRPr="00F71CD1">
        <w:rPr>
          <w:rFonts w:ascii="Arial" w:hAnsi="Arial" w:cs="Arial"/>
          <w:sz w:val="18"/>
          <w:szCs w:val="18"/>
          <w:lang w:val="fr-CH"/>
        </w:rPr>
        <w:t>’</w:t>
      </w:r>
      <w:r w:rsidRPr="00F71CD1">
        <w:rPr>
          <w:rFonts w:ascii="Arial" w:hAnsi="Arial" w:cs="Arial"/>
          <w:sz w:val="18"/>
          <w:szCs w:val="18"/>
          <w:lang w:val="fr-CH"/>
        </w:rPr>
        <w:t xml:space="preserve">autres éléments, comme les critères </w:t>
      </w:r>
      <w:r w:rsidR="008A6717" w:rsidRPr="00F71CD1">
        <w:rPr>
          <w:rFonts w:ascii="Arial" w:hAnsi="Arial" w:cs="Arial"/>
          <w:sz w:val="18"/>
          <w:szCs w:val="18"/>
          <w:lang w:val="fr-CH"/>
        </w:rPr>
        <w:t>à remplir pour bénéficier de</w:t>
      </w:r>
      <w:r w:rsidRPr="00F71CD1">
        <w:rPr>
          <w:rFonts w:ascii="Arial" w:hAnsi="Arial" w:cs="Arial"/>
          <w:sz w:val="18"/>
          <w:szCs w:val="18"/>
          <w:lang w:val="fr-CH"/>
        </w:rPr>
        <w:t xml:space="preserve"> la protection ou les exceptions et limitations, devraient probablement jouer le rôle de filtre pour limiter l</w:t>
      </w:r>
      <w:r w:rsidR="007575FA" w:rsidRPr="00F71CD1">
        <w:rPr>
          <w:rFonts w:ascii="Arial" w:hAnsi="Arial" w:cs="Arial"/>
          <w:sz w:val="18"/>
          <w:szCs w:val="18"/>
          <w:lang w:val="fr-CH"/>
        </w:rPr>
        <w:t>’</w:t>
      </w:r>
      <w:r w:rsidRPr="00F71CD1">
        <w:rPr>
          <w:rFonts w:ascii="Arial" w:hAnsi="Arial" w:cs="Arial"/>
          <w:sz w:val="18"/>
          <w:szCs w:val="18"/>
          <w:lang w:val="fr-CH"/>
        </w:rPr>
        <w:t>attribution des droits, car sinon, il serait nécessaire de restreindre l</w:t>
      </w:r>
      <w:r w:rsidR="007575FA" w:rsidRPr="00F71CD1">
        <w:rPr>
          <w:rFonts w:ascii="Arial" w:hAnsi="Arial" w:cs="Arial"/>
          <w:sz w:val="18"/>
          <w:szCs w:val="18"/>
          <w:lang w:val="fr-CH"/>
        </w:rPr>
        <w:t>’</w:t>
      </w:r>
      <w:r w:rsidRPr="00F71CD1">
        <w:rPr>
          <w:rFonts w:ascii="Arial" w:hAnsi="Arial" w:cs="Arial"/>
          <w:sz w:val="18"/>
          <w:szCs w:val="18"/>
          <w:lang w:val="fr-CH"/>
        </w:rPr>
        <w:t>étendue de la protection (c</w:t>
      </w:r>
      <w:r w:rsidR="007575FA" w:rsidRPr="00F71CD1">
        <w:rPr>
          <w:rFonts w:ascii="Arial" w:hAnsi="Arial" w:cs="Arial"/>
          <w:sz w:val="18"/>
          <w:szCs w:val="18"/>
          <w:lang w:val="fr-CH"/>
        </w:rPr>
        <w:t>’</w:t>
      </w:r>
      <w:r w:rsidRPr="00F71CD1">
        <w:rPr>
          <w:rFonts w:ascii="Arial" w:hAnsi="Arial" w:cs="Arial"/>
          <w:sz w:val="18"/>
          <w:szCs w:val="18"/>
          <w:lang w:val="fr-CH"/>
        </w:rPr>
        <w:t>est</w:t>
      </w:r>
      <w:r w:rsidR="00525EB9" w:rsidRPr="00F71CD1">
        <w:rPr>
          <w:rFonts w:ascii="Arial" w:hAnsi="Arial" w:cs="Arial"/>
          <w:sz w:val="18"/>
          <w:szCs w:val="18"/>
          <w:lang w:val="fr-CH"/>
        </w:rPr>
        <w:noBreakHyphen/>
      </w:r>
      <w:r w:rsidRPr="00F71CD1">
        <w:rPr>
          <w:rFonts w:ascii="Arial" w:hAnsi="Arial" w:cs="Arial"/>
          <w:sz w:val="18"/>
          <w:szCs w:val="18"/>
          <w:lang w:val="fr-CH"/>
        </w:rPr>
        <w:t>à</w:t>
      </w:r>
      <w:r w:rsidR="00525EB9" w:rsidRPr="00F71CD1">
        <w:rPr>
          <w:rFonts w:ascii="Arial" w:hAnsi="Arial" w:cs="Arial"/>
          <w:sz w:val="18"/>
          <w:szCs w:val="18"/>
          <w:lang w:val="fr-CH"/>
        </w:rPr>
        <w:noBreakHyphen/>
      </w:r>
      <w:r w:rsidRPr="00F71CD1">
        <w:rPr>
          <w:rFonts w:ascii="Arial" w:hAnsi="Arial" w:cs="Arial"/>
          <w:sz w:val="18"/>
          <w:szCs w:val="18"/>
          <w:lang w:val="fr-CH"/>
        </w:rPr>
        <w:t>dire l</w:t>
      </w:r>
      <w:r w:rsidR="007575FA" w:rsidRPr="00F71CD1">
        <w:rPr>
          <w:rFonts w:ascii="Arial" w:hAnsi="Arial" w:cs="Arial"/>
          <w:sz w:val="18"/>
          <w:szCs w:val="18"/>
          <w:lang w:val="fr-CH"/>
        </w:rPr>
        <w:t>’</w:t>
      </w:r>
      <w:r w:rsidRPr="00F71CD1">
        <w:rPr>
          <w:rFonts w:ascii="Arial" w:hAnsi="Arial" w:cs="Arial"/>
          <w:sz w:val="18"/>
          <w:szCs w:val="18"/>
          <w:lang w:val="fr-CH"/>
        </w:rPr>
        <w:t>étendue des droits) pour parvenir à un accord.  Il existe donc une interaction entre les questions essentielles de la définition de l</w:t>
      </w:r>
      <w:r w:rsidR="007575FA" w:rsidRPr="00F71CD1">
        <w:rPr>
          <w:rFonts w:ascii="Arial" w:hAnsi="Arial" w:cs="Arial"/>
          <w:sz w:val="18"/>
          <w:szCs w:val="18"/>
          <w:lang w:val="fr-CH"/>
        </w:rPr>
        <w:t>’</w:t>
      </w:r>
      <w:r w:rsidRPr="00F71CD1">
        <w:rPr>
          <w:rFonts w:ascii="Arial" w:hAnsi="Arial" w:cs="Arial"/>
          <w:sz w:val="18"/>
          <w:szCs w:val="18"/>
          <w:lang w:val="fr-CH"/>
        </w:rPr>
        <w:t>objet, de l</w:t>
      </w:r>
      <w:r w:rsidR="007575FA" w:rsidRPr="00F71CD1">
        <w:rPr>
          <w:rFonts w:ascii="Arial" w:hAnsi="Arial" w:cs="Arial"/>
          <w:sz w:val="18"/>
          <w:szCs w:val="18"/>
          <w:lang w:val="fr-CH"/>
        </w:rPr>
        <w:t>’</w:t>
      </w:r>
      <w:r w:rsidRPr="00F71CD1">
        <w:rPr>
          <w:rFonts w:ascii="Arial" w:hAnsi="Arial" w:cs="Arial"/>
          <w:sz w:val="18"/>
          <w:szCs w:val="18"/>
          <w:lang w:val="fr-CH"/>
        </w:rPr>
        <w:t>étendue des droits et des exceptions et limitations.  On peut aussi voir un lien entre cette interaction et l</w:t>
      </w:r>
      <w:r w:rsidR="007575FA" w:rsidRPr="00F71CD1">
        <w:rPr>
          <w:rFonts w:ascii="Arial" w:hAnsi="Arial" w:cs="Arial"/>
          <w:sz w:val="18"/>
          <w:szCs w:val="18"/>
          <w:lang w:val="fr-CH"/>
        </w:rPr>
        <w:t>’</w:t>
      </w:r>
      <w:r w:rsidRPr="00F71CD1">
        <w:rPr>
          <w:rFonts w:ascii="Arial" w:hAnsi="Arial" w:cs="Arial"/>
          <w:sz w:val="18"/>
          <w:szCs w:val="18"/>
          <w:lang w:val="fr-CH"/>
        </w:rPr>
        <w:t>équilibre inhérent à tout type de système de protection de la propriété intellectuelle (et sous</w:t>
      </w:r>
      <w:r w:rsidR="00525EB9" w:rsidRPr="00F71CD1">
        <w:rPr>
          <w:rFonts w:ascii="Arial" w:hAnsi="Arial" w:cs="Arial"/>
          <w:sz w:val="18"/>
          <w:szCs w:val="18"/>
          <w:lang w:val="fr-CH"/>
        </w:rPr>
        <w:noBreakHyphen/>
      </w:r>
      <w:r w:rsidRPr="00F71CD1">
        <w:rPr>
          <w:rFonts w:ascii="Arial" w:hAnsi="Arial" w:cs="Arial"/>
          <w:sz w:val="18"/>
          <w:szCs w:val="18"/>
          <w:lang w:val="fr-CH"/>
        </w:rPr>
        <w:t>jacent à la fois aux quatre</w:t>
      </w:r>
      <w:r w:rsidR="00BB5364" w:rsidRPr="00F71CD1">
        <w:rPr>
          <w:rFonts w:ascii="Arial" w:hAnsi="Arial" w:cs="Arial"/>
          <w:sz w:val="18"/>
          <w:szCs w:val="18"/>
          <w:lang w:val="fr-CH"/>
        </w:rPr>
        <w:t> </w:t>
      </w:r>
      <w:r w:rsidRPr="00F71CD1">
        <w:rPr>
          <w:rFonts w:ascii="Arial" w:hAnsi="Arial" w:cs="Arial"/>
          <w:sz w:val="18"/>
          <w:szCs w:val="18"/>
          <w:lang w:val="fr-CH"/>
        </w:rPr>
        <w:t>questions transversales), c</w:t>
      </w:r>
      <w:r w:rsidR="007575FA" w:rsidRPr="00F71CD1">
        <w:rPr>
          <w:rFonts w:ascii="Arial" w:hAnsi="Arial" w:cs="Arial"/>
          <w:sz w:val="18"/>
          <w:szCs w:val="18"/>
          <w:lang w:val="fr-CH"/>
        </w:rPr>
        <w:t>’</w:t>
      </w:r>
      <w:r w:rsidRPr="00F71CD1">
        <w:rPr>
          <w:rFonts w:ascii="Arial" w:hAnsi="Arial" w:cs="Arial"/>
          <w:sz w:val="18"/>
          <w:szCs w:val="18"/>
          <w:lang w:val="fr-CH"/>
        </w:rPr>
        <w:t>est</w:t>
      </w:r>
      <w:r w:rsidR="00525EB9" w:rsidRPr="00F71CD1">
        <w:rPr>
          <w:rFonts w:ascii="Arial" w:hAnsi="Arial" w:cs="Arial"/>
          <w:sz w:val="18"/>
          <w:szCs w:val="18"/>
          <w:lang w:val="fr-CH"/>
        </w:rPr>
        <w:noBreakHyphen/>
      </w:r>
      <w:r w:rsidRPr="00F71CD1">
        <w:rPr>
          <w:rFonts w:ascii="Arial" w:hAnsi="Arial" w:cs="Arial"/>
          <w:sz w:val="18"/>
          <w:szCs w:val="18"/>
          <w:lang w:val="fr-CH"/>
        </w:rPr>
        <w:t>à</w:t>
      </w:r>
      <w:r w:rsidR="00525EB9" w:rsidRPr="00F71CD1">
        <w:rPr>
          <w:rFonts w:ascii="Arial" w:hAnsi="Arial" w:cs="Arial"/>
          <w:sz w:val="18"/>
          <w:szCs w:val="18"/>
          <w:lang w:val="fr-CH"/>
        </w:rPr>
        <w:noBreakHyphen/>
      </w:r>
      <w:r w:rsidRPr="00F71CD1">
        <w:rPr>
          <w:rFonts w:ascii="Arial" w:hAnsi="Arial" w:cs="Arial"/>
          <w:sz w:val="18"/>
          <w:szCs w:val="18"/>
          <w:lang w:val="fr-CH"/>
        </w:rPr>
        <w:t>dire l</w:t>
      </w:r>
      <w:r w:rsidR="007575FA" w:rsidRPr="00F71CD1">
        <w:rPr>
          <w:rFonts w:ascii="Arial" w:hAnsi="Arial" w:cs="Arial"/>
          <w:sz w:val="18"/>
          <w:szCs w:val="18"/>
          <w:lang w:val="fr-CH"/>
        </w:rPr>
        <w:t>’</w:t>
      </w:r>
      <w:r w:rsidRPr="00F71CD1">
        <w:rPr>
          <w:rFonts w:ascii="Arial" w:hAnsi="Arial" w:cs="Arial"/>
          <w:sz w:val="18"/>
          <w:szCs w:val="18"/>
          <w:lang w:val="fr-CH"/>
        </w:rPr>
        <w:t>équilibre entre les droits privés et les intérêts du public.</w:t>
      </w:r>
    </w:p>
  </w:footnote>
  <w:footnote w:id="5">
    <w:p w:rsidR="006F5476" w:rsidRPr="00F71CD1" w:rsidRDefault="006F5476" w:rsidP="00525EB9">
      <w:pPr>
        <w:pStyle w:val="FootnoteText"/>
        <w:tabs>
          <w:tab w:val="left" w:pos="567"/>
        </w:tabs>
        <w:rPr>
          <w:rFonts w:ascii="Arial" w:hAnsi="Arial" w:cs="Arial"/>
          <w:sz w:val="18"/>
          <w:szCs w:val="18"/>
          <w:lang w:val="fr-CH"/>
        </w:rPr>
      </w:pPr>
      <w:r w:rsidRPr="00F71CD1">
        <w:rPr>
          <w:rStyle w:val="FootnoteReference"/>
          <w:rFonts w:ascii="Arial" w:hAnsi="Arial" w:cs="Arial"/>
          <w:sz w:val="18"/>
          <w:szCs w:val="18"/>
        </w:rPr>
        <w:footnoteRef/>
      </w:r>
      <w:r w:rsidR="00525EB9" w:rsidRPr="00F71CD1">
        <w:rPr>
          <w:rFonts w:ascii="Arial" w:hAnsi="Arial" w:cs="Arial"/>
          <w:sz w:val="18"/>
          <w:szCs w:val="18"/>
          <w:lang w:val="fr-CH"/>
        </w:rPr>
        <w:tab/>
      </w:r>
      <w:r w:rsidRPr="00F71CD1">
        <w:rPr>
          <w:rFonts w:ascii="Arial" w:hAnsi="Arial" w:cs="Arial"/>
          <w:sz w:val="18"/>
          <w:szCs w:val="18"/>
          <w:lang w:val="fr-CH"/>
        </w:rPr>
        <w:t>Ces concepts sont étudiés notamment dans le document</w:t>
      </w:r>
      <w:r w:rsidR="00633559" w:rsidRPr="00F71CD1">
        <w:rPr>
          <w:rFonts w:ascii="Arial" w:hAnsi="Arial" w:cs="Arial"/>
          <w:sz w:val="18"/>
          <w:szCs w:val="18"/>
          <w:lang w:val="fr-CH"/>
        </w:rPr>
        <w:t xml:space="preserve"> </w:t>
      </w:r>
      <w:r w:rsidRPr="00F71CD1">
        <w:rPr>
          <w:rFonts w:ascii="Arial" w:hAnsi="Arial" w:cs="Arial"/>
          <w:sz w:val="18"/>
          <w:szCs w:val="18"/>
          <w:lang w:val="fr-CH"/>
        </w:rPr>
        <w:t>WIPO/GRTKF/IC/17/INF/8 (</w:t>
      </w:r>
      <w:r w:rsidRPr="00F71CD1">
        <w:rPr>
          <w:rFonts w:ascii="Arial" w:hAnsi="Arial" w:cs="Arial"/>
          <w:i/>
          <w:sz w:val="18"/>
          <w:szCs w:val="18"/>
          <w:lang w:val="fr-CH"/>
        </w:rPr>
        <w:t>Note sur les significations du terme “domaine public” dans le système de la propriété intellectuelle, traitant en particulier de la protection des savoirs traditionnels et des expressions culturelles traditionnelles ou expressions du folklore</w:t>
      </w:r>
      <w:r w:rsidRPr="00F71CD1">
        <w:rPr>
          <w:rFonts w:ascii="Arial" w:hAnsi="Arial" w:cs="Arial"/>
          <w:sz w:val="18"/>
          <w:szCs w:val="18"/>
          <w:lang w:val="fr-CH"/>
        </w:rPr>
        <w:t>).  Voir aussi le document</w:t>
      </w:r>
      <w:r w:rsidR="00633559" w:rsidRPr="00F71CD1">
        <w:rPr>
          <w:rFonts w:ascii="Arial" w:hAnsi="Arial" w:cs="Arial"/>
          <w:sz w:val="18"/>
          <w:szCs w:val="18"/>
          <w:lang w:val="fr-CH"/>
        </w:rPr>
        <w:t xml:space="preserve"> </w:t>
      </w:r>
      <w:r w:rsidRPr="00F71CD1">
        <w:rPr>
          <w:rFonts w:ascii="Arial" w:hAnsi="Arial" w:cs="Arial"/>
          <w:sz w:val="18"/>
          <w:szCs w:val="18"/>
          <w:lang w:val="fr-CH"/>
        </w:rPr>
        <w:t>WIPO/GRTKF/IC/31/INF/7 (</w:t>
      </w:r>
      <w:r w:rsidRPr="00F71CD1">
        <w:rPr>
          <w:rFonts w:ascii="Arial" w:hAnsi="Arial" w:cs="Arial"/>
          <w:i/>
          <w:sz w:val="18"/>
          <w:szCs w:val="18"/>
          <w:lang w:val="fr-CH"/>
        </w:rPr>
        <w:t>Glossaire des principaux termes relatifs à la propriété intellectuelle et aux ressources génétiques, aux savoirs traditionnels et aux expressions culturelles traditionnelles</w:t>
      </w:r>
      <w:r w:rsidRPr="00F71CD1">
        <w:rPr>
          <w:rFonts w:ascii="Arial" w:hAnsi="Arial" w:cs="Arial"/>
          <w:sz w:val="18"/>
          <w:szCs w:val="18"/>
          <w:lang w:val="fr-CH"/>
        </w:rPr>
        <w:t>).</w:t>
      </w:r>
    </w:p>
  </w:footnote>
  <w:footnote w:id="6">
    <w:p w:rsidR="006F5476" w:rsidRPr="00F71CD1" w:rsidRDefault="006F5476" w:rsidP="00525EB9">
      <w:pPr>
        <w:pStyle w:val="FootnoteText"/>
        <w:tabs>
          <w:tab w:val="left" w:pos="567"/>
        </w:tabs>
        <w:rPr>
          <w:rFonts w:ascii="Arial" w:hAnsi="Arial" w:cs="Arial"/>
          <w:sz w:val="18"/>
          <w:szCs w:val="18"/>
          <w:lang w:val="fr-CH"/>
        </w:rPr>
      </w:pPr>
      <w:r w:rsidRPr="00F71CD1">
        <w:rPr>
          <w:rStyle w:val="FootnoteReference"/>
          <w:rFonts w:ascii="Arial" w:hAnsi="Arial" w:cs="Arial"/>
          <w:sz w:val="18"/>
          <w:szCs w:val="18"/>
        </w:rPr>
        <w:footnoteRef/>
      </w:r>
      <w:r w:rsidR="00525EB9" w:rsidRPr="00F71CD1">
        <w:rPr>
          <w:rFonts w:ascii="Arial" w:hAnsi="Arial" w:cs="Arial"/>
          <w:sz w:val="18"/>
          <w:szCs w:val="18"/>
          <w:lang w:val="fr-CH"/>
        </w:rPr>
        <w:tab/>
      </w:r>
      <w:r w:rsidRPr="00F71CD1">
        <w:rPr>
          <w:rFonts w:ascii="Arial" w:hAnsi="Arial" w:cs="Arial"/>
          <w:sz w:val="18"/>
          <w:szCs w:val="18"/>
          <w:lang w:val="fr-CH"/>
        </w:rPr>
        <w:t>La version la plus récente du texte relatif aux ressources génétiques est disponible à l</w:t>
      </w:r>
      <w:r w:rsidR="007575FA" w:rsidRPr="00F71CD1">
        <w:rPr>
          <w:rFonts w:ascii="Arial" w:hAnsi="Arial" w:cs="Arial"/>
          <w:sz w:val="18"/>
          <w:szCs w:val="18"/>
          <w:lang w:val="fr-CH"/>
        </w:rPr>
        <w:t>’</w:t>
      </w:r>
      <w:r w:rsidRPr="00F71CD1">
        <w:rPr>
          <w:rFonts w:ascii="Arial" w:hAnsi="Arial" w:cs="Arial"/>
          <w:sz w:val="18"/>
          <w:szCs w:val="18"/>
          <w:lang w:val="fr-CH"/>
        </w:rPr>
        <w:t>adresse</w:t>
      </w:r>
      <w:r w:rsidR="00633559" w:rsidRPr="00F71CD1">
        <w:rPr>
          <w:rFonts w:ascii="Arial" w:hAnsi="Arial" w:cs="Arial"/>
          <w:sz w:val="18"/>
          <w:szCs w:val="18"/>
          <w:lang w:val="fr-CH"/>
        </w:rPr>
        <w:t xml:space="preserve"> </w:t>
      </w:r>
      <w:hyperlink r:id="rId1" w:history="1">
        <w:r w:rsidR="00633559" w:rsidRPr="00F71CD1">
          <w:rPr>
            <w:rStyle w:val="Hyperlink"/>
            <w:rFonts w:ascii="Arial" w:hAnsi="Arial" w:cs="Arial"/>
            <w:color w:val="auto"/>
            <w:sz w:val="18"/>
            <w:szCs w:val="18"/>
            <w:u w:val="none"/>
            <w:lang w:val="fr-CH"/>
          </w:rPr>
          <w:t>http://www.wipo.int/meetings/fr/doc_details.jsp?doc_id=340736</w:t>
        </w:r>
      </w:hyperlink>
      <w:r w:rsidRPr="00F71CD1">
        <w:rPr>
          <w:rFonts w:ascii="Arial" w:hAnsi="Arial" w:cs="Arial"/>
          <w:sz w:val="18"/>
          <w:szCs w:val="18"/>
          <w:lang w:val="fr-CH"/>
        </w:rPr>
        <w:t>.  La version la plus récente du texte relatif aux expressions culturelles traditionnelles est disponible à l</w:t>
      </w:r>
      <w:r w:rsidR="007575FA" w:rsidRPr="00F71CD1">
        <w:rPr>
          <w:rFonts w:ascii="Arial" w:hAnsi="Arial" w:cs="Arial"/>
          <w:sz w:val="18"/>
          <w:szCs w:val="18"/>
          <w:lang w:val="fr-CH"/>
        </w:rPr>
        <w:t>’</w:t>
      </w:r>
      <w:r w:rsidRPr="00F71CD1">
        <w:rPr>
          <w:rFonts w:ascii="Arial" w:hAnsi="Arial" w:cs="Arial"/>
          <w:sz w:val="18"/>
          <w:szCs w:val="18"/>
          <w:lang w:val="fr-CH"/>
        </w:rPr>
        <w:t>adresse</w:t>
      </w:r>
      <w:r w:rsidR="00633559" w:rsidRPr="00F71CD1">
        <w:rPr>
          <w:rFonts w:ascii="Arial" w:hAnsi="Arial" w:cs="Arial"/>
          <w:sz w:val="18"/>
          <w:szCs w:val="18"/>
          <w:lang w:val="fr-CH"/>
        </w:rPr>
        <w:t xml:space="preserve"> </w:t>
      </w:r>
      <w:hyperlink r:id="rId2" w:history="1">
        <w:r w:rsidRPr="00F71CD1">
          <w:rPr>
            <w:rStyle w:val="Hyperlink"/>
            <w:rFonts w:ascii="Arial" w:hAnsi="Arial" w:cs="Arial"/>
            <w:color w:val="auto"/>
            <w:sz w:val="18"/>
            <w:szCs w:val="18"/>
            <w:u w:val="none"/>
            <w:lang w:val="fr-CH"/>
          </w:rPr>
          <w:t>http://www.wipo.int/meetings/</w:t>
        </w:r>
        <w:r w:rsidR="00B77920" w:rsidRPr="00F71CD1">
          <w:rPr>
            <w:rStyle w:val="Hyperlink"/>
            <w:rFonts w:ascii="Arial" w:hAnsi="Arial" w:cs="Arial"/>
            <w:color w:val="auto"/>
            <w:sz w:val="18"/>
            <w:szCs w:val="18"/>
            <w:u w:val="none"/>
            <w:lang w:val="fr-CH"/>
          </w:rPr>
          <w:t>fr</w:t>
        </w:r>
        <w:r w:rsidRPr="00F71CD1">
          <w:rPr>
            <w:rStyle w:val="Hyperlink"/>
            <w:rFonts w:ascii="Arial" w:hAnsi="Arial" w:cs="Arial"/>
            <w:color w:val="auto"/>
            <w:sz w:val="18"/>
            <w:szCs w:val="18"/>
            <w:u w:val="none"/>
            <w:lang w:val="fr-CH"/>
          </w:rPr>
          <w:t>/doc_details.jsp?doc_id=276220</w:t>
        </w:r>
      </w:hyperlink>
      <w:r w:rsidRPr="00F71CD1">
        <w:rPr>
          <w:rFonts w:ascii="Arial" w:hAnsi="Arial" w:cs="Arial"/>
          <w:sz w:val="18"/>
          <w:szCs w:val="18"/>
          <w:lang w:val="fr-CH"/>
        </w:rPr>
        <w:t>.</w:t>
      </w:r>
    </w:p>
  </w:footnote>
  <w:footnote w:id="7">
    <w:p w:rsidR="006F5476" w:rsidRPr="00F71CD1" w:rsidRDefault="006F5476" w:rsidP="00525EB9">
      <w:pPr>
        <w:pStyle w:val="FootnoteText"/>
        <w:tabs>
          <w:tab w:val="left" w:pos="567"/>
        </w:tabs>
        <w:rPr>
          <w:rFonts w:ascii="Arial" w:hAnsi="Arial" w:cs="Arial"/>
          <w:sz w:val="18"/>
          <w:szCs w:val="18"/>
          <w:lang w:val="fr-CH"/>
        </w:rPr>
      </w:pPr>
      <w:r w:rsidRPr="00F71CD1">
        <w:rPr>
          <w:rStyle w:val="FootnoteReference"/>
          <w:rFonts w:ascii="Arial" w:hAnsi="Arial" w:cs="Arial"/>
          <w:sz w:val="18"/>
          <w:szCs w:val="18"/>
        </w:rPr>
        <w:footnoteRef/>
      </w:r>
      <w:r w:rsidR="00525EB9" w:rsidRPr="00F71CD1">
        <w:rPr>
          <w:rFonts w:ascii="Arial" w:hAnsi="Arial" w:cs="Arial"/>
          <w:sz w:val="18"/>
          <w:szCs w:val="18"/>
          <w:lang w:val="fr-CH"/>
        </w:rPr>
        <w:tab/>
      </w:r>
      <w:r w:rsidRPr="00F71CD1">
        <w:rPr>
          <w:rFonts w:ascii="Arial" w:hAnsi="Arial" w:cs="Arial"/>
          <w:sz w:val="18"/>
          <w:szCs w:val="18"/>
          <w:lang w:val="fr-CH"/>
        </w:rPr>
        <w:t>Disponible à l</w:t>
      </w:r>
      <w:r w:rsidR="007575FA" w:rsidRPr="00F71CD1">
        <w:rPr>
          <w:rFonts w:ascii="Arial" w:hAnsi="Arial" w:cs="Arial"/>
          <w:sz w:val="18"/>
          <w:szCs w:val="18"/>
          <w:lang w:val="fr-CH"/>
        </w:rPr>
        <w:t>’</w:t>
      </w:r>
      <w:r w:rsidRPr="00F71CD1">
        <w:rPr>
          <w:rFonts w:ascii="Arial" w:hAnsi="Arial" w:cs="Arial"/>
          <w:sz w:val="18"/>
          <w:szCs w:val="18"/>
          <w:lang w:val="fr-CH"/>
        </w:rPr>
        <w:t>adresse</w:t>
      </w:r>
      <w:r w:rsidR="00633559" w:rsidRPr="00F71CD1">
        <w:rPr>
          <w:rFonts w:ascii="Arial" w:hAnsi="Arial" w:cs="Arial"/>
          <w:sz w:val="18"/>
          <w:szCs w:val="18"/>
          <w:lang w:val="fr-CH"/>
        </w:rPr>
        <w:t xml:space="preserve"> </w:t>
      </w:r>
      <w:hyperlink r:id="rId3" w:history="1">
        <w:r w:rsidRPr="00F71CD1">
          <w:rPr>
            <w:rStyle w:val="Hyperlink"/>
            <w:rFonts w:ascii="Arial" w:hAnsi="Arial" w:cs="Arial"/>
            <w:color w:val="auto"/>
            <w:sz w:val="18"/>
            <w:szCs w:val="18"/>
            <w:u w:val="none"/>
            <w:lang w:val="fr-CH"/>
          </w:rPr>
          <w:t>http://www.wipo.int/meetings/</w:t>
        </w:r>
        <w:r w:rsidR="00633559" w:rsidRPr="00F71CD1">
          <w:rPr>
            <w:rStyle w:val="Hyperlink"/>
            <w:rFonts w:ascii="Arial" w:hAnsi="Arial" w:cs="Arial"/>
            <w:color w:val="auto"/>
            <w:sz w:val="18"/>
            <w:szCs w:val="18"/>
            <w:u w:val="none"/>
            <w:lang w:val="fr-CH"/>
          </w:rPr>
          <w:t>fr</w:t>
        </w:r>
        <w:r w:rsidRPr="00F71CD1">
          <w:rPr>
            <w:rStyle w:val="Hyperlink"/>
            <w:rFonts w:ascii="Arial" w:hAnsi="Arial" w:cs="Arial"/>
            <w:color w:val="auto"/>
            <w:sz w:val="18"/>
            <w:szCs w:val="18"/>
            <w:u w:val="none"/>
            <w:lang w:val="fr-CH"/>
          </w:rPr>
          <w:t>/doc_details.jsp?doc_id=276220</w:t>
        </w:r>
      </w:hyperlink>
      <w:r w:rsidRPr="00F71CD1">
        <w:rPr>
          <w:rFonts w:ascii="Arial" w:hAnsi="Arial" w:cs="Arial"/>
          <w:sz w:val="18"/>
          <w:szCs w:val="18"/>
          <w:lang w:val="fr-CH"/>
        </w:rPr>
        <w:t>.</w:t>
      </w:r>
    </w:p>
  </w:footnote>
  <w:footnote w:id="8">
    <w:p w:rsidR="006F5476" w:rsidRPr="00F71CD1" w:rsidRDefault="006F5476" w:rsidP="00525EB9">
      <w:pPr>
        <w:pStyle w:val="FootnoteText"/>
        <w:tabs>
          <w:tab w:val="left" w:pos="567"/>
        </w:tabs>
        <w:rPr>
          <w:rFonts w:ascii="Arial" w:hAnsi="Arial" w:cs="Arial"/>
          <w:sz w:val="18"/>
          <w:szCs w:val="18"/>
          <w:lang w:val="fr-CH"/>
        </w:rPr>
      </w:pPr>
      <w:r w:rsidRPr="00F71CD1">
        <w:rPr>
          <w:rStyle w:val="FootnoteReference"/>
          <w:rFonts w:ascii="Arial" w:hAnsi="Arial" w:cs="Arial"/>
          <w:sz w:val="18"/>
          <w:szCs w:val="18"/>
        </w:rPr>
        <w:footnoteRef/>
      </w:r>
      <w:r w:rsidR="00525EB9" w:rsidRPr="00F71CD1">
        <w:rPr>
          <w:rFonts w:ascii="Arial" w:hAnsi="Arial" w:cs="Arial"/>
          <w:sz w:val="18"/>
          <w:szCs w:val="18"/>
          <w:lang w:val="fr-CH"/>
        </w:rPr>
        <w:tab/>
      </w:r>
      <w:r w:rsidRPr="00F71CD1">
        <w:rPr>
          <w:rFonts w:ascii="Arial" w:hAnsi="Arial" w:cs="Arial"/>
          <w:sz w:val="18"/>
          <w:szCs w:val="18"/>
          <w:lang w:val="fr-CH"/>
        </w:rPr>
        <w:t>Disponible à l</w:t>
      </w:r>
      <w:r w:rsidR="007575FA" w:rsidRPr="00F71CD1">
        <w:rPr>
          <w:rFonts w:ascii="Arial" w:hAnsi="Arial" w:cs="Arial"/>
          <w:sz w:val="18"/>
          <w:szCs w:val="18"/>
          <w:lang w:val="fr-CH"/>
        </w:rPr>
        <w:t>’</w:t>
      </w:r>
      <w:r w:rsidRPr="00F71CD1">
        <w:rPr>
          <w:rFonts w:ascii="Arial" w:hAnsi="Arial" w:cs="Arial"/>
          <w:sz w:val="18"/>
          <w:szCs w:val="18"/>
          <w:lang w:val="fr-CH"/>
        </w:rPr>
        <w:t>adresse</w:t>
      </w:r>
      <w:r w:rsidR="00633559" w:rsidRPr="00F71CD1">
        <w:rPr>
          <w:rFonts w:ascii="Arial" w:hAnsi="Arial" w:cs="Arial"/>
          <w:sz w:val="18"/>
          <w:szCs w:val="18"/>
          <w:lang w:val="fr-CH"/>
        </w:rPr>
        <w:t xml:space="preserve"> </w:t>
      </w:r>
      <w:hyperlink r:id="rId4" w:history="1">
        <w:r w:rsidR="00633559" w:rsidRPr="00F71CD1">
          <w:rPr>
            <w:rStyle w:val="Hyperlink"/>
            <w:rFonts w:ascii="Arial" w:hAnsi="Arial" w:cs="Arial"/>
            <w:color w:val="auto"/>
            <w:sz w:val="18"/>
            <w:szCs w:val="18"/>
            <w:u w:val="none"/>
            <w:lang w:val="fr-CH"/>
          </w:rPr>
          <w:t>http://www.wipo.int/meetings/fr</w:t>
        </w:r>
        <w:r w:rsidRPr="00F71CD1">
          <w:rPr>
            <w:rStyle w:val="Hyperlink"/>
            <w:rFonts w:ascii="Arial" w:hAnsi="Arial" w:cs="Arial"/>
            <w:color w:val="auto"/>
            <w:sz w:val="18"/>
            <w:szCs w:val="18"/>
            <w:u w:val="none"/>
            <w:lang w:val="fr-CH"/>
          </w:rPr>
          <w:t>/doc_details.jsp?doc_id=276220</w:t>
        </w:r>
      </w:hyperlink>
      <w:r w:rsidRPr="00F71CD1">
        <w:rPr>
          <w:rFonts w:ascii="Arial" w:hAnsi="Arial" w:cs="Arial"/>
          <w:sz w:val="18"/>
          <w:szCs w:val="18"/>
          <w:lang w:val="fr-CH"/>
        </w:rPr>
        <w:t>.</w:t>
      </w:r>
    </w:p>
  </w:footnote>
  <w:footnote w:id="9">
    <w:p w:rsidR="006F5476" w:rsidRPr="00F71CD1" w:rsidRDefault="006F5476" w:rsidP="00525EB9">
      <w:pPr>
        <w:pStyle w:val="FootnoteText"/>
        <w:tabs>
          <w:tab w:val="left" w:pos="567"/>
        </w:tabs>
        <w:rPr>
          <w:rFonts w:ascii="Arial" w:hAnsi="Arial" w:cs="Arial"/>
          <w:sz w:val="18"/>
          <w:szCs w:val="18"/>
          <w:lang w:val="fr-CH"/>
        </w:rPr>
      </w:pPr>
      <w:r w:rsidRPr="00F71CD1">
        <w:rPr>
          <w:rStyle w:val="FootnoteReference"/>
          <w:rFonts w:ascii="Arial" w:hAnsi="Arial" w:cs="Arial"/>
          <w:sz w:val="18"/>
          <w:szCs w:val="18"/>
        </w:rPr>
        <w:footnoteRef/>
      </w:r>
      <w:r w:rsidR="00525EB9" w:rsidRPr="00F71CD1">
        <w:rPr>
          <w:rFonts w:ascii="Arial" w:hAnsi="Arial" w:cs="Arial"/>
          <w:sz w:val="18"/>
          <w:szCs w:val="18"/>
          <w:lang w:val="fr-CH"/>
        </w:rPr>
        <w:tab/>
      </w:r>
      <w:r w:rsidRPr="00F71CD1">
        <w:rPr>
          <w:rFonts w:ascii="Arial" w:hAnsi="Arial" w:cs="Arial"/>
          <w:sz w:val="18"/>
          <w:szCs w:val="18"/>
          <w:lang w:val="fr-CH"/>
        </w:rPr>
        <w:t>Disponible à l</w:t>
      </w:r>
      <w:r w:rsidR="007575FA" w:rsidRPr="00F71CD1">
        <w:rPr>
          <w:rFonts w:ascii="Arial" w:hAnsi="Arial" w:cs="Arial"/>
          <w:sz w:val="18"/>
          <w:szCs w:val="18"/>
          <w:lang w:val="fr-CH"/>
        </w:rPr>
        <w:t>’</w:t>
      </w:r>
      <w:r w:rsidRPr="00F71CD1">
        <w:rPr>
          <w:rFonts w:ascii="Arial" w:hAnsi="Arial" w:cs="Arial"/>
          <w:sz w:val="18"/>
          <w:szCs w:val="18"/>
          <w:lang w:val="fr-CH"/>
        </w:rPr>
        <w:t xml:space="preserve">adresse </w:t>
      </w:r>
      <w:hyperlink r:id="rId5" w:history="1">
        <w:r w:rsidR="001F5F84" w:rsidRPr="00F71CD1">
          <w:rPr>
            <w:rStyle w:val="Hyperlink"/>
            <w:rFonts w:ascii="Arial" w:hAnsi="Arial" w:cs="Arial"/>
            <w:color w:val="auto"/>
            <w:sz w:val="18"/>
            <w:szCs w:val="18"/>
            <w:u w:val="none"/>
            <w:lang w:val="fr-CH"/>
          </w:rPr>
          <w:t>http://www.wipo.int/meetings/fr/doc_details.jsp?doc_id=340736</w:t>
        </w:r>
      </w:hyperlink>
      <w:r w:rsidRPr="00F71CD1">
        <w:rPr>
          <w:rFonts w:ascii="Arial" w:hAnsi="Arial" w:cs="Arial"/>
          <w:sz w:val="18"/>
          <w:szCs w:val="18"/>
          <w:lang w:val="fr-CH"/>
        </w:rPr>
        <w:t>.</w:t>
      </w:r>
    </w:p>
  </w:footnote>
  <w:footnote w:id="10">
    <w:p w:rsidR="006F5476" w:rsidRPr="00F71CD1" w:rsidRDefault="006F5476" w:rsidP="00525EB9">
      <w:pPr>
        <w:pStyle w:val="FootnoteText"/>
        <w:tabs>
          <w:tab w:val="left" w:pos="567"/>
        </w:tabs>
        <w:rPr>
          <w:rFonts w:ascii="Arial" w:hAnsi="Arial" w:cs="Arial"/>
          <w:sz w:val="18"/>
          <w:szCs w:val="18"/>
          <w:lang w:val="fr-CH"/>
        </w:rPr>
      </w:pPr>
      <w:r w:rsidRPr="00F71CD1">
        <w:rPr>
          <w:rStyle w:val="FootnoteReference"/>
          <w:rFonts w:ascii="Arial" w:hAnsi="Arial" w:cs="Arial"/>
          <w:sz w:val="18"/>
          <w:szCs w:val="18"/>
        </w:rPr>
        <w:footnoteRef/>
      </w:r>
      <w:r w:rsidR="00525EB9" w:rsidRPr="00F71CD1">
        <w:rPr>
          <w:rFonts w:ascii="Arial" w:hAnsi="Arial" w:cs="Arial"/>
          <w:sz w:val="18"/>
          <w:szCs w:val="18"/>
          <w:lang w:val="fr-CH"/>
        </w:rPr>
        <w:tab/>
      </w:r>
      <w:r w:rsidRPr="00F71CD1">
        <w:rPr>
          <w:rFonts w:ascii="Arial" w:hAnsi="Arial" w:cs="Arial"/>
          <w:sz w:val="18"/>
          <w:szCs w:val="18"/>
          <w:lang w:val="fr-CH"/>
        </w:rPr>
        <w:t>Disponible à l</w:t>
      </w:r>
      <w:r w:rsidR="007575FA" w:rsidRPr="00F71CD1">
        <w:rPr>
          <w:rFonts w:ascii="Arial" w:hAnsi="Arial" w:cs="Arial"/>
          <w:sz w:val="18"/>
          <w:szCs w:val="18"/>
          <w:lang w:val="fr-CH"/>
        </w:rPr>
        <w:t>’</w:t>
      </w:r>
      <w:r w:rsidRPr="00F71CD1">
        <w:rPr>
          <w:rFonts w:ascii="Arial" w:hAnsi="Arial" w:cs="Arial"/>
          <w:sz w:val="18"/>
          <w:szCs w:val="18"/>
          <w:lang w:val="fr-CH"/>
        </w:rPr>
        <w:t xml:space="preserve">adresse </w:t>
      </w:r>
      <w:hyperlink r:id="rId6" w:history="1">
        <w:r w:rsidRPr="00F71CD1">
          <w:rPr>
            <w:rStyle w:val="Hyperlink"/>
            <w:rFonts w:ascii="Arial" w:hAnsi="Arial" w:cs="Arial"/>
            <w:color w:val="auto"/>
            <w:sz w:val="18"/>
            <w:szCs w:val="18"/>
            <w:u w:val="none"/>
            <w:lang w:val="fr-CH"/>
          </w:rPr>
          <w:t>http://www.wipo.int/meetings/</w:t>
        </w:r>
        <w:r w:rsidR="001F5F84" w:rsidRPr="00F71CD1">
          <w:rPr>
            <w:rStyle w:val="Hyperlink"/>
            <w:rFonts w:ascii="Arial" w:hAnsi="Arial" w:cs="Arial"/>
            <w:color w:val="auto"/>
            <w:sz w:val="18"/>
            <w:szCs w:val="18"/>
            <w:u w:val="none"/>
            <w:lang w:val="fr-CH"/>
          </w:rPr>
          <w:t>fr</w:t>
        </w:r>
        <w:r w:rsidRPr="00F71CD1">
          <w:rPr>
            <w:rStyle w:val="Hyperlink"/>
            <w:rFonts w:ascii="Arial" w:hAnsi="Arial" w:cs="Arial"/>
            <w:color w:val="auto"/>
            <w:sz w:val="18"/>
            <w:szCs w:val="18"/>
            <w:u w:val="none"/>
            <w:lang w:val="fr-CH"/>
          </w:rPr>
          <w:t>/doc_details.jsp?doc_id=276220</w:t>
        </w:r>
      </w:hyperlink>
      <w:r w:rsidRPr="00F71CD1">
        <w:rPr>
          <w:rFonts w:ascii="Arial" w:hAnsi="Arial" w:cs="Arial"/>
          <w:sz w:val="18"/>
          <w:szCs w:val="18"/>
          <w:lang w:val="fr-CH"/>
        </w:rPr>
        <w:t>.</w:t>
      </w:r>
    </w:p>
  </w:footnote>
  <w:footnote w:id="11">
    <w:p w:rsidR="006F5476" w:rsidRPr="00F71CD1" w:rsidRDefault="006F5476" w:rsidP="00525EB9">
      <w:pPr>
        <w:pStyle w:val="FootnoteText"/>
        <w:tabs>
          <w:tab w:val="left" w:pos="567"/>
        </w:tabs>
        <w:rPr>
          <w:rFonts w:ascii="Arial" w:hAnsi="Arial" w:cs="Arial"/>
          <w:lang w:val="fr-CH"/>
        </w:rPr>
      </w:pPr>
      <w:r w:rsidRPr="00F71CD1">
        <w:rPr>
          <w:rStyle w:val="FootnoteReference"/>
          <w:rFonts w:ascii="Arial" w:hAnsi="Arial" w:cs="Arial"/>
          <w:sz w:val="18"/>
          <w:szCs w:val="18"/>
        </w:rPr>
        <w:footnoteRef/>
      </w:r>
      <w:r w:rsidR="00525EB9" w:rsidRPr="00F71CD1">
        <w:rPr>
          <w:rFonts w:ascii="Arial" w:hAnsi="Arial" w:cs="Arial"/>
          <w:sz w:val="18"/>
          <w:szCs w:val="18"/>
          <w:lang w:val="fr-CH"/>
        </w:rPr>
        <w:tab/>
      </w:r>
      <w:r w:rsidRPr="00F71CD1">
        <w:rPr>
          <w:rFonts w:ascii="Arial" w:hAnsi="Arial" w:cs="Arial"/>
          <w:sz w:val="18"/>
          <w:szCs w:val="18"/>
          <w:lang w:val="fr-CH"/>
        </w:rPr>
        <w:t>Disponible à l</w:t>
      </w:r>
      <w:r w:rsidR="007575FA" w:rsidRPr="00F71CD1">
        <w:rPr>
          <w:rFonts w:ascii="Arial" w:hAnsi="Arial" w:cs="Arial"/>
          <w:sz w:val="18"/>
          <w:szCs w:val="18"/>
          <w:lang w:val="fr-CH"/>
        </w:rPr>
        <w:t>’</w:t>
      </w:r>
      <w:r w:rsidRPr="00F71CD1">
        <w:rPr>
          <w:rFonts w:ascii="Arial" w:hAnsi="Arial" w:cs="Arial"/>
          <w:sz w:val="18"/>
          <w:szCs w:val="18"/>
          <w:lang w:val="fr-CH"/>
        </w:rPr>
        <w:t xml:space="preserve">adresse </w:t>
      </w:r>
      <w:hyperlink r:id="rId7" w:history="1">
        <w:r w:rsidRPr="00F71CD1">
          <w:rPr>
            <w:rStyle w:val="Hyperlink"/>
            <w:rFonts w:ascii="Arial" w:hAnsi="Arial" w:cs="Arial"/>
            <w:color w:val="auto"/>
            <w:sz w:val="18"/>
            <w:szCs w:val="18"/>
            <w:u w:val="none"/>
            <w:lang w:val="fr-CH"/>
          </w:rPr>
          <w:t>http://www.wipo.int/meetings/</w:t>
        </w:r>
        <w:r w:rsidR="001F5F84" w:rsidRPr="00F71CD1">
          <w:rPr>
            <w:rStyle w:val="Hyperlink"/>
            <w:rFonts w:ascii="Arial" w:hAnsi="Arial" w:cs="Arial"/>
            <w:color w:val="auto"/>
            <w:sz w:val="18"/>
            <w:szCs w:val="18"/>
            <w:u w:val="none"/>
            <w:lang w:val="fr-CH"/>
          </w:rPr>
          <w:t>fr</w:t>
        </w:r>
        <w:r w:rsidRPr="00F71CD1">
          <w:rPr>
            <w:rStyle w:val="Hyperlink"/>
            <w:rFonts w:ascii="Arial" w:hAnsi="Arial" w:cs="Arial"/>
            <w:color w:val="auto"/>
            <w:sz w:val="18"/>
            <w:szCs w:val="18"/>
            <w:u w:val="none"/>
            <w:lang w:val="fr-CH"/>
          </w:rPr>
          <w:t>/doc_details.jsp?doc_id=276220</w:t>
        </w:r>
      </w:hyperlink>
      <w:r w:rsidRPr="00F71CD1">
        <w:rPr>
          <w:rFonts w:ascii="Arial" w:hAnsi="Arial" w:cs="Arial"/>
          <w:sz w:val="18"/>
          <w:szCs w:val="18"/>
          <w:lang w:val="fr-CH"/>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503D"/>
    <w:multiLevelType w:val="hybridMultilevel"/>
    <w:tmpl w:val="FC26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C693D"/>
    <w:multiLevelType w:val="hybridMultilevel"/>
    <w:tmpl w:val="2D14C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E30429"/>
    <w:multiLevelType w:val="hybridMultilevel"/>
    <w:tmpl w:val="ABBCB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D087999"/>
    <w:multiLevelType w:val="hybridMultilevel"/>
    <w:tmpl w:val="63E8185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1EF075B"/>
    <w:multiLevelType w:val="hybridMultilevel"/>
    <w:tmpl w:val="E046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F2354F"/>
    <w:multiLevelType w:val="hybridMultilevel"/>
    <w:tmpl w:val="BFE2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436917"/>
    <w:multiLevelType w:val="hybridMultilevel"/>
    <w:tmpl w:val="B072B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84004D9"/>
    <w:multiLevelType w:val="hybridMultilevel"/>
    <w:tmpl w:val="65CCD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785095"/>
    <w:multiLevelType w:val="hybridMultilevel"/>
    <w:tmpl w:val="3A449B7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4B070F33"/>
    <w:multiLevelType w:val="hybridMultilevel"/>
    <w:tmpl w:val="70724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49E3D0D"/>
    <w:multiLevelType w:val="hybridMultilevel"/>
    <w:tmpl w:val="A188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1724C5"/>
    <w:multiLevelType w:val="hybridMultilevel"/>
    <w:tmpl w:val="CAEAF7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1273D08"/>
    <w:multiLevelType w:val="hybridMultilevel"/>
    <w:tmpl w:val="2250B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13"/>
  </w:num>
  <w:num w:numId="4">
    <w:abstractNumId w:val="0"/>
  </w:num>
  <w:num w:numId="5">
    <w:abstractNumId w:val="5"/>
  </w:num>
  <w:num w:numId="6">
    <w:abstractNumId w:val="6"/>
  </w:num>
  <w:num w:numId="7">
    <w:abstractNumId w:val="4"/>
  </w:num>
  <w:num w:numId="8">
    <w:abstractNumId w:val="10"/>
  </w:num>
  <w:num w:numId="9">
    <w:abstractNumId w:val="2"/>
  </w:num>
  <w:num w:numId="10">
    <w:abstractNumId w:val="7"/>
  </w:num>
  <w:num w:numId="11">
    <w:abstractNumId w:val="3"/>
  </w:num>
  <w:num w:numId="12">
    <w:abstractNumId w:val="9"/>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Empty"/>
    <w:docVar w:name="TermBaseURL" w:val="empty"/>
    <w:docVar w:name="TextBases" w:val="TextBase TMs\WorkspaceFTS\EN-FR\Académie|TextBase TMs\WorkspaceFTS\EN-FR\ACE|TextBase TMs\WorkspaceFTS\EN-FR\Administratif|TextBase TMs\WorkspaceFTS\EN-FR\AMC|TextBase TMs\WorkspaceFTS\EN-FR\Assemblées|TextBase TMs\WorkspaceFTS\EN-FR\Budapest|TextBase TMs\WorkspaceFTS\EN-FR\CDIP|TextBase TMs\WorkspaceFTS\EN-FR\Communications|TextBase TMs\WorkspaceFTS\EN-FR\CWS|TextBase TMs\WorkspaceFTS\EN-FR\Divers|TextBase TMs\WorkspaceFTS\EN-FR\Glossaires|TextBase TMs\WorkspaceFTS\EN-FR\GRTKF|TextBase TMs\WorkspaceFTS\EN-FR\IPC|TextBase TMs\WorkspaceFTS\EN-FR\La_Haye|TextBase TMs\WorkspaceFTS\EN-FR\Lisbonne|TextBase TMs\WorkspaceFTS\EN-FR\Madrid|TextBase TMs\WorkspaceFTS\EN-FR\PBC|TextBase TMs\WorkspaceFTS\EN-FR\PCT|TextBase TMs\WorkspaceFTS\EN-FR\PLT|TextBase TMs\WorkspaceFTS\EN-FR\Publications|TextBase TMs\WorkspaceFTS\EN-FR\SCCR|TextBase TMs\WorkspaceFTS\EN-FR\SCP|TextBase TMs\WorkspaceFTS\EN-FR\SCT|TextBase TMs\WorkspaceFTS\EN-FR\Traités|TextBase TMs\WorkspaceFTS\EN-FR\UPOV"/>
    <w:docVar w:name="TextBaseURL" w:val="empty"/>
    <w:docVar w:name="UILng" w:val="en"/>
  </w:docVars>
  <w:rsids>
    <w:rsidRoot w:val="00B35DC3"/>
    <w:rsid w:val="00015AC9"/>
    <w:rsid w:val="00015E26"/>
    <w:rsid w:val="00034CDD"/>
    <w:rsid w:val="00041572"/>
    <w:rsid w:val="00046980"/>
    <w:rsid w:val="00047928"/>
    <w:rsid w:val="000769D8"/>
    <w:rsid w:val="000776CB"/>
    <w:rsid w:val="00084A9B"/>
    <w:rsid w:val="00095304"/>
    <w:rsid w:val="000A2893"/>
    <w:rsid w:val="000A3CA6"/>
    <w:rsid w:val="000A4668"/>
    <w:rsid w:val="000B037D"/>
    <w:rsid w:val="000B1A99"/>
    <w:rsid w:val="000B58E4"/>
    <w:rsid w:val="000B7332"/>
    <w:rsid w:val="000C08A8"/>
    <w:rsid w:val="000E1C67"/>
    <w:rsid w:val="000E29F2"/>
    <w:rsid w:val="000E59D1"/>
    <w:rsid w:val="000E76D6"/>
    <w:rsid w:val="000F0399"/>
    <w:rsid w:val="000F07E5"/>
    <w:rsid w:val="000F156C"/>
    <w:rsid w:val="000F4DF8"/>
    <w:rsid w:val="000F6F8D"/>
    <w:rsid w:val="000F75BA"/>
    <w:rsid w:val="00100D5C"/>
    <w:rsid w:val="00103CDB"/>
    <w:rsid w:val="001067D6"/>
    <w:rsid w:val="00107398"/>
    <w:rsid w:val="00107959"/>
    <w:rsid w:val="001109EB"/>
    <w:rsid w:val="0011304C"/>
    <w:rsid w:val="0011787A"/>
    <w:rsid w:val="00130AA8"/>
    <w:rsid w:val="0013158A"/>
    <w:rsid w:val="00134C7D"/>
    <w:rsid w:val="00137C1B"/>
    <w:rsid w:val="001430C8"/>
    <w:rsid w:val="00150F54"/>
    <w:rsid w:val="00154426"/>
    <w:rsid w:val="00155427"/>
    <w:rsid w:val="00165109"/>
    <w:rsid w:val="00171DA7"/>
    <w:rsid w:val="00172343"/>
    <w:rsid w:val="00173854"/>
    <w:rsid w:val="001740EF"/>
    <w:rsid w:val="0017760B"/>
    <w:rsid w:val="00183F4E"/>
    <w:rsid w:val="00185000"/>
    <w:rsid w:val="00192190"/>
    <w:rsid w:val="00192CB7"/>
    <w:rsid w:val="001A17A1"/>
    <w:rsid w:val="001A71DF"/>
    <w:rsid w:val="001B58D5"/>
    <w:rsid w:val="001B663B"/>
    <w:rsid w:val="001C75BB"/>
    <w:rsid w:val="001E0303"/>
    <w:rsid w:val="001E22F3"/>
    <w:rsid w:val="001E6CD8"/>
    <w:rsid w:val="001F0DB2"/>
    <w:rsid w:val="001F1164"/>
    <w:rsid w:val="001F5F84"/>
    <w:rsid w:val="00200C0B"/>
    <w:rsid w:val="0020704B"/>
    <w:rsid w:val="00217843"/>
    <w:rsid w:val="00223FB9"/>
    <w:rsid w:val="002254D7"/>
    <w:rsid w:val="00226B58"/>
    <w:rsid w:val="00227AB8"/>
    <w:rsid w:val="00227E86"/>
    <w:rsid w:val="00231C16"/>
    <w:rsid w:val="00232836"/>
    <w:rsid w:val="00235D0C"/>
    <w:rsid w:val="002365A6"/>
    <w:rsid w:val="00241A82"/>
    <w:rsid w:val="00243224"/>
    <w:rsid w:val="00252EB8"/>
    <w:rsid w:val="00260006"/>
    <w:rsid w:val="00261620"/>
    <w:rsid w:val="00264862"/>
    <w:rsid w:val="00266E69"/>
    <w:rsid w:val="002715E6"/>
    <w:rsid w:val="00271BA7"/>
    <w:rsid w:val="0027680D"/>
    <w:rsid w:val="00284C15"/>
    <w:rsid w:val="002853D9"/>
    <w:rsid w:val="00285742"/>
    <w:rsid w:val="002912D9"/>
    <w:rsid w:val="00292D26"/>
    <w:rsid w:val="002A13DE"/>
    <w:rsid w:val="002A359E"/>
    <w:rsid w:val="002A5864"/>
    <w:rsid w:val="002B055A"/>
    <w:rsid w:val="002B5624"/>
    <w:rsid w:val="002B7B7A"/>
    <w:rsid w:val="002C1FD6"/>
    <w:rsid w:val="002C49B0"/>
    <w:rsid w:val="002D1A4B"/>
    <w:rsid w:val="002D4DEB"/>
    <w:rsid w:val="002D7463"/>
    <w:rsid w:val="002E5597"/>
    <w:rsid w:val="002F145C"/>
    <w:rsid w:val="00303A4C"/>
    <w:rsid w:val="003051DF"/>
    <w:rsid w:val="00311474"/>
    <w:rsid w:val="003318B6"/>
    <w:rsid w:val="00332532"/>
    <w:rsid w:val="003405A9"/>
    <w:rsid w:val="0034294C"/>
    <w:rsid w:val="00354DC2"/>
    <w:rsid w:val="00365824"/>
    <w:rsid w:val="00366A6F"/>
    <w:rsid w:val="00367C06"/>
    <w:rsid w:val="00386103"/>
    <w:rsid w:val="00393101"/>
    <w:rsid w:val="00394CE1"/>
    <w:rsid w:val="00395486"/>
    <w:rsid w:val="00395E2E"/>
    <w:rsid w:val="003B3DEC"/>
    <w:rsid w:val="003C6436"/>
    <w:rsid w:val="003C7B75"/>
    <w:rsid w:val="003D20DC"/>
    <w:rsid w:val="003D285F"/>
    <w:rsid w:val="003D2899"/>
    <w:rsid w:val="003F6574"/>
    <w:rsid w:val="003F6A59"/>
    <w:rsid w:val="0040364D"/>
    <w:rsid w:val="004241CB"/>
    <w:rsid w:val="004247DB"/>
    <w:rsid w:val="00424A26"/>
    <w:rsid w:val="00431402"/>
    <w:rsid w:val="00442001"/>
    <w:rsid w:val="004574D3"/>
    <w:rsid w:val="004578A8"/>
    <w:rsid w:val="00467893"/>
    <w:rsid w:val="0047085D"/>
    <w:rsid w:val="00477605"/>
    <w:rsid w:val="00481273"/>
    <w:rsid w:val="004829F6"/>
    <w:rsid w:val="0048418A"/>
    <w:rsid w:val="0049694C"/>
    <w:rsid w:val="0049769D"/>
    <w:rsid w:val="004A036C"/>
    <w:rsid w:val="004A733D"/>
    <w:rsid w:val="004A75E6"/>
    <w:rsid w:val="004D5A65"/>
    <w:rsid w:val="004E6399"/>
    <w:rsid w:val="004F1D18"/>
    <w:rsid w:val="004F507A"/>
    <w:rsid w:val="004F60C4"/>
    <w:rsid w:val="00506F01"/>
    <w:rsid w:val="00507098"/>
    <w:rsid w:val="00525EB9"/>
    <w:rsid w:val="0053162E"/>
    <w:rsid w:val="0053225E"/>
    <w:rsid w:val="0054157C"/>
    <w:rsid w:val="00565DC7"/>
    <w:rsid w:val="00572BC4"/>
    <w:rsid w:val="00573E1D"/>
    <w:rsid w:val="00576299"/>
    <w:rsid w:val="005810F5"/>
    <w:rsid w:val="00585562"/>
    <w:rsid w:val="005A0E89"/>
    <w:rsid w:val="005A54DB"/>
    <w:rsid w:val="005A7704"/>
    <w:rsid w:val="005B68B1"/>
    <w:rsid w:val="005C1E52"/>
    <w:rsid w:val="005D0B72"/>
    <w:rsid w:val="005D406D"/>
    <w:rsid w:val="005E4E4F"/>
    <w:rsid w:val="005E515C"/>
    <w:rsid w:val="005E57C2"/>
    <w:rsid w:val="005E6B88"/>
    <w:rsid w:val="005F5144"/>
    <w:rsid w:val="005F61FE"/>
    <w:rsid w:val="005F6927"/>
    <w:rsid w:val="00617723"/>
    <w:rsid w:val="00621B54"/>
    <w:rsid w:val="006239BC"/>
    <w:rsid w:val="0062527A"/>
    <w:rsid w:val="00625EEB"/>
    <w:rsid w:val="00633559"/>
    <w:rsid w:val="00634E3D"/>
    <w:rsid w:val="00645BA2"/>
    <w:rsid w:val="00646715"/>
    <w:rsid w:val="00652B6A"/>
    <w:rsid w:val="00653748"/>
    <w:rsid w:val="006578D6"/>
    <w:rsid w:val="0066556B"/>
    <w:rsid w:val="00665A36"/>
    <w:rsid w:val="00667D23"/>
    <w:rsid w:val="00677BA0"/>
    <w:rsid w:val="006830CA"/>
    <w:rsid w:val="0068679D"/>
    <w:rsid w:val="0069114C"/>
    <w:rsid w:val="00691F27"/>
    <w:rsid w:val="00695A3F"/>
    <w:rsid w:val="006A38B7"/>
    <w:rsid w:val="006B12C5"/>
    <w:rsid w:val="006B5158"/>
    <w:rsid w:val="006C415F"/>
    <w:rsid w:val="006D0FF6"/>
    <w:rsid w:val="006D1569"/>
    <w:rsid w:val="006D44C9"/>
    <w:rsid w:val="006D4A64"/>
    <w:rsid w:val="006D6732"/>
    <w:rsid w:val="006D7B02"/>
    <w:rsid w:val="006E0625"/>
    <w:rsid w:val="006E5ED5"/>
    <w:rsid w:val="006F39D6"/>
    <w:rsid w:val="006F5476"/>
    <w:rsid w:val="00704F02"/>
    <w:rsid w:val="0071007F"/>
    <w:rsid w:val="00715CE5"/>
    <w:rsid w:val="00727D5C"/>
    <w:rsid w:val="007330CE"/>
    <w:rsid w:val="007337E5"/>
    <w:rsid w:val="00734499"/>
    <w:rsid w:val="00740E3C"/>
    <w:rsid w:val="00746BE3"/>
    <w:rsid w:val="007575FA"/>
    <w:rsid w:val="0076502E"/>
    <w:rsid w:val="00765067"/>
    <w:rsid w:val="00765401"/>
    <w:rsid w:val="0077539B"/>
    <w:rsid w:val="00775754"/>
    <w:rsid w:val="0079098F"/>
    <w:rsid w:val="00790E19"/>
    <w:rsid w:val="00792183"/>
    <w:rsid w:val="007A6155"/>
    <w:rsid w:val="007A61E0"/>
    <w:rsid w:val="007B3045"/>
    <w:rsid w:val="007B45B3"/>
    <w:rsid w:val="007B4AF2"/>
    <w:rsid w:val="007C1131"/>
    <w:rsid w:val="007C2B2C"/>
    <w:rsid w:val="007C5259"/>
    <w:rsid w:val="007D048E"/>
    <w:rsid w:val="007D6A35"/>
    <w:rsid w:val="007D7C03"/>
    <w:rsid w:val="007E0617"/>
    <w:rsid w:val="007E26AD"/>
    <w:rsid w:val="007E2FE2"/>
    <w:rsid w:val="007E4FC4"/>
    <w:rsid w:val="007F2547"/>
    <w:rsid w:val="0080369E"/>
    <w:rsid w:val="00812A1F"/>
    <w:rsid w:val="008137C8"/>
    <w:rsid w:val="00816DD4"/>
    <w:rsid w:val="00823638"/>
    <w:rsid w:val="00824997"/>
    <w:rsid w:val="008314B5"/>
    <w:rsid w:val="00840D25"/>
    <w:rsid w:val="00841506"/>
    <w:rsid w:val="008458A7"/>
    <w:rsid w:val="0084676D"/>
    <w:rsid w:val="008543BD"/>
    <w:rsid w:val="00863A36"/>
    <w:rsid w:val="008641ED"/>
    <w:rsid w:val="00864AEF"/>
    <w:rsid w:val="00867B3A"/>
    <w:rsid w:val="008713EA"/>
    <w:rsid w:val="008771F7"/>
    <w:rsid w:val="00881CCC"/>
    <w:rsid w:val="00884477"/>
    <w:rsid w:val="0089650F"/>
    <w:rsid w:val="008A3675"/>
    <w:rsid w:val="008A3F08"/>
    <w:rsid w:val="008A6717"/>
    <w:rsid w:val="008C10BB"/>
    <w:rsid w:val="008C1E09"/>
    <w:rsid w:val="008C1E39"/>
    <w:rsid w:val="008C67B0"/>
    <w:rsid w:val="008C7557"/>
    <w:rsid w:val="008D1154"/>
    <w:rsid w:val="008D2D73"/>
    <w:rsid w:val="008E3716"/>
    <w:rsid w:val="008F5695"/>
    <w:rsid w:val="008F6A46"/>
    <w:rsid w:val="008F77D1"/>
    <w:rsid w:val="00901CAF"/>
    <w:rsid w:val="00903A40"/>
    <w:rsid w:val="00904E10"/>
    <w:rsid w:val="00907F27"/>
    <w:rsid w:val="00910313"/>
    <w:rsid w:val="00921B68"/>
    <w:rsid w:val="00924CCB"/>
    <w:rsid w:val="009331A3"/>
    <w:rsid w:val="00934E3B"/>
    <w:rsid w:val="00940D02"/>
    <w:rsid w:val="009410D5"/>
    <w:rsid w:val="009579B5"/>
    <w:rsid w:val="00961AAA"/>
    <w:rsid w:val="0097022B"/>
    <w:rsid w:val="00970836"/>
    <w:rsid w:val="00971067"/>
    <w:rsid w:val="009713C2"/>
    <w:rsid w:val="00971615"/>
    <w:rsid w:val="00977A0C"/>
    <w:rsid w:val="00981A32"/>
    <w:rsid w:val="00985445"/>
    <w:rsid w:val="0099237F"/>
    <w:rsid w:val="009A512A"/>
    <w:rsid w:val="009B0990"/>
    <w:rsid w:val="009C0691"/>
    <w:rsid w:val="009C4EB9"/>
    <w:rsid w:val="009D74CE"/>
    <w:rsid w:val="009E1F32"/>
    <w:rsid w:val="009F1C0E"/>
    <w:rsid w:val="009F203D"/>
    <w:rsid w:val="009F229A"/>
    <w:rsid w:val="00A026CD"/>
    <w:rsid w:val="00A04DAF"/>
    <w:rsid w:val="00A06122"/>
    <w:rsid w:val="00A12631"/>
    <w:rsid w:val="00A14B4A"/>
    <w:rsid w:val="00A14D1C"/>
    <w:rsid w:val="00A309C3"/>
    <w:rsid w:val="00A32D04"/>
    <w:rsid w:val="00A33105"/>
    <w:rsid w:val="00A40924"/>
    <w:rsid w:val="00A40CA7"/>
    <w:rsid w:val="00A4559D"/>
    <w:rsid w:val="00A45AC0"/>
    <w:rsid w:val="00A521D1"/>
    <w:rsid w:val="00A54409"/>
    <w:rsid w:val="00A56B85"/>
    <w:rsid w:val="00A56BF1"/>
    <w:rsid w:val="00A64284"/>
    <w:rsid w:val="00A774B3"/>
    <w:rsid w:val="00A845EB"/>
    <w:rsid w:val="00A85C54"/>
    <w:rsid w:val="00A928F5"/>
    <w:rsid w:val="00AA43B0"/>
    <w:rsid w:val="00AB03D3"/>
    <w:rsid w:val="00AB5314"/>
    <w:rsid w:val="00AB59F2"/>
    <w:rsid w:val="00AB5BB5"/>
    <w:rsid w:val="00AC02AC"/>
    <w:rsid w:val="00AC7F21"/>
    <w:rsid w:val="00AD195A"/>
    <w:rsid w:val="00AF0B2D"/>
    <w:rsid w:val="00AF458F"/>
    <w:rsid w:val="00B16A8C"/>
    <w:rsid w:val="00B2175F"/>
    <w:rsid w:val="00B24AA9"/>
    <w:rsid w:val="00B24B34"/>
    <w:rsid w:val="00B30CF7"/>
    <w:rsid w:val="00B35DC3"/>
    <w:rsid w:val="00B35FDD"/>
    <w:rsid w:val="00B400A3"/>
    <w:rsid w:val="00B47430"/>
    <w:rsid w:val="00B4791E"/>
    <w:rsid w:val="00B503A9"/>
    <w:rsid w:val="00B5045D"/>
    <w:rsid w:val="00B5566D"/>
    <w:rsid w:val="00B61E7A"/>
    <w:rsid w:val="00B65782"/>
    <w:rsid w:val="00B72AC6"/>
    <w:rsid w:val="00B73174"/>
    <w:rsid w:val="00B7341E"/>
    <w:rsid w:val="00B738B4"/>
    <w:rsid w:val="00B73A48"/>
    <w:rsid w:val="00B75864"/>
    <w:rsid w:val="00B77920"/>
    <w:rsid w:val="00B80E60"/>
    <w:rsid w:val="00BB5364"/>
    <w:rsid w:val="00BC18D0"/>
    <w:rsid w:val="00BC1E28"/>
    <w:rsid w:val="00BD1003"/>
    <w:rsid w:val="00BD5454"/>
    <w:rsid w:val="00BD67D4"/>
    <w:rsid w:val="00BE1417"/>
    <w:rsid w:val="00BE1C2C"/>
    <w:rsid w:val="00BF0BBA"/>
    <w:rsid w:val="00BF2078"/>
    <w:rsid w:val="00BF418C"/>
    <w:rsid w:val="00BF4AAD"/>
    <w:rsid w:val="00C12BA0"/>
    <w:rsid w:val="00C17184"/>
    <w:rsid w:val="00C20301"/>
    <w:rsid w:val="00C422E3"/>
    <w:rsid w:val="00C44E6F"/>
    <w:rsid w:val="00C67D91"/>
    <w:rsid w:val="00C720A4"/>
    <w:rsid w:val="00C74E82"/>
    <w:rsid w:val="00C77FD7"/>
    <w:rsid w:val="00C85383"/>
    <w:rsid w:val="00C92A99"/>
    <w:rsid w:val="00C95D1B"/>
    <w:rsid w:val="00CA0FD5"/>
    <w:rsid w:val="00CA1ADE"/>
    <w:rsid w:val="00CA2225"/>
    <w:rsid w:val="00CA2735"/>
    <w:rsid w:val="00CC5668"/>
    <w:rsid w:val="00CD6025"/>
    <w:rsid w:val="00CE2A2E"/>
    <w:rsid w:val="00CE5AF0"/>
    <w:rsid w:val="00CF0D48"/>
    <w:rsid w:val="00CF7E42"/>
    <w:rsid w:val="00D01330"/>
    <w:rsid w:val="00D1276F"/>
    <w:rsid w:val="00D256E9"/>
    <w:rsid w:val="00D304C4"/>
    <w:rsid w:val="00D32A79"/>
    <w:rsid w:val="00D34A80"/>
    <w:rsid w:val="00D41C28"/>
    <w:rsid w:val="00D47438"/>
    <w:rsid w:val="00D55CC8"/>
    <w:rsid w:val="00D574D1"/>
    <w:rsid w:val="00D60C14"/>
    <w:rsid w:val="00D62426"/>
    <w:rsid w:val="00D628E3"/>
    <w:rsid w:val="00D65B8E"/>
    <w:rsid w:val="00D663B7"/>
    <w:rsid w:val="00D71B3F"/>
    <w:rsid w:val="00D84F19"/>
    <w:rsid w:val="00D85F20"/>
    <w:rsid w:val="00D87B2C"/>
    <w:rsid w:val="00D904EA"/>
    <w:rsid w:val="00D95232"/>
    <w:rsid w:val="00DA0F65"/>
    <w:rsid w:val="00DA2D62"/>
    <w:rsid w:val="00DB2CA8"/>
    <w:rsid w:val="00DB6C34"/>
    <w:rsid w:val="00DB7E64"/>
    <w:rsid w:val="00DE01BF"/>
    <w:rsid w:val="00DE54EB"/>
    <w:rsid w:val="00DE6D48"/>
    <w:rsid w:val="00DF672A"/>
    <w:rsid w:val="00E079E4"/>
    <w:rsid w:val="00E1109D"/>
    <w:rsid w:val="00E154FE"/>
    <w:rsid w:val="00E20C27"/>
    <w:rsid w:val="00E27A14"/>
    <w:rsid w:val="00E37984"/>
    <w:rsid w:val="00E41738"/>
    <w:rsid w:val="00E44584"/>
    <w:rsid w:val="00E57064"/>
    <w:rsid w:val="00E66B2F"/>
    <w:rsid w:val="00E70F9D"/>
    <w:rsid w:val="00E753D2"/>
    <w:rsid w:val="00E839A7"/>
    <w:rsid w:val="00E8745A"/>
    <w:rsid w:val="00E875AB"/>
    <w:rsid w:val="00E90879"/>
    <w:rsid w:val="00E93E31"/>
    <w:rsid w:val="00E942DA"/>
    <w:rsid w:val="00E97834"/>
    <w:rsid w:val="00EA2A68"/>
    <w:rsid w:val="00EB3692"/>
    <w:rsid w:val="00EB5728"/>
    <w:rsid w:val="00EB6DD8"/>
    <w:rsid w:val="00ED1E3A"/>
    <w:rsid w:val="00ED24D7"/>
    <w:rsid w:val="00ED26A5"/>
    <w:rsid w:val="00ED75A8"/>
    <w:rsid w:val="00EF44E6"/>
    <w:rsid w:val="00EF5F59"/>
    <w:rsid w:val="00EF7B99"/>
    <w:rsid w:val="00F01F1F"/>
    <w:rsid w:val="00F15D0A"/>
    <w:rsid w:val="00F20BD9"/>
    <w:rsid w:val="00F24D13"/>
    <w:rsid w:val="00F37517"/>
    <w:rsid w:val="00F37EFF"/>
    <w:rsid w:val="00F44C01"/>
    <w:rsid w:val="00F5292C"/>
    <w:rsid w:val="00F57589"/>
    <w:rsid w:val="00F61246"/>
    <w:rsid w:val="00F64080"/>
    <w:rsid w:val="00F71CD1"/>
    <w:rsid w:val="00F87564"/>
    <w:rsid w:val="00F97626"/>
    <w:rsid w:val="00FA6F37"/>
    <w:rsid w:val="00FB36C1"/>
    <w:rsid w:val="00FC354D"/>
    <w:rsid w:val="00FC6C33"/>
    <w:rsid w:val="00FD1FDD"/>
    <w:rsid w:val="00FE10BC"/>
    <w:rsid w:val="00FE7D65"/>
    <w:rsid w:val="00FF1476"/>
    <w:rsid w:val="00FF27B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AB8"/>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rsid w:val="00FE7D65"/>
    <w:rPr>
      <w:rFonts w:ascii="Tahoma" w:hAnsi="Tahoma" w:cs="Tahoma"/>
      <w:sz w:val="16"/>
      <w:szCs w:val="16"/>
    </w:rPr>
  </w:style>
  <w:style w:type="character" w:customStyle="1" w:styleId="BalloonTextChar">
    <w:name w:val="Balloon Text Char"/>
    <w:link w:val="BalloonText"/>
    <w:rsid w:val="00FE7D65"/>
    <w:rPr>
      <w:rFonts w:ascii="Tahoma" w:hAnsi="Tahoma" w:cs="Tahoma"/>
      <w:sz w:val="16"/>
      <w:szCs w:val="16"/>
    </w:rPr>
  </w:style>
  <w:style w:type="paragraph" w:styleId="FootnoteText">
    <w:name w:val="footnote text"/>
    <w:basedOn w:val="Normal"/>
    <w:link w:val="FootnoteTextChar"/>
    <w:rsid w:val="00B24B34"/>
    <w:rPr>
      <w:sz w:val="20"/>
      <w:szCs w:val="20"/>
    </w:rPr>
  </w:style>
  <w:style w:type="character" w:customStyle="1" w:styleId="FootnoteTextChar">
    <w:name w:val="Footnote Text Char"/>
    <w:basedOn w:val="DefaultParagraphFont"/>
    <w:link w:val="FootnoteText"/>
    <w:rsid w:val="00B24B34"/>
  </w:style>
  <w:style w:type="character" w:styleId="FootnoteReference">
    <w:name w:val="footnote reference"/>
    <w:rsid w:val="00B24B34"/>
    <w:rPr>
      <w:vertAlign w:val="superscript"/>
    </w:rPr>
  </w:style>
  <w:style w:type="paragraph" w:styleId="Header">
    <w:name w:val="header"/>
    <w:basedOn w:val="Normal"/>
    <w:link w:val="HeaderChar"/>
    <w:uiPriority w:val="99"/>
    <w:rsid w:val="004E6399"/>
    <w:pPr>
      <w:tabs>
        <w:tab w:val="center" w:pos="4680"/>
        <w:tab w:val="right" w:pos="9360"/>
      </w:tabs>
    </w:pPr>
  </w:style>
  <w:style w:type="character" w:customStyle="1" w:styleId="HeaderChar">
    <w:name w:val="Header Char"/>
    <w:link w:val="Header"/>
    <w:uiPriority w:val="99"/>
    <w:rsid w:val="004E6399"/>
    <w:rPr>
      <w:sz w:val="24"/>
      <w:szCs w:val="24"/>
      <w:lang w:eastAsia="en-US"/>
    </w:rPr>
  </w:style>
  <w:style w:type="paragraph" w:styleId="Footer">
    <w:name w:val="footer"/>
    <w:basedOn w:val="Normal"/>
    <w:link w:val="FooterChar"/>
    <w:rsid w:val="004E6399"/>
    <w:pPr>
      <w:tabs>
        <w:tab w:val="center" w:pos="4680"/>
        <w:tab w:val="right" w:pos="9360"/>
      </w:tabs>
    </w:pPr>
  </w:style>
  <w:style w:type="character" w:customStyle="1" w:styleId="FooterChar">
    <w:name w:val="Footer Char"/>
    <w:link w:val="Footer"/>
    <w:rsid w:val="004E6399"/>
    <w:rPr>
      <w:sz w:val="24"/>
      <w:szCs w:val="24"/>
      <w:lang w:eastAsia="en-US"/>
    </w:rPr>
  </w:style>
  <w:style w:type="character" w:styleId="Hyperlink">
    <w:name w:val="Hyperlink"/>
    <w:rsid w:val="00904E10"/>
    <w:rPr>
      <w:color w:val="0000FF"/>
      <w:u w:val="single"/>
    </w:rPr>
  </w:style>
  <w:style w:type="character" w:styleId="CommentReference">
    <w:name w:val="annotation reference"/>
    <w:rsid w:val="001F1164"/>
    <w:rPr>
      <w:sz w:val="16"/>
      <w:szCs w:val="16"/>
    </w:rPr>
  </w:style>
  <w:style w:type="paragraph" w:styleId="CommentText">
    <w:name w:val="annotation text"/>
    <w:basedOn w:val="Normal"/>
    <w:link w:val="CommentTextChar"/>
    <w:rsid w:val="001F1164"/>
    <w:rPr>
      <w:sz w:val="20"/>
      <w:szCs w:val="20"/>
    </w:rPr>
  </w:style>
  <w:style w:type="character" w:customStyle="1" w:styleId="CommentTextChar">
    <w:name w:val="Comment Text Char"/>
    <w:basedOn w:val="DefaultParagraphFont"/>
    <w:link w:val="CommentText"/>
    <w:rsid w:val="001F1164"/>
  </w:style>
  <w:style w:type="paragraph" w:styleId="CommentSubject">
    <w:name w:val="annotation subject"/>
    <w:basedOn w:val="CommentText"/>
    <w:next w:val="CommentText"/>
    <w:link w:val="CommentSubjectChar"/>
    <w:rsid w:val="001F1164"/>
    <w:rPr>
      <w:b/>
      <w:bCs/>
    </w:rPr>
  </w:style>
  <w:style w:type="character" w:customStyle="1" w:styleId="CommentSubjectChar">
    <w:name w:val="Comment Subject Char"/>
    <w:link w:val="CommentSubject"/>
    <w:rsid w:val="001F1164"/>
    <w:rPr>
      <w:b/>
      <w:bCs/>
    </w:rPr>
  </w:style>
  <w:style w:type="character" w:styleId="FollowedHyperlink">
    <w:name w:val="FollowedHyperlink"/>
    <w:rsid w:val="00AF458F"/>
    <w:rPr>
      <w:color w:val="800080"/>
      <w:u w:val="single"/>
    </w:rPr>
  </w:style>
  <w:style w:type="paragraph" w:styleId="ListParagraph">
    <w:name w:val="List Paragraph"/>
    <w:basedOn w:val="Normal"/>
    <w:uiPriority w:val="34"/>
    <w:qFormat/>
    <w:rsid w:val="00DE6D4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AB8"/>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rsid w:val="00FE7D65"/>
    <w:rPr>
      <w:rFonts w:ascii="Tahoma" w:hAnsi="Tahoma" w:cs="Tahoma"/>
      <w:sz w:val="16"/>
      <w:szCs w:val="16"/>
    </w:rPr>
  </w:style>
  <w:style w:type="character" w:customStyle="1" w:styleId="BalloonTextChar">
    <w:name w:val="Balloon Text Char"/>
    <w:link w:val="BalloonText"/>
    <w:rsid w:val="00FE7D65"/>
    <w:rPr>
      <w:rFonts w:ascii="Tahoma" w:hAnsi="Tahoma" w:cs="Tahoma"/>
      <w:sz w:val="16"/>
      <w:szCs w:val="16"/>
    </w:rPr>
  </w:style>
  <w:style w:type="paragraph" w:styleId="FootnoteText">
    <w:name w:val="footnote text"/>
    <w:basedOn w:val="Normal"/>
    <w:link w:val="FootnoteTextChar"/>
    <w:rsid w:val="00B24B34"/>
    <w:rPr>
      <w:sz w:val="20"/>
      <w:szCs w:val="20"/>
    </w:rPr>
  </w:style>
  <w:style w:type="character" w:customStyle="1" w:styleId="FootnoteTextChar">
    <w:name w:val="Footnote Text Char"/>
    <w:basedOn w:val="DefaultParagraphFont"/>
    <w:link w:val="FootnoteText"/>
    <w:rsid w:val="00B24B34"/>
  </w:style>
  <w:style w:type="character" w:styleId="FootnoteReference">
    <w:name w:val="footnote reference"/>
    <w:rsid w:val="00B24B34"/>
    <w:rPr>
      <w:vertAlign w:val="superscript"/>
    </w:rPr>
  </w:style>
  <w:style w:type="paragraph" w:styleId="Header">
    <w:name w:val="header"/>
    <w:basedOn w:val="Normal"/>
    <w:link w:val="HeaderChar"/>
    <w:uiPriority w:val="99"/>
    <w:rsid w:val="004E6399"/>
    <w:pPr>
      <w:tabs>
        <w:tab w:val="center" w:pos="4680"/>
        <w:tab w:val="right" w:pos="9360"/>
      </w:tabs>
    </w:pPr>
  </w:style>
  <w:style w:type="character" w:customStyle="1" w:styleId="HeaderChar">
    <w:name w:val="Header Char"/>
    <w:link w:val="Header"/>
    <w:uiPriority w:val="99"/>
    <w:rsid w:val="004E6399"/>
    <w:rPr>
      <w:sz w:val="24"/>
      <w:szCs w:val="24"/>
      <w:lang w:eastAsia="en-US"/>
    </w:rPr>
  </w:style>
  <w:style w:type="paragraph" w:styleId="Footer">
    <w:name w:val="footer"/>
    <w:basedOn w:val="Normal"/>
    <w:link w:val="FooterChar"/>
    <w:rsid w:val="004E6399"/>
    <w:pPr>
      <w:tabs>
        <w:tab w:val="center" w:pos="4680"/>
        <w:tab w:val="right" w:pos="9360"/>
      </w:tabs>
    </w:pPr>
  </w:style>
  <w:style w:type="character" w:customStyle="1" w:styleId="FooterChar">
    <w:name w:val="Footer Char"/>
    <w:link w:val="Footer"/>
    <w:rsid w:val="004E6399"/>
    <w:rPr>
      <w:sz w:val="24"/>
      <w:szCs w:val="24"/>
      <w:lang w:eastAsia="en-US"/>
    </w:rPr>
  </w:style>
  <w:style w:type="character" w:styleId="Hyperlink">
    <w:name w:val="Hyperlink"/>
    <w:rsid w:val="00904E10"/>
    <w:rPr>
      <w:color w:val="0000FF"/>
      <w:u w:val="single"/>
    </w:rPr>
  </w:style>
  <w:style w:type="character" w:styleId="CommentReference">
    <w:name w:val="annotation reference"/>
    <w:rsid w:val="001F1164"/>
    <w:rPr>
      <w:sz w:val="16"/>
      <w:szCs w:val="16"/>
    </w:rPr>
  </w:style>
  <w:style w:type="paragraph" w:styleId="CommentText">
    <w:name w:val="annotation text"/>
    <w:basedOn w:val="Normal"/>
    <w:link w:val="CommentTextChar"/>
    <w:rsid w:val="001F1164"/>
    <w:rPr>
      <w:sz w:val="20"/>
      <w:szCs w:val="20"/>
    </w:rPr>
  </w:style>
  <w:style w:type="character" w:customStyle="1" w:styleId="CommentTextChar">
    <w:name w:val="Comment Text Char"/>
    <w:basedOn w:val="DefaultParagraphFont"/>
    <w:link w:val="CommentText"/>
    <w:rsid w:val="001F1164"/>
  </w:style>
  <w:style w:type="paragraph" w:styleId="CommentSubject">
    <w:name w:val="annotation subject"/>
    <w:basedOn w:val="CommentText"/>
    <w:next w:val="CommentText"/>
    <w:link w:val="CommentSubjectChar"/>
    <w:rsid w:val="001F1164"/>
    <w:rPr>
      <w:b/>
      <w:bCs/>
    </w:rPr>
  </w:style>
  <w:style w:type="character" w:customStyle="1" w:styleId="CommentSubjectChar">
    <w:name w:val="Comment Subject Char"/>
    <w:link w:val="CommentSubject"/>
    <w:rsid w:val="001F1164"/>
    <w:rPr>
      <w:b/>
      <w:bCs/>
    </w:rPr>
  </w:style>
  <w:style w:type="character" w:styleId="FollowedHyperlink">
    <w:name w:val="FollowedHyperlink"/>
    <w:rsid w:val="00AF458F"/>
    <w:rPr>
      <w:color w:val="800080"/>
      <w:u w:val="single"/>
    </w:rPr>
  </w:style>
  <w:style w:type="paragraph" w:styleId="ListParagraph">
    <w:name w:val="List Paragraph"/>
    <w:basedOn w:val="Normal"/>
    <w:uiPriority w:val="34"/>
    <w:qFormat/>
    <w:rsid w:val="00DE6D4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8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meetings/en/details.jsp?meeting_id=3560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meetings/en/details.jsp?meeting_id=3560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tk/en/resources/tk_experiences.html" TargetMode="External"/><Relationship Id="rId5" Type="http://schemas.openxmlformats.org/officeDocument/2006/relationships/settings" Target="settings.xml"/><Relationship Id="rId15" Type="http://schemas.openxmlformats.org/officeDocument/2006/relationships/hyperlink" Target="http://www.wipo.int/meetings/en/details.jsp?meeting_id=36502" TargetMode="External"/><Relationship Id="rId10" Type="http://schemas.openxmlformats.org/officeDocument/2006/relationships/hyperlink" Target="http://www.wipo.int/meetings/en/doc_details.jsp?doc_id=147152" TargetMode="External"/><Relationship Id="rId4" Type="http://schemas.microsoft.com/office/2007/relationships/stylesWithEffects" Target="stylesWithEffects.xml"/><Relationship Id="rId9" Type="http://schemas.openxmlformats.org/officeDocument/2006/relationships/hyperlink" Target="http://www.wipo.int/meetings/en/doc_details.jsp?doc_id=149213" TargetMode="External"/><Relationship Id="rId14" Type="http://schemas.openxmlformats.org/officeDocument/2006/relationships/hyperlink" Target="http://www.wipo.int/meetings/en/details.jsp?meeting_id=3650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eetings/fr/doc_details.jsp?doc_id=276220" TargetMode="External"/><Relationship Id="rId7" Type="http://schemas.openxmlformats.org/officeDocument/2006/relationships/hyperlink" Target="http://www.wipo.int/meetings/fr/doc_details.jsp?doc_id=276220" TargetMode="External"/><Relationship Id="rId2" Type="http://schemas.openxmlformats.org/officeDocument/2006/relationships/hyperlink" Target="http://www.wipo.int/meetings/fr/doc_details.jsp?doc_id=276220" TargetMode="External"/><Relationship Id="rId1" Type="http://schemas.openxmlformats.org/officeDocument/2006/relationships/hyperlink" Target="http://www.wipo.int/meetings/fr/doc_details.jsp?doc_id=340736" TargetMode="External"/><Relationship Id="rId6" Type="http://schemas.openxmlformats.org/officeDocument/2006/relationships/hyperlink" Target="http://www.wipo.int/meetings/fr/doc_details.jsp?doc_id=276220" TargetMode="External"/><Relationship Id="rId5" Type="http://schemas.openxmlformats.org/officeDocument/2006/relationships/hyperlink" Target="http://www.wipo.int/meetings/fr/doc_details.jsp?doc_id=340736" TargetMode="External"/><Relationship Id="rId4" Type="http://schemas.openxmlformats.org/officeDocument/2006/relationships/hyperlink" Target="http://www.wipo.int/meetings/fr/doc_details.jsp?doc_id=276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62110-E71C-4840-B85D-BDF9B4D37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4196</Words>
  <Characters>23919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Background note – IGC 31</vt:lpstr>
    </vt:vector>
  </TitlesOfParts>
  <Company>Microsoft</Company>
  <LinksUpToDate>false</LinksUpToDate>
  <CharactersWithSpaces>28059</CharactersWithSpaces>
  <SharedDoc>false</SharedDoc>
  <HLinks>
    <vt:vector size="60" baseType="variant">
      <vt:variant>
        <vt:i4>8323144</vt:i4>
      </vt:variant>
      <vt:variant>
        <vt:i4>113</vt:i4>
      </vt:variant>
      <vt:variant>
        <vt:i4>0</vt:i4>
      </vt:variant>
      <vt:variant>
        <vt:i4>5</vt:i4>
      </vt:variant>
      <vt:variant>
        <vt:lpwstr>http://www.wipo.int/meetings/en/details.jsp?meeting_id=36502</vt:lpwstr>
      </vt:variant>
      <vt:variant>
        <vt:lpwstr/>
      </vt:variant>
      <vt:variant>
        <vt:i4>8323144</vt:i4>
      </vt:variant>
      <vt:variant>
        <vt:i4>110</vt:i4>
      </vt:variant>
      <vt:variant>
        <vt:i4>0</vt:i4>
      </vt:variant>
      <vt:variant>
        <vt:i4>5</vt:i4>
      </vt:variant>
      <vt:variant>
        <vt:lpwstr>http://www.wipo.int/meetings/en/details.jsp?meeting_id=36502</vt:lpwstr>
      </vt:variant>
      <vt:variant>
        <vt:lpwstr/>
      </vt:variant>
      <vt:variant>
        <vt:i4>8126539</vt:i4>
      </vt:variant>
      <vt:variant>
        <vt:i4>107</vt:i4>
      </vt:variant>
      <vt:variant>
        <vt:i4>0</vt:i4>
      </vt:variant>
      <vt:variant>
        <vt:i4>5</vt:i4>
      </vt:variant>
      <vt:variant>
        <vt:lpwstr>http://www.wipo.int/meetings/en/details.jsp?meeting_id=35602</vt:lpwstr>
      </vt:variant>
      <vt:variant>
        <vt:lpwstr/>
      </vt:variant>
      <vt:variant>
        <vt:i4>8126539</vt:i4>
      </vt:variant>
      <vt:variant>
        <vt:i4>104</vt:i4>
      </vt:variant>
      <vt:variant>
        <vt:i4>0</vt:i4>
      </vt:variant>
      <vt:variant>
        <vt:i4>5</vt:i4>
      </vt:variant>
      <vt:variant>
        <vt:lpwstr>http://www.wipo.int/meetings/en/details.jsp?meeting_id=35602</vt:lpwstr>
      </vt:variant>
      <vt:variant>
        <vt:lpwstr/>
      </vt:variant>
      <vt:variant>
        <vt:i4>8126539</vt:i4>
      </vt:variant>
      <vt:variant>
        <vt:i4>101</vt:i4>
      </vt:variant>
      <vt:variant>
        <vt:i4>0</vt:i4>
      </vt:variant>
      <vt:variant>
        <vt:i4>5</vt:i4>
      </vt:variant>
      <vt:variant>
        <vt:lpwstr>http://www.wipo.int/meetings/en/details.jsp?meeting_id=35602</vt:lpwstr>
      </vt:variant>
      <vt:variant>
        <vt:lpwstr/>
      </vt:variant>
      <vt:variant>
        <vt:i4>2883604</vt:i4>
      </vt:variant>
      <vt:variant>
        <vt:i4>98</vt:i4>
      </vt:variant>
      <vt:variant>
        <vt:i4>0</vt:i4>
      </vt:variant>
      <vt:variant>
        <vt:i4>5</vt:i4>
      </vt:variant>
      <vt:variant>
        <vt:lpwstr>http://www.wipo.int/tk/en/resources/tk_experiences.html</vt:lpwstr>
      </vt:variant>
      <vt:variant>
        <vt:lpwstr/>
      </vt:variant>
      <vt:variant>
        <vt:i4>5767245</vt:i4>
      </vt:variant>
      <vt:variant>
        <vt:i4>95</vt:i4>
      </vt:variant>
      <vt:variant>
        <vt:i4>0</vt:i4>
      </vt:variant>
      <vt:variant>
        <vt:i4>5</vt:i4>
      </vt:variant>
      <vt:variant>
        <vt:lpwstr>http://www.wipo.int/meetings/en/doc_details.jsp?doc_id=147152</vt:lpwstr>
      </vt:variant>
      <vt:variant>
        <vt:lpwstr/>
      </vt:variant>
      <vt:variant>
        <vt:i4>5374030</vt:i4>
      </vt:variant>
      <vt:variant>
        <vt:i4>92</vt:i4>
      </vt:variant>
      <vt:variant>
        <vt:i4>0</vt:i4>
      </vt:variant>
      <vt:variant>
        <vt:i4>5</vt:i4>
      </vt:variant>
      <vt:variant>
        <vt:lpwstr>http://www.wipo.int/meetings/en/doc_details.jsp?doc_id=149213</vt:lpwstr>
      </vt:variant>
      <vt:variant>
        <vt:lpwstr/>
      </vt:variant>
      <vt:variant>
        <vt:i4>5963851</vt:i4>
      </vt:variant>
      <vt:variant>
        <vt:i4>3</vt:i4>
      </vt:variant>
      <vt:variant>
        <vt:i4>0</vt:i4>
      </vt:variant>
      <vt:variant>
        <vt:i4>5</vt:i4>
      </vt:variant>
      <vt:variant>
        <vt:lpwstr>http://www.wipo.int/meetings/en/doc_details.jsp?doc_id=340736</vt:lpwstr>
      </vt:variant>
      <vt:variant>
        <vt:lpwstr/>
      </vt:variant>
      <vt:variant>
        <vt:i4>5963851</vt:i4>
      </vt:variant>
      <vt:variant>
        <vt:i4>0</vt:i4>
      </vt:variant>
      <vt:variant>
        <vt:i4>0</vt:i4>
      </vt:variant>
      <vt:variant>
        <vt:i4>5</vt:i4>
      </vt:variant>
      <vt:variant>
        <vt:lpwstr>http://www.wipo.int/meetings/en/doc_details.jsp?doc_id=340736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note – IGC 31</dc:title>
  <dc:creator>PC-USER</dc:creator>
  <cp:lastModifiedBy>MORENO PALESTINI Maria Del Pilar</cp:lastModifiedBy>
  <cp:revision>3</cp:revision>
  <cp:lastPrinted>2016-09-12T08:28:00Z</cp:lastPrinted>
  <dcterms:created xsi:type="dcterms:W3CDTF">2016-09-12T08:28:00Z</dcterms:created>
  <dcterms:modified xsi:type="dcterms:W3CDTF">2016-09-12T08:28:00Z</dcterms:modified>
</cp:coreProperties>
</file>