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03FA" w:rsidRDefault="00C575B2" w:rsidP="007A440C">
      <w:pPr>
        <w:ind w:left="0"/>
      </w:pPr>
      <w:r>
        <w:rPr>
          <w:noProof/>
        </w:rPr>
        <w:drawing>
          <wp:anchor distT="0" distB="0" distL="114300" distR="114300" simplePos="0" relativeHeight="251658240" behindDoc="1" locked="1" layoutInCell="0" allowOverlap="1">
            <wp:simplePos x="0" y="0"/>
            <wp:positionH relativeFrom="page">
              <wp:posOffset>3766185</wp:posOffset>
            </wp:positionH>
            <wp:positionV relativeFrom="page">
              <wp:posOffset>360045</wp:posOffset>
            </wp:positionV>
            <wp:extent cx="1857375" cy="1323975"/>
            <wp:effectExtent l="0" t="0" r="0" b="0"/>
            <wp:wrapNone/>
            <wp:docPr id="8" name="Picture 8"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D03FA" w:rsidRDefault="00AD03FA" w:rsidP="00AD03FA">
      <w:pPr>
        <w:rPr>
          <w:lang w:val="pt-BR"/>
        </w:rPr>
      </w:pPr>
    </w:p>
    <w:p w:rsidR="00AD03FA" w:rsidRDefault="00AD03FA" w:rsidP="00AD03FA">
      <w:pPr>
        <w:rPr>
          <w:lang w:val="pt-BR"/>
        </w:rPr>
      </w:pPr>
    </w:p>
    <w:p w:rsidR="00AD03FA" w:rsidRDefault="00AD03FA" w:rsidP="00AD03FA">
      <w:pPr>
        <w:rPr>
          <w:lang w:val="pt-BR"/>
        </w:rPr>
      </w:pPr>
    </w:p>
    <w:p w:rsidR="00AD03FA" w:rsidRDefault="00AD03FA" w:rsidP="00AD03FA">
      <w:pPr>
        <w:rPr>
          <w:lang w:val="pt-BR"/>
        </w:rPr>
      </w:pPr>
    </w:p>
    <w:p w:rsidR="000E072A" w:rsidRDefault="000E072A" w:rsidP="00AD03FA">
      <w:pPr>
        <w:rPr>
          <w:lang w:val="pt-BR"/>
        </w:rPr>
      </w:pPr>
    </w:p>
    <w:tbl>
      <w:tblPr>
        <w:tblW w:w="9356" w:type="dxa"/>
        <w:tblInd w:w="108" w:type="dxa"/>
        <w:tblLayout w:type="fixed"/>
        <w:tblLook w:val="01E0" w:firstRow="1" w:lastRow="1" w:firstColumn="1" w:lastColumn="1" w:noHBand="0" w:noVBand="0"/>
      </w:tblPr>
      <w:tblGrid>
        <w:gridCol w:w="9356"/>
      </w:tblGrid>
      <w:tr w:rsidR="004C4ACA" w:rsidTr="00756A3A">
        <w:trPr>
          <w:trHeight w:hRule="exact" w:val="170"/>
        </w:trPr>
        <w:tc>
          <w:tcPr>
            <w:tcW w:w="9356" w:type="dxa"/>
            <w:tcBorders>
              <w:top w:val="single" w:sz="4" w:space="0" w:color="auto"/>
            </w:tcBorders>
            <w:tcMar>
              <w:left w:w="0" w:type="dxa"/>
              <w:right w:w="0" w:type="dxa"/>
            </w:tcMar>
            <w:vAlign w:val="bottom"/>
          </w:tcPr>
          <w:p w:rsidR="004C4ACA" w:rsidRDefault="004C4ACA" w:rsidP="00756A3A">
            <w:pPr>
              <w:jc w:val="right"/>
              <w:rPr>
                <w:rFonts w:ascii="Arial Black" w:eastAsia="Arial Black" w:hAnsi="Arial Black"/>
                <w:caps/>
                <w:sz w:val="15"/>
                <w:szCs w:val="15"/>
              </w:rPr>
            </w:pPr>
          </w:p>
        </w:tc>
      </w:tr>
      <w:tr w:rsidR="004C4ACA" w:rsidRPr="00D40605" w:rsidTr="00756A3A">
        <w:trPr>
          <w:trHeight w:hRule="exact" w:val="198"/>
        </w:trPr>
        <w:tc>
          <w:tcPr>
            <w:tcW w:w="9356" w:type="dxa"/>
            <w:tcMar>
              <w:left w:w="0" w:type="dxa"/>
              <w:right w:w="0" w:type="dxa"/>
            </w:tcMar>
          </w:tcPr>
          <w:p w:rsidR="004C4ACA" w:rsidRPr="00D40605" w:rsidRDefault="004C4ACA" w:rsidP="00756A3A">
            <w:pPr>
              <w:jc w:val="right"/>
            </w:pPr>
            <w:r w:rsidRPr="00D40605">
              <w:rPr>
                <w:rFonts w:ascii="Arial Black" w:eastAsia="Arial Black" w:hAnsi="Arial Black"/>
                <w:caps/>
                <w:sz w:val="15"/>
                <w:szCs w:val="15"/>
              </w:rPr>
              <w:t>INFORMATION NOTICE NO. 7/2020</w:t>
            </w:r>
          </w:p>
        </w:tc>
      </w:tr>
    </w:tbl>
    <w:p w:rsidR="0084042E" w:rsidRPr="0084042E" w:rsidRDefault="0084042E" w:rsidP="000A5292">
      <w:pPr>
        <w:autoSpaceDE w:val="0"/>
        <w:autoSpaceDN w:val="0"/>
        <w:spacing w:before="1440" w:after="0" w:line="240" w:lineRule="auto"/>
        <w:ind w:left="0"/>
        <w:rPr>
          <w:rFonts w:eastAsia="Arial"/>
          <w:b/>
          <w:sz w:val="28"/>
          <w:szCs w:val="28"/>
        </w:rPr>
      </w:pPr>
      <w:r w:rsidRPr="0084042E">
        <w:rPr>
          <w:rFonts w:eastAsia="Arial"/>
          <w:b/>
          <w:sz w:val="28"/>
          <w:szCs w:val="28"/>
        </w:rPr>
        <w:t xml:space="preserve">Lisbon System for the International Registration of Appellations of Origin and Geographical Indications </w:t>
      </w:r>
    </w:p>
    <w:p w:rsidR="0084042E" w:rsidRPr="0084042E" w:rsidRDefault="0084042E" w:rsidP="000A5292">
      <w:pPr>
        <w:spacing w:before="840" w:after="240" w:line="240" w:lineRule="auto"/>
        <w:ind w:left="0"/>
        <w:rPr>
          <w:rFonts w:eastAsia="Arial"/>
          <w:b/>
          <w:sz w:val="24"/>
          <w:szCs w:val="24"/>
        </w:rPr>
      </w:pPr>
      <w:r w:rsidRPr="0084042E">
        <w:rPr>
          <w:rFonts w:eastAsia="Arial"/>
          <w:b/>
          <w:sz w:val="24"/>
          <w:szCs w:val="24"/>
        </w:rPr>
        <w:t xml:space="preserve">Safeguards in Case of Failure to Meet a Time Limit and Extension of Time Limits </w:t>
      </w:r>
    </w:p>
    <w:p w:rsidR="0084042E" w:rsidRPr="0084042E" w:rsidRDefault="0055461F" w:rsidP="0084042E">
      <w:pPr>
        <w:tabs>
          <w:tab w:val="left" w:pos="567"/>
        </w:tabs>
        <w:spacing w:after="220" w:line="240" w:lineRule="auto"/>
        <w:ind w:left="-1"/>
        <w:rPr>
          <w:rFonts w:eastAsia="Arial"/>
          <w:sz w:val="22"/>
          <w:szCs w:val="22"/>
        </w:rPr>
      </w:pPr>
      <w:proofErr w:type="gramStart"/>
      <w:r>
        <w:rPr>
          <w:rFonts w:eastAsia="Arial"/>
          <w:sz w:val="22"/>
          <w:szCs w:val="22"/>
        </w:rPr>
        <w:t xml:space="preserve">1. </w:t>
      </w:r>
      <w:r>
        <w:rPr>
          <w:rFonts w:eastAsia="Arial"/>
          <w:sz w:val="22"/>
          <w:szCs w:val="22"/>
        </w:rPr>
        <w:tab/>
      </w:r>
      <w:r w:rsidR="0084042E" w:rsidRPr="0084042E">
        <w:rPr>
          <w:rFonts w:eastAsia="Arial"/>
          <w:sz w:val="22"/>
          <w:szCs w:val="22"/>
        </w:rPr>
        <w:t>In light of the Coronavirus disease (COVID-19) pandemic, the International Bureau of the World Intellectual Property Organization (WIPO) wishes to remind users of the Lisbon System of the safeguards available under the Common Regulations under the Lisbon Agreement and the Geneva Act of the Lisbon Agreement (the “Common Regulations”) against failure to meet a time limit under the Lisbon System, and to suggest measures users can take against possible disruptions in mail or delivery services.</w:t>
      </w:r>
      <w:proofErr w:type="gramEnd"/>
    </w:p>
    <w:p w:rsidR="0084042E" w:rsidRPr="0084042E" w:rsidRDefault="0084042E" w:rsidP="0055461F">
      <w:pPr>
        <w:keepNext/>
        <w:numPr>
          <w:ilvl w:val="0"/>
          <w:numId w:val="1"/>
        </w:numPr>
        <w:spacing w:before="240" w:after="240" w:line="240" w:lineRule="auto"/>
        <w:ind w:left="567" w:hanging="567"/>
        <w:outlineLvl w:val="2"/>
        <w:rPr>
          <w:rFonts w:eastAsia="Arial"/>
          <w:sz w:val="22"/>
          <w:szCs w:val="22"/>
          <w:u w:val="single"/>
        </w:rPr>
      </w:pPr>
      <w:r w:rsidRPr="0084042E">
        <w:rPr>
          <w:rFonts w:eastAsia="Arial"/>
          <w:sz w:val="22"/>
          <w:szCs w:val="22"/>
          <w:u w:val="single"/>
        </w:rPr>
        <w:t>Closure of the Competent Authority of a Contracting Party (Rule 2(3) of the Common Regulations)</w:t>
      </w:r>
    </w:p>
    <w:p w:rsidR="0084042E" w:rsidRPr="0084042E" w:rsidRDefault="0055461F" w:rsidP="0084042E">
      <w:pPr>
        <w:tabs>
          <w:tab w:val="left" w:pos="567"/>
        </w:tabs>
        <w:spacing w:after="220" w:line="240" w:lineRule="auto"/>
        <w:ind w:left="-1"/>
        <w:rPr>
          <w:rFonts w:eastAsia="Arial"/>
          <w:sz w:val="22"/>
          <w:szCs w:val="22"/>
        </w:rPr>
      </w:pPr>
      <w:r>
        <w:rPr>
          <w:rFonts w:eastAsia="Arial"/>
          <w:sz w:val="22"/>
          <w:szCs w:val="22"/>
        </w:rPr>
        <w:t>2</w:t>
      </w:r>
      <w:r w:rsidR="004C4ACA" w:rsidRPr="00D40605">
        <w:rPr>
          <w:rFonts w:eastAsia="Arial"/>
          <w:sz w:val="22"/>
          <w:szCs w:val="22"/>
        </w:rPr>
        <w:t xml:space="preserve">. </w:t>
      </w:r>
      <w:r w:rsidR="004C4ACA" w:rsidRPr="00D40605">
        <w:rPr>
          <w:rFonts w:eastAsia="Arial"/>
          <w:sz w:val="22"/>
          <w:szCs w:val="22"/>
        </w:rPr>
        <w:tab/>
      </w:r>
      <w:r w:rsidR="0084042E" w:rsidRPr="0084042E">
        <w:rPr>
          <w:rFonts w:eastAsia="Arial"/>
          <w:sz w:val="22"/>
          <w:szCs w:val="22"/>
        </w:rPr>
        <w:t xml:space="preserve">The COVID-19 pandemic might cause the business closure of a Competent Authority for a certain period.  In such case, Competent Authorities of Contracting Parties may inform the International Bureau of WIPO of the fact that they are not open to the public and indicate the dates on which they will remain closed, either in the same communication or as soon as those dates are known, and specify the date on which they will reopen.  </w:t>
      </w:r>
    </w:p>
    <w:p w:rsidR="0084042E" w:rsidRPr="0084042E" w:rsidRDefault="0055461F" w:rsidP="0084042E">
      <w:pPr>
        <w:tabs>
          <w:tab w:val="left" w:pos="567"/>
        </w:tabs>
        <w:spacing w:after="220" w:line="240" w:lineRule="auto"/>
        <w:ind w:left="-1"/>
        <w:rPr>
          <w:rFonts w:eastAsia="Arial"/>
          <w:sz w:val="22"/>
          <w:szCs w:val="22"/>
        </w:rPr>
      </w:pPr>
      <w:proofErr w:type="gramStart"/>
      <w:r>
        <w:rPr>
          <w:rFonts w:eastAsia="Arial"/>
          <w:sz w:val="22"/>
          <w:szCs w:val="22"/>
        </w:rPr>
        <w:t>3</w:t>
      </w:r>
      <w:r w:rsidR="004C4ACA" w:rsidRPr="00D40605">
        <w:rPr>
          <w:rFonts w:eastAsia="Arial"/>
          <w:sz w:val="22"/>
          <w:szCs w:val="22"/>
        </w:rPr>
        <w:t xml:space="preserve">. </w:t>
      </w:r>
      <w:r w:rsidR="004C4ACA" w:rsidRPr="00D40605">
        <w:rPr>
          <w:rFonts w:eastAsia="Arial"/>
          <w:sz w:val="22"/>
          <w:szCs w:val="22"/>
        </w:rPr>
        <w:tab/>
      </w:r>
      <w:r w:rsidR="0084042E" w:rsidRPr="0084042E">
        <w:rPr>
          <w:rFonts w:eastAsia="Arial"/>
          <w:sz w:val="22"/>
          <w:szCs w:val="22"/>
        </w:rPr>
        <w:t>Under Rule 2(3) of the Common Regulations, if a period applying to a Competent Authority expires on a day, which is not a working day for that Competent Authority, or under the present exceptional circumstances on a day on which the Competent Authority is not open to the public, the period would expire on the first subsequent working day, or in the present case on the first subsequent day on which that Competent Authority reopened.</w:t>
      </w:r>
      <w:proofErr w:type="gramEnd"/>
      <w:r w:rsidR="0084042E" w:rsidRPr="0084042E">
        <w:rPr>
          <w:rFonts w:eastAsia="Arial"/>
          <w:sz w:val="22"/>
          <w:szCs w:val="22"/>
        </w:rPr>
        <w:t xml:space="preserve">  All time limits concerning applications for international registrations filed through the Lisbon System that concern that Competent Authority (e.g., the time limits relating to refusals or irregularities) </w:t>
      </w:r>
      <w:proofErr w:type="gramStart"/>
      <w:r w:rsidR="0084042E" w:rsidRPr="0084042E">
        <w:rPr>
          <w:rFonts w:eastAsia="Arial"/>
          <w:sz w:val="22"/>
          <w:szCs w:val="22"/>
        </w:rPr>
        <w:t>would be extended</w:t>
      </w:r>
      <w:proofErr w:type="gramEnd"/>
      <w:r w:rsidR="0084042E" w:rsidRPr="0084042E">
        <w:rPr>
          <w:rFonts w:eastAsia="Arial"/>
          <w:sz w:val="22"/>
          <w:szCs w:val="22"/>
        </w:rPr>
        <w:t xml:space="preserve"> accordingly.  </w:t>
      </w:r>
    </w:p>
    <w:p w:rsidR="0084042E" w:rsidRPr="0084042E" w:rsidRDefault="0055461F" w:rsidP="00D40605">
      <w:pPr>
        <w:tabs>
          <w:tab w:val="left" w:pos="567"/>
        </w:tabs>
        <w:spacing w:after="220" w:line="240" w:lineRule="auto"/>
        <w:ind w:left="-1"/>
        <w:rPr>
          <w:rFonts w:eastAsia="Arial"/>
          <w:sz w:val="22"/>
          <w:szCs w:val="22"/>
          <w:u w:val="single"/>
        </w:rPr>
      </w:pPr>
      <w:r>
        <w:rPr>
          <w:rFonts w:eastAsia="Arial"/>
          <w:sz w:val="22"/>
          <w:szCs w:val="22"/>
        </w:rPr>
        <w:t>4</w:t>
      </w:r>
      <w:r w:rsidR="004C4ACA" w:rsidRPr="00D40605">
        <w:rPr>
          <w:rFonts w:eastAsia="Arial"/>
          <w:sz w:val="22"/>
          <w:szCs w:val="22"/>
        </w:rPr>
        <w:t xml:space="preserve">. </w:t>
      </w:r>
      <w:r w:rsidR="004C4ACA" w:rsidRPr="00D40605">
        <w:rPr>
          <w:rFonts w:eastAsia="Arial"/>
          <w:sz w:val="22"/>
          <w:szCs w:val="22"/>
        </w:rPr>
        <w:tab/>
      </w:r>
      <w:r w:rsidR="0084042E" w:rsidRPr="0084042E">
        <w:rPr>
          <w:rFonts w:eastAsia="Arial"/>
          <w:sz w:val="22"/>
          <w:szCs w:val="22"/>
        </w:rPr>
        <w:t>In the communication mentioned in paragraph 2, above, Competent Authorities are strongly encouraged to include information on further flexibilities or remedies available to holders of international registrations or third interested parties in connection with time limits afforded by those Competent Authorities concerning applications filed through the Lisbon System.</w:t>
      </w:r>
      <w:r w:rsidR="0084042E" w:rsidRPr="0084042E">
        <w:rPr>
          <w:rFonts w:eastAsia="Arial"/>
          <w:sz w:val="22"/>
          <w:szCs w:val="22"/>
        </w:rPr>
        <w:br w:type="column"/>
      </w:r>
      <w:r w:rsidR="00D40605" w:rsidRPr="00D40605">
        <w:rPr>
          <w:rFonts w:eastAsia="Arial"/>
          <w:sz w:val="22"/>
          <w:szCs w:val="22"/>
        </w:rPr>
        <w:lastRenderedPageBreak/>
        <w:t>II.</w:t>
      </w:r>
      <w:r w:rsidR="00D40605" w:rsidRPr="00D40605">
        <w:rPr>
          <w:rFonts w:eastAsia="Arial"/>
          <w:sz w:val="22"/>
          <w:szCs w:val="22"/>
        </w:rPr>
        <w:tab/>
      </w:r>
      <w:r w:rsidR="0084042E" w:rsidRPr="0084042E">
        <w:rPr>
          <w:rFonts w:eastAsia="Arial"/>
          <w:sz w:val="22"/>
          <w:szCs w:val="22"/>
          <w:u w:val="single"/>
        </w:rPr>
        <w:t xml:space="preserve">Measures </w:t>
      </w:r>
      <w:proofErr w:type="gramStart"/>
      <w:r w:rsidR="0084042E" w:rsidRPr="0084042E">
        <w:rPr>
          <w:rFonts w:eastAsia="Arial"/>
          <w:sz w:val="22"/>
          <w:szCs w:val="22"/>
          <w:u w:val="single"/>
        </w:rPr>
        <w:t>Against</w:t>
      </w:r>
      <w:proofErr w:type="gramEnd"/>
      <w:r w:rsidR="0084042E" w:rsidRPr="0084042E">
        <w:rPr>
          <w:rFonts w:eastAsia="Arial"/>
          <w:sz w:val="22"/>
          <w:szCs w:val="22"/>
          <w:u w:val="single"/>
        </w:rPr>
        <w:t xml:space="preserve"> Possible Disruptions in Mail or Delivery Services  </w:t>
      </w:r>
    </w:p>
    <w:p w:rsidR="0084042E" w:rsidRPr="0084042E" w:rsidRDefault="0055461F" w:rsidP="0084042E">
      <w:pPr>
        <w:tabs>
          <w:tab w:val="left" w:pos="567"/>
        </w:tabs>
        <w:spacing w:after="220" w:line="240" w:lineRule="auto"/>
        <w:ind w:left="-1"/>
        <w:rPr>
          <w:rFonts w:eastAsia="Arial"/>
          <w:sz w:val="22"/>
          <w:szCs w:val="22"/>
        </w:rPr>
      </w:pPr>
      <w:r>
        <w:rPr>
          <w:rFonts w:eastAsia="Arial"/>
          <w:sz w:val="22"/>
          <w:szCs w:val="22"/>
        </w:rPr>
        <w:t>5</w:t>
      </w:r>
      <w:r w:rsidR="004C4ACA" w:rsidRPr="00D40605">
        <w:rPr>
          <w:rFonts w:eastAsia="Arial"/>
          <w:sz w:val="22"/>
          <w:szCs w:val="22"/>
        </w:rPr>
        <w:t xml:space="preserve">. </w:t>
      </w:r>
      <w:r w:rsidR="004C4ACA" w:rsidRPr="00D40605">
        <w:rPr>
          <w:rFonts w:eastAsia="Arial"/>
          <w:sz w:val="22"/>
          <w:szCs w:val="22"/>
        </w:rPr>
        <w:tab/>
      </w:r>
      <w:r w:rsidR="0084042E" w:rsidRPr="0084042E">
        <w:rPr>
          <w:rFonts w:eastAsia="Arial"/>
          <w:sz w:val="22"/>
          <w:szCs w:val="22"/>
        </w:rPr>
        <w:t xml:space="preserve">The International Bureau of WIPO strongly encourages applicants, beneficiaries, third interested parties, their representatives and Competent Authorities, to use electronic communication to mitigate the negative effects of possible disruptions in mail or delivery services.  </w:t>
      </w:r>
    </w:p>
    <w:p w:rsidR="0084042E" w:rsidRDefault="0084042E" w:rsidP="0084042E">
      <w:pPr>
        <w:tabs>
          <w:tab w:val="left" w:pos="567"/>
        </w:tabs>
        <w:spacing w:after="220" w:line="240" w:lineRule="auto"/>
        <w:ind w:left="-1"/>
        <w:rPr>
          <w:rFonts w:eastAsia="Arial"/>
          <w:sz w:val="22"/>
          <w:szCs w:val="22"/>
        </w:rPr>
      </w:pPr>
      <w:r w:rsidRPr="0084042E">
        <w:rPr>
          <w:rFonts w:eastAsia="Arial"/>
          <w:noProof/>
          <w:szCs w:val="22"/>
        </w:rPr>
        <mc:AlternateContent>
          <mc:Choice Requires="wpi">
            <w:drawing>
              <wp:anchor distT="0" distB="0" distL="0" distR="0" simplePos="0" relativeHeight="251660288" behindDoc="0" locked="0" layoutInCell="1" allowOverlap="1" wp14:anchorId="65B85777" wp14:editId="6C006F88">
                <wp:simplePos x="0" y="0"/>
                <wp:positionH relativeFrom="page">
                  <wp:posOffset>5979165</wp:posOffset>
                </wp:positionH>
                <wp:positionV relativeFrom="page">
                  <wp:posOffset>2597790</wp:posOffset>
                </wp:positionV>
                <wp:extent cx="3810" cy="3810"/>
                <wp:effectExtent l="317500" t="317500" r="317500" b="317500"/>
                <wp:wrapNone/>
                <wp:docPr id="12" name="Ink 3"/>
                <wp:cNvGraphicFramePr>
                  <a:graphicFrameLocks xmlns:a="http://schemas.openxmlformats.org/drawingml/2006/main"/>
                </wp:cNvGraphicFramePr>
                <a:graphic xmlns:a="http://schemas.openxmlformats.org/drawingml/2006/main">
                  <a:graphicData uri="http://schemas.microsoft.com/office/word/2010/wordprocessingInk">
                    <w14:contentPart bwMode="auto" r:id="rId9">
                      <w14:nvContentPartPr>
                        <w14:cNvContentPartPr>
                          <a14:cpLocks xmlns:a14="http://schemas.microsoft.com/office/drawing/2010/main"/>
                        </w14:cNvContentPartPr>
                      </w14:nvContentPartPr>
                      <w14:xfrm>
                        <a:off x="0" y="0"/>
                        <a:ext cx="3810" cy="3810"/>
                      </w14:xfrm>
                    </w14:contentPart>
                  </a:graphicData>
                </a:graphic>
              </wp:anchor>
            </w:drawing>
          </mc:Choice>
          <mc:Fallback>
            <w:pict>
              <v:shapetype w14:anchorId="3D4714D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3" o:spid="_x0000_s1026" type="#_x0000_t75" style="position:absolute;margin-left:470.8pt;margin-top:204.55pt;width:.3pt;height:.3pt;z-index:251660288;visibility:visible;mso-wrap-style:square;mso-wrap-distance-left:0;mso-wrap-distance-top:0;mso-wrap-distance-right:0;mso-wrap-distance-bottom:0;mso-position-horizontal:absolute;mso-position-horizontal-relative:page;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">
                <v:imagedata r:id="rId10" o:title=""/>
                <v:path arrowok="t"/>
                <o:lock v:ext="edit" aspectratio="f"/>
                <w10:wrap anchorx="page" anchory="page"/>
              </v:shape>
            </w:pict>
          </mc:Fallback>
        </mc:AlternateContent>
      </w:r>
      <w:r w:rsidRPr="0084042E">
        <w:rPr>
          <w:rFonts w:eastAsia="Arial"/>
          <w:noProof/>
          <w:szCs w:val="22"/>
        </w:rPr>
        <mc:AlternateContent>
          <mc:Choice Requires="wpi">
            <w:drawing>
              <wp:anchor distT="0" distB="0" distL="0" distR="0" simplePos="0" relativeHeight="251661312" behindDoc="0" locked="0" layoutInCell="1" allowOverlap="1" wp14:anchorId="67C3A58C" wp14:editId="57B2D07D">
                <wp:simplePos x="0" y="0"/>
                <wp:positionH relativeFrom="page">
                  <wp:posOffset>6006470</wp:posOffset>
                </wp:positionH>
                <wp:positionV relativeFrom="page">
                  <wp:posOffset>2585725</wp:posOffset>
                </wp:positionV>
                <wp:extent cx="3810" cy="3810"/>
                <wp:effectExtent l="317500" t="317500" r="317500" b="317500"/>
                <wp:wrapNone/>
                <wp:docPr id="13" name="Ink 4"/>
                <wp:cNvGraphicFramePr>
                  <a:graphicFrameLocks xmlns:a="http://schemas.openxmlformats.org/drawingml/2006/main"/>
                </wp:cNvGraphicFramePr>
                <a:graphic xmlns:a="http://schemas.openxmlformats.org/drawingml/2006/main">
                  <a:graphicData uri="http://schemas.microsoft.com/office/word/2010/wordprocessingInk">
                    <w14:contentPart bwMode="auto" r:id="rId11">
                      <w14:nvContentPartPr>
                        <w14:cNvContentPartPr>
                          <a14:cpLocks xmlns:a14="http://schemas.microsoft.com/office/drawing/2010/main"/>
                        </w14:cNvContentPartPr>
                      </w14:nvContentPartPr>
                      <w14:xfrm>
                        <a:off x="0" y="0"/>
                        <a:ext cx="3810" cy="3810"/>
                      </w14:xfrm>
                    </w14:contentPart>
                  </a:graphicData>
                </a:graphic>
              </wp:anchor>
            </w:drawing>
          </mc:Choice>
          <mc:Fallback>
            <w:pict>
              <v:shape w14:anchorId="59AED5F9" id="Ink 4" o:spid="_x0000_s1026" type="#_x0000_t75" style="position:absolute;margin-left:472.95pt;margin-top:203.6pt;width:.3pt;height:.3pt;z-index:251661312;visibility:visible;mso-wrap-style:square;mso-wrap-distance-left:0;mso-wrap-distance-top:0;mso-wrap-distance-right:0;mso-wrap-distance-bottom:0;mso-position-horizontal:absolute;mso-position-horizontal-relative:page;mso-position-vertical:absolute;mso-position-vertical-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">
                <v:imagedata r:id="rId10" o:title=""/>
                <v:path arrowok="t"/>
                <o:lock v:ext="edit" aspectratio="f"/>
                <w10:wrap anchorx="page" anchory="page"/>
              </v:shape>
            </w:pict>
          </mc:Fallback>
        </mc:AlternateContent>
      </w:r>
      <w:r w:rsidR="0055461F">
        <w:rPr>
          <w:rFonts w:eastAsia="Arial"/>
          <w:sz w:val="22"/>
          <w:szCs w:val="22"/>
        </w:rPr>
        <w:t>6</w:t>
      </w:r>
      <w:r w:rsidR="004C4ACA" w:rsidRPr="00D40605">
        <w:rPr>
          <w:rFonts w:eastAsia="Arial"/>
          <w:sz w:val="22"/>
          <w:szCs w:val="22"/>
        </w:rPr>
        <w:t xml:space="preserve">. </w:t>
      </w:r>
      <w:r w:rsidR="004C4ACA" w:rsidRPr="00D40605">
        <w:rPr>
          <w:rFonts w:eastAsia="Arial"/>
          <w:sz w:val="22"/>
          <w:szCs w:val="22"/>
        </w:rPr>
        <w:tab/>
      </w:r>
      <w:r w:rsidRPr="0084042E">
        <w:rPr>
          <w:rFonts w:eastAsia="Arial"/>
          <w:sz w:val="22"/>
          <w:szCs w:val="22"/>
        </w:rPr>
        <w:t xml:space="preserve">Most importantly, Competent Authorities are strongly encouraged to provide an e-mail address to receive electronic communications from the International Bureau of WIPO.  Those who have not yet provided an e-mail address may do so through the following generic e-mail address of the Lisbon System:  </w:t>
      </w:r>
      <w:r w:rsidRPr="0084042E">
        <w:rPr>
          <w:rFonts w:eastAsia="Arial"/>
          <w:sz w:val="22"/>
          <w:szCs w:val="22"/>
          <w:u w:val="single"/>
        </w:rPr>
        <w:t>Iisbon.system@wipo.int</w:t>
      </w:r>
      <w:r w:rsidRPr="0084042E">
        <w:rPr>
          <w:rFonts w:eastAsia="Arial"/>
          <w:sz w:val="22"/>
          <w:szCs w:val="22"/>
        </w:rPr>
        <w:t xml:space="preserve">. </w:t>
      </w:r>
      <w:r w:rsidR="00D40605">
        <w:rPr>
          <w:rFonts w:eastAsia="Arial"/>
          <w:sz w:val="22"/>
          <w:szCs w:val="22"/>
        </w:rPr>
        <w:t xml:space="preserve"> </w:t>
      </w:r>
      <w:bookmarkStart w:id="0" w:name="_GoBack"/>
      <w:bookmarkEnd w:id="0"/>
    </w:p>
    <w:p w:rsidR="00D40605" w:rsidRPr="0084042E" w:rsidRDefault="00D40605" w:rsidP="0084042E">
      <w:pPr>
        <w:tabs>
          <w:tab w:val="left" w:pos="567"/>
        </w:tabs>
        <w:spacing w:after="220" w:line="240" w:lineRule="auto"/>
        <w:ind w:left="-1"/>
        <w:rPr>
          <w:rFonts w:eastAsia="Arial"/>
          <w:sz w:val="22"/>
          <w:szCs w:val="22"/>
        </w:rPr>
      </w:pPr>
    </w:p>
    <w:p w:rsidR="0084042E" w:rsidRPr="00D40605" w:rsidRDefault="00D40605" w:rsidP="0084042E">
      <w:pPr>
        <w:spacing w:after="0" w:line="240" w:lineRule="auto"/>
        <w:ind w:left="5534"/>
        <w:rPr>
          <w:rFonts w:eastAsia="Arial"/>
          <w:sz w:val="22"/>
          <w:szCs w:val="22"/>
        </w:rPr>
      </w:pPr>
      <w:r w:rsidRPr="00D40605">
        <w:rPr>
          <w:rFonts w:eastAsia="Arial"/>
          <w:sz w:val="22"/>
          <w:szCs w:val="22"/>
        </w:rPr>
        <w:t>April 1</w:t>
      </w:r>
      <w:r w:rsidR="0084042E" w:rsidRPr="0084042E">
        <w:rPr>
          <w:rFonts w:eastAsia="Arial"/>
          <w:sz w:val="22"/>
          <w:szCs w:val="22"/>
        </w:rPr>
        <w:t>, 2020</w:t>
      </w:r>
    </w:p>
    <w:p w:rsidR="0084042E" w:rsidRPr="0084042E" w:rsidRDefault="0084042E" w:rsidP="0084042E">
      <w:pPr>
        <w:spacing w:after="0" w:line="240" w:lineRule="auto"/>
        <w:ind w:left="0"/>
        <w:rPr>
          <w:rFonts w:eastAsia="Arial"/>
          <w:sz w:val="22"/>
          <w:szCs w:val="22"/>
        </w:rPr>
      </w:pPr>
    </w:p>
    <w:p w:rsidR="0084042E" w:rsidRPr="0084042E" w:rsidRDefault="0084042E" w:rsidP="0084042E">
      <w:pPr>
        <w:spacing w:after="0" w:line="240" w:lineRule="auto"/>
        <w:ind w:left="0"/>
        <w:rPr>
          <w:rFonts w:eastAsia="Arial"/>
          <w:sz w:val="22"/>
          <w:szCs w:val="22"/>
        </w:rPr>
      </w:pPr>
    </w:p>
    <w:p w:rsidR="0084042E" w:rsidRPr="0084042E" w:rsidRDefault="0084042E" w:rsidP="0084042E">
      <w:pPr>
        <w:tabs>
          <w:tab w:val="left" w:pos="6111"/>
        </w:tabs>
        <w:spacing w:after="0" w:line="240" w:lineRule="auto"/>
        <w:ind w:left="0"/>
        <w:rPr>
          <w:rFonts w:eastAsia="Arial"/>
          <w:sz w:val="22"/>
          <w:szCs w:val="22"/>
        </w:rPr>
      </w:pPr>
      <w:r w:rsidRPr="0084042E">
        <w:rPr>
          <w:rFonts w:eastAsia="Arial"/>
          <w:sz w:val="22"/>
          <w:szCs w:val="22"/>
        </w:rPr>
        <w:tab/>
      </w:r>
    </w:p>
    <w:p w:rsidR="00A37E65" w:rsidRPr="00DD1E6D" w:rsidRDefault="00A37E65" w:rsidP="0084042E">
      <w:pPr>
        <w:ind w:left="0"/>
        <w:jc w:val="center"/>
      </w:pPr>
    </w:p>
    <w:sectPr w:rsidR="00A37E65" w:rsidRPr="00DD1E6D" w:rsidSect="00223F2F">
      <w:headerReference w:type="even" r:id="rId12"/>
      <w:headerReference w:type="default" r:id="rId13"/>
      <w:footerReference w:type="even" r:id="rId14"/>
      <w:footerReference w:type="default" r:id="rId15"/>
      <w:headerReference w:type="first" r:id="rId16"/>
      <w:footerReference w:type="first" r:id="rId17"/>
      <w:pgSz w:w="11907" w:h="16840" w:code="9"/>
      <w:pgMar w:top="567" w:right="851" w:bottom="1418" w:left="1418" w:header="510" w:footer="1021"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6BC4" w:rsidRDefault="002D6BC4">
      <w:r>
        <w:separator/>
      </w:r>
    </w:p>
  </w:endnote>
  <w:endnote w:type="continuationSeparator" w:id="0">
    <w:p w:rsidR="002D6BC4" w:rsidRDefault="002D6BC4">
      <w:r>
        <w:separator/>
      </w:r>
    </w:p>
    <w:p w:rsidR="002D6BC4" w:rsidRDefault="002D6BC4">
      <w:pPr>
        <w:pStyle w:val="Footer"/>
        <w:spacing w:after="60"/>
        <w:rPr>
          <w:sz w:val="17"/>
        </w:rPr>
      </w:pPr>
      <w:r>
        <w:rPr>
          <w:sz w:val="17"/>
        </w:rPr>
        <w:t>[Endnote continued from previous page]</w:t>
      </w:r>
    </w:p>
  </w:endnote>
  <w:endnote w:type="continuationNotice" w:id="1">
    <w:p w:rsidR="002D6BC4" w:rsidRDefault="002D6BC4">
      <w:pPr>
        <w:spacing w:before="60"/>
        <w:jc w:val="right"/>
        <w:rPr>
          <w:sz w:val="17"/>
        </w:rPr>
      </w:pPr>
      <w:r>
        <w:rPr>
          <w:sz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2F" w:rsidRDefault="003829D5" w:rsidP="003829D5">
    <w:pPr>
      <w:pStyle w:val="Footer"/>
      <w:jc w:val="right"/>
      <w:rPr>
        <w:color w:val="000000"/>
        <w:sz w:val="17"/>
      </w:rPr>
    </w:pPr>
    <w:r w:rsidRPr="003829D5">
      <w:rPr>
        <w:color w:val="000000"/>
        <w:sz w:val="17"/>
      </w:rPr>
      <w:t xml:space="preserve">  </w:t>
    </w:r>
  </w:p>
  <w:p w:rsidR="003829D5" w:rsidRDefault="003829D5" w:rsidP="003829D5">
    <w:pPr>
      <w:pStyle w:val="Footer"/>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2F" w:rsidRDefault="003829D5" w:rsidP="003829D5">
    <w:pPr>
      <w:pStyle w:val="Footer"/>
      <w:spacing w:after="0"/>
      <w:rPr>
        <w:color w:val="000000"/>
        <w:sz w:val="17"/>
      </w:rPr>
    </w:pPr>
    <w:bookmarkStart w:id="2" w:name="TITUS1FooterPrimary"/>
    <w:r>
      <w:rPr>
        <w:color w:val="000000"/>
        <w:sz w:val="17"/>
      </w:rPr>
      <w:t xml:space="preserve">  </w:t>
    </w:r>
  </w:p>
  <w:bookmarkEnd w:id="2"/>
  <w:p w:rsidR="00223F2F" w:rsidRDefault="00223F2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2F" w:rsidRDefault="00223F2F" w:rsidP="00A37E65">
    <w:pPr>
      <w:pStyle w:val="Footer"/>
      <w:ind w:left="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6BC4" w:rsidRDefault="002D6BC4">
      <w:r>
        <w:separator/>
      </w:r>
    </w:p>
  </w:footnote>
  <w:footnote w:type="continuationSeparator" w:id="0">
    <w:p w:rsidR="002D6BC4" w:rsidRDefault="002D6BC4">
      <w:r>
        <w:separator/>
      </w:r>
    </w:p>
    <w:p w:rsidR="002D6BC4" w:rsidRDefault="002D6BC4">
      <w:pPr>
        <w:pStyle w:val="Footer"/>
        <w:spacing w:after="60"/>
        <w:rPr>
          <w:sz w:val="17"/>
        </w:rPr>
      </w:pPr>
      <w:r>
        <w:rPr>
          <w:sz w:val="17"/>
        </w:rPr>
        <w:t>[Footnote continued from previous page]</w:t>
      </w:r>
    </w:p>
  </w:footnote>
  <w:footnote w:type="continuationNotice" w:id="1">
    <w:p w:rsidR="002D6BC4" w:rsidRDefault="002D6BC4">
      <w:pPr>
        <w:spacing w:before="60"/>
        <w:jc w:val="right"/>
        <w:rPr>
          <w:sz w:val="17"/>
        </w:rPr>
      </w:pPr>
      <w:r>
        <w:rPr>
          <w:sz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2F" w:rsidRPr="008B47F2" w:rsidRDefault="00223F2F" w:rsidP="00476153">
    <w:pPr>
      <w:jc w:val="right"/>
      <w:rPr>
        <w:sz w:val="22"/>
        <w:szCs w:val="22"/>
      </w:rPr>
    </w:pPr>
    <w:proofErr w:type="gramStart"/>
    <w:r w:rsidRPr="008B47F2">
      <w:rPr>
        <w:sz w:val="22"/>
        <w:szCs w:val="22"/>
      </w:rPr>
      <w:t>page</w:t>
    </w:r>
    <w:proofErr w:type="gramEnd"/>
    <w:r w:rsidRPr="008B47F2">
      <w:rPr>
        <w:sz w:val="22"/>
        <w:szCs w:val="22"/>
      </w:rPr>
      <w:t xml:space="preserve"> </w:t>
    </w:r>
    <w:r w:rsidRPr="008B47F2">
      <w:rPr>
        <w:sz w:val="22"/>
        <w:szCs w:val="22"/>
      </w:rPr>
      <w:fldChar w:fldCharType="begin"/>
    </w:r>
    <w:r w:rsidRPr="008B47F2">
      <w:rPr>
        <w:sz w:val="22"/>
        <w:szCs w:val="22"/>
      </w:rPr>
      <w:instrText xml:space="preserve"> PAGE  \* MERGEFORMAT </w:instrText>
    </w:r>
    <w:r w:rsidRPr="008B47F2">
      <w:rPr>
        <w:sz w:val="22"/>
        <w:szCs w:val="22"/>
      </w:rPr>
      <w:fldChar w:fldCharType="separate"/>
    </w:r>
    <w:r w:rsidR="00241C96">
      <w:rPr>
        <w:noProof/>
        <w:sz w:val="22"/>
        <w:szCs w:val="22"/>
      </w:rPr>
      <w:t>2</w:t>
    </w:r>
    <w:r w:rsidRPr="008B47F2">
      <w:rPr>
        <w:sz w:val="22"/>
        <w:szCs w:val="22"/>
      </w:rPr>
      <w:fldChar w:fldCharType="end"/>
    </w:r>
  </w:p>
  <w:p w:rsidR="00223F2F" w:rsidRDefault="00223F2F" w:rsidP="00223F2F">
    <w:pP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2F" w:rsidRDefault="003829D5" w:rsidP="003829D5">
    <w:pPr>
      <w:spacing w:after="0"/>
      <w:jc w:val="right"/>
      <w:rPr>
        <w:color w:val="000000"/>
        <w:sz w:val="17"/>
      </w:rPr>
    </w:pPr>
    <w:bookmarkStart w:id="1" w:name="TITUS1HeaderPrimary"/>
    <w:r>
      <w:rPr>
        <w:color w:val="000000"/>
        <w:sz w:val="17"/>
      </w:rPr>
      <w:t xml:space="preserve"> </w:t>
    </w:r>
  </w:p>
  <w:bookmarkEnd w:id="1"/>
  <w:p w:rsidR="007921E8" w:rsidRDefault="007921E8">
    <w:pPr>
      <w:jc w:val="center"/>
    </w:pPr>
    <w:proofErr w:type="gramStart"/>
    <w:r>
      <w:t>page</w:t>
    </w:r>
    <w:proofErr w:type="gramEnd"/>
    <w:r>
      <w:t xml:space="preserve"> </w:t>
    </w:r>
    <w:r>
      <w:fldChar w:fldCharType="begin"/>
    </w:r>
    <w:r>
      <w:instrText xml:space="preserve"> PAGE  \* MERGEFORMAT </w:instrText>
    </w:r>
    <w:r>
      <w:fldChar w:fldCharType="separate"/>
    </w:r>
    <w:r w:rsidR="00BB7D83">
      <w:rPr>
        <w:noProof/>
      </w:rPr>
      <w:t>2</w:t>
    </w:r>
    <w:r>
      <w:fldChar w:fldCharType="end"/>
    </w:r>
  </w:p>
  <w:p w:rsidR="007921E8" w:rsidRDefault="007921E8">
    <w:pPr>
      <w:jc w:val="cent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23F2F" w:rsidRDefault="003829D5" w:rsidP="00476153">
    <w:pPr>
      <w:pStyle w:val="Header"/>
      <w:spacing w:after="0"/>
      <w:jc w:val="right"/>
    </w:pPr>
    <w:bookmarkStart w:id="3" w:name="TITUS1HeaderFirstPage"/>
    <w:r>
      <w:rPr>
        <w:color w:val="000000"/>
        <w:sz w:val="17"/>
      </w:rPr>
      <w:t xml:space="preserve"> </w:t>
    </w:r>
    <w:bookmarkEnd w:id="3"/>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F00000A"/>
    <w:multiLevelType w:val="hybridMultilevel"/>
    <w:tmpl w:val="2DAF3C32"/>
    <w:lvl w:ilvl="0" w:tplc="9816EE90">
      <w:start w:val="1"/>
      <w:numFmt w:val="upperRoman"/>
      <w:lvlText w:val="%1."/>
      <w:lvlJc w:val="left"/>
      <w:pPr>
        <w:ind w:left="720" w:hanging="720"/>
        <w:jc w:val="both"/>
      </w:pPr>
      <w:rPr>
        <w:w w:val="100"/>
        <w:sz w:val="20"/>
        <w:szCs w:val="20"/>
        <w:shd w:val="clear" w:color="auto" w:fill="auto"/>
      </w:rPr>
    </w:lvl>
    <w:lvl w:ilvl="1" w:tplc="D42412A4">
      <w:start w:val="1"/>
      <w:numFmt w:val="lowerLetter"/>
      <w:lvlText w:val="%2."/>
      <w:lvlJc w:val="left"/>
      <w:pPr>
        <w:ind w:left="1080" w:hanging="360"/>
        <w:jc w:val="both"/>
      </w:pPr>
    </w:lvl>
    <w:lvl w:ilvl="2" w:tplc="90B62C80">
      <w:start w:val="1"/>
      <w:numFmt w:val="lowerRoman"/>
      <w:lvlText w:val="%3."/>
      <w:lvlJc w:val="right"/>
      <w:pPr>
        <w:ind w:left="1800" w:hanging="180"/>
        <w:jc w:val="both"/>
      </w:pPr>
    </w:lvl>
    <w:lvl w:ilvl="3" w:tplc="B4B86AA4">
      <w:start w:val="1"/>
      <w:numFmt w:val="decimal"/>
      <w:lvlText w:val="%4."/>
      <w:lvlJc w:val="left"/>
      <w:pPr>
        <w:ind w:left="2520" w:hanging="360"/>
        <w:jc w:val="both"/>
      </w:pPr>
    </w:lvl>
    <w:lvl w:ilvl="4" w:tplc="B00C4C38">
      <w:start w:val="1"/>
      <w:numFmt w:val="lowerLetter"/>
      <w:lvlText w:val="%5."/>
      <w:lvlJc w:val="left"/>
      <w:pPr>
        <w:ind w:left="3240" w:hanging="360"/>
        <w:jc w:val="both"/>
      </w:pPr>
    </w:lvl>
    <w:lvl w:ilvl="5" w:tplc="51D257C0">
      <w:start w:val="1"/>
      <w:numFmt w:val="lowerRoman"/>
      <w:lvlText w:val="%6."/>
      <w:lvlJc w:val="right"/>
      <w:pPr>
        <w:ind w:left="3960" w:hanging="180"/>
        <w:jc w:val="both"/>
      </w:pPr>
    </w:lvl>
    <w:lvl w:ilvl="6" w:tplc="CFCC84AE">
      <w:start w:val="1"/>
      <w:numFmt w:val="decimal"/>
      <w:lvlText w:val="%7."/>
      <w:lvlJc w:val="left"/>
      <w:pPr>
        <w:ind w:left="4680" w:hanging="360"/>
        <w:jc w:val="both"/>
      </w:pPr>
    </w:lvl>
    <w:lvl w:ilvl="7" w:tplc="7FB6D92E">
      <w:start w:val="1"/>
      <w:numFmt w:val="lowerLetter"/>
      <w:lvlText w:val="%8."/>
      <w:lvlJc w:val="left"/>
      <w:pPr>
        <w:ind w:left="5400" w:hanging="360"/>
        <w:jc w:val="both"/>
      </w:pPr>
    </w:lvl>
    <w:lvl w:ilvl="8" w:tplc="38AC9312">
      <w:start w:val="1"/>
      <w:numFmt w:val="lowerRoman"/>
      <w:lvlText w:val="%9."/>
      <w:lvlJc w:val="right"/>
      <w:pPr>
        <w:ind w:left="6120" w:hanging="180"/>
        <w:jc w:val="both"/>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2F01" w:allStyles="1" w:customStyles="0" w:latentStyles="0" w:stylesInUse="0" w:headingStyles="0" w:numberingStyles="0" w:tableStyles="0" w:directFormattingOnRuns="1" w:directFormattingOnParagraphs="1" w:directFormattingOnNumbering="1" w:directFormattingOnTables="1" w:clearFormatting="0"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23553"/>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1D2"/>
    <w:rsid w:val="000009F0"/>
    <w:rsid w:val="00002C70"/>
    <w:rsid w:val="000072EE"/>
    <w:rsid w:val="00023E8B"/>
    <w:rsid w:val="0008533B"/>
    <w:rsid w:val="000941C1"/>
    <w:rsid w:val="000A5292"/>
    <w:rsid w:val="000C3685"/>
    <w:rsid w:val="000C729E"/>
    <w:rsid w:val="000C774D"/>
    <w:rsid w:val="000E072A"/>
    <w:rsid w:val="000E716C"/>
    <w:rsid w:val="00112BC6"/>
    <w:rsid w:val="00146635"/>
    <w:rsid w:val="00152A2E"/>
    <w:rsid w:val="00191E44"/>
    <w:rsid w:val="001972ED"/>
    <w:rsid w:val="001A2E00"/>
    <w:rsid w:val="001C42C0"/>
    <w:rsid w:val="001D48D9"/>
    <w:rsid w:val="00203371"/>
    <w:rsid w:val="00212F6B"/>
    <w:rsid w:val="002214C7"/>
    <w:rsid w:val="00223F2F"/>
    <w:rsid w:val="00241C96"/>
    <w:rsid w:val="0025693C"/>
    <w:rsid w:val="00261D19"/>
    <w:rsid w:val="00264E42"/>
    <w:rsid w:val="0029704F"/>
    <w:rsid w:val="002B6B55"/>
    <w:rsid w:val="002C69D9"/>
    <w:rsid w:val="002D12C1"/>
    <w:rsid w:val="002D6BC4"/>
    <w:rsid w:val="002E48C8"/>
    <w:rsid w:val="002E5E82"/>
    <w:rsid w:val="002E7D19"/>
    <w:rsid w:val="003053B3"/>
    <w:rsid w:val="003176E2"/>
    <w:rsid w:val="00317967"/>
    <w:rsid w:val="00343428"/>
    <w:rsid w:val="00345F13"/>
    <w:rsid w:val="00346B09"/>
    <w:rsid w:val="00347874"/>
    <w:rsid w:val="003555F4"/>
    <w:rsid w:val="00377D89"/>
    <w:rsid w:val="003829D5"/>
    <w:rsid w:val="003A05E3"/>
    <w:rsid w:val="003A1368"/>
    <w:rsid w:val="003A1B2F"/>
    <w:rsid w:val="003A3290"/>
    <w:rsid w:val="003A4806"/>
    <w:rsid w:val="003B2C0D"/>
    <w:rsid w:val="003B4808"/>
    <w:rsid w:val="003D341E"/>
    <w:rsid w:val="003F2264"/>
    <w:rsid w:val="003F4553"/>
    <w:rsid w:val="003F73CD"/>
    <w:rsid w:val="00400B28"/>
    <w:rsid w:val="00406BD1"/>
    <w:rsid w:val="00444D9B"/>
    <w:rsid w:val="00455752"/>
    <w:rsid w:val="00472268"/>
    <w:rsid w:val="00476153"/>
    <w:rsid w:val="00481003"/>
    <w:rsid w:val="004C4ACA"/>
    <w:rsid w:val="004D040D"/>
    <w:rsid w:val="004D38FC"/>
    <w:rsid w:val="004F6518"/>
    <w:rsid w:val="00511EAA"/>
    <w:rsid w:val="00517500"/>
    <w:rsid w:val="00531395"/>
    <w:rsid w:val="005333AF"/>
    <w:rsid w:val="0055461F"/>
    <w:rsid w:val="005712E6"/>
    <w:rsid w:val="005A1440"/>
    <w:rsid w:val="005A5FD8"/>
    <w:rsid w:val="005B5CBA"/>
    <w:rsid w:val="005B6128"/>
    <w:rsid w:val="005C0E3E"/>
    <w:rsid w:val="005E0C9B"/>
    <w:rsid w:val="005E79D0"/>
    <w:rsid w:val="00606B9A"/>
    <w:rsid w:val="006107EB"/>
    <w:rsid w:val="006210A3"/>
    <w:rsid w:val="006553EA"/>
    <w:rsid w:val="00663C08"/>
    <w:rsid w:val="00665CEB"/>
    <w:rsid w:val="006725FD"/>
    <w:rsid w:val="00683A79"/>
    <w:rsid w:val="00683DEF"/>
    <w:rsid w:val="00695DBF"/>
    <w:rsid w:val="006D10B8"/>
    <w:rsid w:val="006D7C44"/>
    <w:rsid w:val="007161AF"/>
    <w:rsid w:val="00717264"/>
    <w:rsid w:val="0072508E"/>
    <w:rsid w:val="00764021"/>
    <w:rsid w:val="007650B4"/>
    <w:rsid w:val="00772CC1"/>
    <w:rsid w:val="007820C2"/>
    <w:rsid w:val="007921E8"/>
    <w:rsid w:val="007922A7"/>
    <w:rsid w:val="007A440C"/>
    <w:rsid w:val="007A449D"/>
    <w:rsid w:val="007D32C4"/>
    <w:rsid w:val="007D47E6"/>
    <w:rsid w:val="007D6437"/>
    <w:rsid w:val="007F0A7A"/>
    <w:rsid w:val="007F5046"/>
    <w:rsid w:val="00805FC0"/>
    <w:rsid w:val="00806E36"/>
    <w:rsid w:val="008116BA"/>
    <w:rsid w:val="008166F6"/>
    <w:rsid w:val="0081677D"/>
    <w:rsid w:val="008248DA"/>
    <w:rsid w:val="00831A26"/>
    <w:rsid w:val="0084042E"/>
    <w:rsid w:val="00842AB1"/>
    <w:rsid w:val="0085165C"/>
    <w:rsid w:val="00856B5E"/>
    <w:rsid w:val="0086291A"/>
    <w:rsid w:val="00863155"/>
    <w:rsid w:val="0086772C"/>
    <w:rsid w:val="00885998"/>
    <w:rsid w:val="008B47F2"/>
    <w:rsid w:val="008D441F"/>
    <w:rsid w:val="008E183B"/>
    <w:rsid w:val="008F1927"/>
    <w:rsid w:val="008F55E4"/>
    <w:rsid w:val="00916252"/>
    <w:rsid w:val="009504C1"/>
    <w:rsid w:val="0097265A"/>
    <w:rsid w:val="0098141D"/>
    <w:rsid w:val="009923F4"/>
    <w:rsid w:val="009A4966"/>
    <w:rsid w:val="009A6B40"/>
    <w:rsid w:val="009C024E"/>
    <w:rsid w:val="009E185D"/>
    <w:rsid w:val="00A17E69"/>
    <w:rsid w:val="00A37E65"/>
    <w:rsid w:val="00A52351"/>
    <w:rsid w:val="00A5573D"/>
    <w:rsid w:val="00A61673"/>
    <w:rsid w:val="00A63F09"/>
    <w:rsid w:val="00A921A6"/>
    <w:rsid w:val="00AB20A1"/>
    <w:rsid w:val="00AC18DF"/>
    <w:rsid w:val="00AD03FA"/>
    <w:rsid w:val="00AE664A"/>
    <w:rsid w:val="00B05311"/>
    <w:rsid w:val="00B0719E"/>
    <w:rsid w:val="00B76C01"/>
    <w:rsid w:val="00B80CD2"/>
    <w:rsid w:val="00B81916"/>
    <w:rsid w:val="00B82EC6"/>
    <w:rsid w:val="00B833E5"/>
    <w:rsid w:val="00BA79F0"/>
    <w:rsid w:val="00BB1EDC"/>
    <w:rsid w:val="00BB7D83"/>
    <w:rsid w:val="00BC34F6"/>
    <w:rsid w:val="00BC544A"/>
    <w:rsid w:val="00BD1AE0"/>
    <w:rsid w:val="00BF5759"/>
    <w:rsid w:val="00BF5C44"/>
    <w:rsid w:val="00C3087A"/>
    <w:rsid w:val="00C561A7"/>
    <w:rsid w:val="00C575B2"/>
    <w:rsid w:val="00C7431C"/>
    <w:rsid w:val="00C74AC2"/>
    <w:rsid w:val="00CA144F"/>
    <w:rsid w:val="00CA3902"/>
    <w:rsid w:val="00CC407C"/>
    <w:rsid w:val="00CE77DA"/>
    <w:rsid w:val="00D03838"/>
    <w:rsid w:val="00D21A15"/>
    <w:rsid w:val="00D40605"/>
    <w:rsid w:val="00D55F36"/>
    <w:rsid w:val="00D9359E"/>
    <w:rsid w:val="00DA6A93"/>
    <w:rsid w:val="00DE5C8D"/>
    <w:rsid w:val="00DF07B9"/>
    <w:rsid w:val="00E54EFB"/>
    <w:rsid w:val="00E64775"/>
    <w:rsid w:val="00E65346"/>
    <w:rsid w:val="00E757C1"/>
    <w:rsid w:val="00E77AA5"/>
    <w:rsid w:val="00EA01D2"/>
    <w:rsid w:val="00EA16A8"/>
    <w:rsid w:val="00EB3E9F"/>
    <w:rsid w:val="00EC39FE"/>
    <w:rsid w:val="00EE4D0F"/>
    <w:rsid w:val="00F76C94"/>
    <w:rsid w:val="00F8747B"/>
    <w:rsid w:val="00FA272A"/>
    <w:rsid w:val="00FB4F2F"/>
    <w:rsid w:val="00FC4EC2"/>
    <w:rsid w:val="00FD0AA7"/>
    <w:rsid w:val="00FF5CF4"/>
    <w:rsid w:val="00FF62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15:chartTrackingRefBased/>
  <w15:docId w15:val="{BD9B9165-EB39-4CD9-B41D-EE63D1991B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E0C9B"/>
    <w:pPr>
      <w:spacing w:after="120" w:line="260" w:lineRule="exact"/>
      <w:ind w:left="1021"/>
    </w:pPr>
    <w:rPr>
      <w:rFonts w:ascii="Arial" w:hAnsi="Arial"/>
    </w:rPr>
  </w:style>
  <w:style w:type="paragraph" w:styleId="Heading1">
    <w:name w:val="heading 1"/>
    <w:basedOn w:val="Normal"/>
    <w:next w:val="Normal"/>
    <w:qFormat/>
    <w:pPr>
      <w:keepNext/>
      <w:outlineLvl w:val="0"/>
    </w:pPr>
    <w:rPr>
      <w:caps/>
    </w:rPr>
  </w:style>
  <w:style w:type="paragraph" w:styleId="Heading2">
    <w:name w:val="heading 2"/>
    <w:basedOn w:val="Normal"/>
    <w:next w:val="Normal"/>
    <w:qFormat/>
    <w:pPr>
      <w:keepNext/>
      <w:outlineLvl w:val="1"/>
    </w:pPr>
    <w:rPr>
      <w:u w:val="single"/>
    </w:rPr>
  </w:style>
  <w:style w:type="paragraph" w:styleId="Heading3">
    <w:name w:val="heading 3"/>
    <w:basedOn w:val="Normal"/>
    <w:next w:val="Normal"/>
    <w:qFormat/>
    <w:pPr>
      <w:keepNext/>
      <w:outlineLvl w:val="2"/>
    </w:pPr>
  </w:style>
  <w:style w:type="paragraph" w:styleId="Heading4">
    <w:name w:val="heading 4"/>
    <w:basedOn w:val="Normal"/>
    <w:next w:val="Normal"/>
    <w:qFormat/>
    <w:pPr>
      <w:keepNext/>
      <w:outlineLvl w:val="3"/>
    </w:pPr>
  </w:style>
  <w:style w:type="paragraph" w:styleId="Heading5">
    <w:name w:val="heading 5"/>
    <w:basedOn w:val="Normal"/>
    <w:next w:val="Normal"/>
    <w:qFormat/>
    <w:pPr>
      <w:outlineLvl w:val="4"/>
    </w:pPr>
  </w:style>
  <w:style w:type="paragraph" w:styleId="Heading6">
    <w:name w:val="heading 6"/>
    <w:basedOn w:val="Normal"/>
    <w:next w:val="Normal"/>
    <w:qFormat/>
    <w:pPr>
      <w:outlineLvl w:val="5"/>
    </w:pPr>
  </w:style>
  <w:style w:type="paragraph" w:styleId="Heading9">
    <w:name w:val="heading 9"/>
    <w:basedOn w:val="Normal"/>
    <w:next w:val="Normal"/>
    <w:qFormat/>
    <w:pPr>
      <w:spacing w:before="240" w:after="60"/>
      <w:outlineLvl w:val="8"/>
    </w:pPr>
    <w:rPr>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semiHidden/>
    <w:rPr>
      <w:sz w:val="22"/>
    </w:rPr>
  </w:style>
  <w:style w:type="paragraph" w:styleId="BodyText">
    <w:name w:val="Body Text"/>
    <w:basedOn w:val="Normal"/>
    <w:semiHidden/>
  </w:style>
  <w:style w:type="paragraph" w:styleId="BodyTextIndent">
    <w:name w:val="Body Text Indent"/>
    <w:basedOn w:val="Normal"/>
    <w:semiHidden/>
    <w:pPr>
      <w:ind w:left="567"/>
    </w:pPr>
  </w:style>
  <w:style w:type="paragraph" w:styleId="Closing">
    <w:name w:val="Closing"/>
    <w:basedOn w:val="Normal"/>
    <w:semiHidden/>
    <w:pPr>
      <w:ind w:left="4536"/>
      <w:jc w:val="center"/>
    </w:pPr>
  </w:style>
  <w:style w:type="paragraph" w:customStyle="1" w:styleId="Committee">
    <w:name w:val="Committee"/>
    <w:basedOn w:val="Normal"/>
    <w:semiHidden/>
    <w:pPr>
      <w:spacing w:after="300"/>
      <w:jc w:val="center"/>
    </w:pPr>
    <w:rPr>
      <w:b/>
      <w:caps/>
      <w:kern w:val="28"/>
      <w:sz w:val="30"/>
    </w:rPr>
  </w:style>
  <w:style w:type="paragraph" w:customStyle="1" w:styleId="DecisionInvitingPara">
    <w:name w:val="Decision Inviting Para."/>
    <w:basedOn w:val="Normal"/>
    <w:semiHidden/>
    <w:pPr>
      <w:ind w:left="4536"/>
    </w:pPr>
    <w:rPr>
      <w:i/>
    </w:rPr>
  </w:style>
  <w:style w:type="character" w:styleId="EndnoteReference">
    <w:name w:val="endnote reference"/>
    <w:semiHidden/>
    <w:rPr>
      <w:vertAlign w:val="superscript"/>
    </w:rPr>
  </w:style>
  <w:style w:type="paragraph" w:customStyle="1" w:styleId="Endofdocument">
    <w:name w:val="End of document"/>
    <w:basedOn w:val="Normal"/>
    <w:semiHidden/>
    <w:pPr>
      <w:ind w:left="4536"/>
      <w:jc w:val="center"/>
    </w:pPr>
  </w:style>
  <w:style w:type="paragraph" w:styleId="EndnoteText">
    <w:name w:val="endnote text"/>
    <w:basedOn w:val="Normal"/>
    <w:semiHidden/>
    <w:pPr>
      <w:ind w:left="567" w:hanging="567"/>
    </w:pPr>
    <w:rPr>
      <w:sz w:val="22"/>
    </w:rPr>
  </w:style>
  <w:style w:type="paragraph" w:styleId="Footer">
    <w:name w:val="footer"/>
    <w:basedOn w:val="Normal"/>
    <w:semiHidden/>
    <w:pPr>
      <w:tabs>
        <w:tab w:val="center" w:pos="4536"/>
        <w:tab w:val="right" w:pos="9072"/>
      </w:tabs>
    </w:pPr>
  </w:style>
  <w:style w:type="character" w:styleId="FootnoteReference">
    <w:name w:val="footnote reference"/>
    <w:semiHidden/>
    <w:rPr>
      <w:vertAlign w:val="superscript"/>
    </w:rPr>
  </w:style>
  <w:style w:type="paragraph" w:styleId="FootnoteText">
    <w:name w:val="footnote text"/>
    <w:basedOn w:val="Normal"/>
    <w:semiHidden/>
    <w:pPr>
      <w:ind w:left="567" w:hanging="567"/>
    </w:pPr>
    <w:rPr>
      <w:sz w:val="22"/>
    </w:rPr>
  </w:style>
  <w:style w:type="paragraph" w:styleId="Header">
    <w:name w:val="header"/>
    <w:basedOn w:val="Normal"/>
    <w:semiHidden/>
    <w:pPr>
      <w:tabs>
        <w:tab w:val="center" w:pos="4536"/>
        <w:tab w:val="right" w:pos="9072"/>
      </w:tabs>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sz w:val="16"/>
    </w:rPr>
  </w:style>
  <w:style w:type="paragraph" w:customStyle="1" w:styleId="Organizer">
    <w:name w:val="Organizer"/>
    <w:basedOn w:val="Normal"/>
    <w:semiHidden/>
    <w:pPr>
      <w:spacing w:after="600"/>
      <w:ind w:left="-992" w:right="-992"/>
      <w:jc w:val="center"/>
    </w:pPr>
    <w:rPr>
      <w:b/>
      <w:caps/>
      <w:kern w:val="26"/>
      <w:sz w:val="26"/>
    </w:rPr>
  </w:style>
  <w:style w:type="paragraph" w:customStyle="1" w:styleId="preparedby">
    <w:name w:val="prepared by"/>
    <w:basedOn w:val="Normal"/>
    <w:semiHidden/>
    <w:pPr>
      <w:spacing w:before="600" w:after="600"/>
      <w:jc w:val="center"/>
    </w:pPr>
    <w:rPr>
      <w:i/>
    </w:rPr>
  </w:style>
  <w:style w:type="paragraph" w:customStyle="1" w:styleId="Session">
    <w:name w:val="Session"/>
    <w:basedOn w:val="Normal"/>
    <w:semiHidden/>
    <w:pPr>
      <w:spacing w:before="60"/>
      <w:jc w:val="center"/>
    </w:pPr>
    <w:rPr>
      <w:b/>
      <w:sz w:val="30"/>
    </w:rPr>
  </w:style>
  <w:style w:type="paragraph" w:styleId="Signature">
    <w:name w:val="Signature"/>
    <w:basedOn w:val="Normal"/>
    <w:semiHidden/>
    <w:pPr>
      <w:ind w:left="4536"/>
      <w:jc w:val="center"/>
    </w:pPr>
  </w:style>
  <w:style w:type="paragraph" w:styleId="Title">
    <w:name w:val="Title"/>
    <w:basedOn w:val="Normal"/>
    <w:qFormat/>
    <w:pPr>
      <w:spacing w:after="300"/>
      <w:jc w:val="center"/>
    </w:pPr>
    <w:rPr>
      <w:b/>
      <w:caps/>
      <w:kern w:val="28"/>
      <w:sz w:val="30"/>
    </w:rPr>
  </w:style>
  <w:style w:type="paragraph" w:customStyle="1" w:styleId="TitleofDoc">
    <w:name w:val="Title of Doc"/>
    <w:basedOn w:val="Normal"/>
    <w:semiHidden/>
    <w:pPr>
      <w:spacing w:before="1200"/>
      <w:jc w:val="center"/>
    </w:pPr>
    <w:rPr>
      <w:caps/>
    </w:rPr>
  </w:style>
  <w:style w:type="paragraph" w:customStyle="1" w:styleId="TESToriginal">
    <w:name w:val="TESToriginal"/>
    <w:basedOn w:val="Normal"/>
    <w:next w:val="Normal"/>
    <w:semiHidden/>
    <w:rsid w:val="00AD03FA"/>
    <w:pPr>
      <w:spacing w:after="1320"/>
      <w:contextualSpacing/>
      <w:jc w:val="right"/>
    </w:pPr>
    <w:rPr>
      <w:b/>
      <w:caps/>
      <w:sz w:val="15"/>
      <w:lang w:val="fr-FR"/>
    </w:rPr>
  </w:style>
  <w:style w:type="paragraph" w:customStyle="1" w:styleId="TESTlettrelangue">
    <w:name w:val="TESTlettrelangue"/>
    <w:basedOn w:val="Normal"/>
    <w:next w:val="Normal"/>
    <w:autoRedefine/>
    <w:semiHidden/>
    <w:rsid w:val="00AD03FA"/>
    <w:pPr>
      <w:spacing w:line="340" w:lineRule="atLeast"/>
      <w:jc w:val="right"/>
    </w:pPr>
    <w:rPr>
      <w:b/>
      <w:caps/>
      <w:sz w:val="40"/>
      <w:lang w:val="pt-BR"/>
    </w:rPr>
  </w:style>
  <w:style w:type="paragraph" w:customStyle="1" w:styleId="TESTcode">
    <w:name w:val="TEST code"/>
    <w:basedOn w:val="TESToriginal"/>
    <w:semiHidden/>
    <w:rsid w:val="00AD03FA"/>
    <w:pPr>
      <w:spacing w:before="240" w:after="0"/>
    </w:pPr>
  </w:style>
  <w:style w:type="character" w:styleId="Hyperlink">
    <w:name w:val="Hyperlink"/>
    <w:rsid w:val="00CC407C"/>
    <w:rPr>
      <w:color w:val="0000FF"/>
      <w:u w:val="single"/>
    </w:rPr>
  </w:style>
  <w:style w:type="character" w:styleId="CommentReference">
    <w:name w:val="annotation reference"/>
    <w:basedOn w:val="DefaultParagraphFont"/>
    <w:unhideWhenUsed/>
    <w:rsid w:val="0084042E"/>
    <w:rPr>
      <w:w w:val="100"/>
      <w:sz w:val="16"/>
      <w:szCs w:val="16"/>
      <w:shd w:val="clear" w:color="auto" w:fill="auto"/>
    </w:rPr>
  </w:style>
  <w:style w:type="paragraph" w:styleId="BalloonText">
    <w:name w:val="Balloon Text"/>
    <w:basedOn w:val="Normal"/>
    <w:link w:val="BalloonTextChar"/>
    <w:rsid w:val="008404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4042E"/>
    <w:rPr>
      <w:rFonts w:ascii="Segoe UI" w:hAnsi="Segoe UI" w:cs="Segoe UI"/>
      <w:sz w:val="18"/>
      <w:szCs w:val="18"/>
    </w:rPr>
  </w:style>
  <w:style w:type="paragraph" w:styleId="ListParagraph">
    <w:name w:val="List Paragraph"/>
    <w:basedOn w:val="Normal"/>
    <w:uiPriority w:val="34"/>
    <w:qFormat/>
    <w:rsid w:val="004C4A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ink/ink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e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customXml" Target="ink/ink1.xml"/><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55" units="dev"/>
        </inkml:traceFormat>
        <inkml:channelProperties>
          <inkml:channelProperty channel="X" name="resolution" value="5659.24023" units="1/cm"/>
          <inkml:channelProperty channel="Y" name="resolution" value="9051.65723" units="1/cm"/>
          <inkml:channelProperty channel="F" name="resolution" value="2.844E-6" units="1/dev"/>
        </inkml:channelProperties>
      </inkml:inkSource>
      <inkml:timestamp xml:id="ts0" timeString="2020-03-21T14:18:26.241"/>
    </inkml:context>
    <inkml:brush xml:id="br0">
      <inkml:brushProperty name="width" value="0.21167" units="cm"/>
      <inkml:brushProperty name="height" value="0.21167" units="cm"/>
      <inkml:brushProperty name="fitToCurve" value="1"/>
    </inkml:brush>
  </inkml:definitions>
  <inkml:trace contextRef="#ctx0" brushRef="#br0">-2147483648-2147483648 0,'0'0'0</inkml:trace>
</inkml:ink>
</file>

<file path=word/ink/ink2.xml><?xml version="1.0" encoding="utf-8"?>
<inkml:ink xmlns:inkml="http://www.w3.org/2003/InkML">
  <inkml:definitions>
    <inkml:context xml:id="ctx0">
      <inkml:inkSource xml:id="inkSrc0">
        <inkml:traceFormat>
          <inkml:channel name="X" type="integer" max="32767" units="cm"/>
          <inkml:channel name="Y" type="integer" max="32767" units="cm"/>
          <inkml:channel name="F" type="integer" max="255" units="dev"/>
        </inkml:traceFormat>
        <inkml:channelProperties>
          <inkml:channelProperty channel="X" name="resolution" value="5659.24023" units="1/cm"/>
          <inkml:channelProperty channel="Y" name="resolution" value="9051.65723" units="1/cm"/>
          <inkml:channelProperty channel="F" name="resolution" value="2.844E-6" units="1/dev"/>
        </inkml:channelProperties>
      </inkml:inkSource>
      <inkml:timestamp xml:id="ts0" timeString="2020-03-21T14:18:26.253"/>
    </inkml:context>
    <inkml:brush xml:id="br0">
      <inkml:brushProperty name="width" value="0.21167" units="cm"/>
      <inkml:brushProperty name="height" value="0.21167" units="cm"/>
      <inkml:brushProperty name="fitToCurve" value="1"/>
    </inkml:brush>
  </inkml:definitions>
  <inkml:trace contextRef="#ctx0" brushRef="#br0">-2147483648-2147483648 0,'0'0'0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2FDBFD-2365-4E04-BE16-CDAFEFFFBE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449</Words>
  <Characters>2525</Characters>
  <Application>Microsoft Office Word</Application>
  <DocSecurity>0</DocSecurity>
  <Lines>50</Lines>
  <Paragraphs>11</Paragraphs>
  <ScaleCrop>false</ScaleCrop>
  <HeadingPairs>
    <vt:vector size="2" baseType="variant">
      <vt:variant>
        <vt:lpstr>Title</vt:lpstr>
      </vt:variant>
      <vt:variant>
        <vt:i4>1</vt:i4>
      </vt:variant>
    </vt:vector>
  </HeadingPairs>
  <TitlesOfParts>
    <vt:vector size="1" baseType="lpstr">
      <vt:lpstr>Hague Information No. 3/2010</vt:lpstr>
    </vt:vector>
  </TitlesOfParts>
  <Manager>Lähdesmäki</Manager>
  <Company>WIPO</Company>
  <LinksUpToDate>false</LinksUpToDate>
  <CharactersWithSpaces>2985</CharactersWithSpaces>
  <SharedDoc>false</SharedDoc>
  <HLinks>
    <vt:vector size="12" baseType="variant">
      <vt:variant>
        <vt:i4>327685</vt:i4>
      </vt:variant>
      <vt:variant>
        <vt:i4>2</vt:i4>
      </vt:variant>
      <vt:variant>
        <vt:i4>0</vt:i4>
      </vt:variant>
      <vt:variant>
        <vt:i4>5</vt:i4>
      </vt:variant>
      <vt:variant>
        <vt:lpwstr>https://www.wipo.int/lisbon/en/forms/</vt:lpwstr>
      </vt:variant>
      <vt:variant>
        <vt:lpwstr/>
      </vt:variant>
      <vt:variant>
        <vt:i4>3145773</vt:i4>
      </vt:variant>
      <vt:variant>
        <vt:i4>0</vt:i4>
      </vt:variant>
      <vt:variant>
        <vt:i4>0</vt:i4>
      </vt:variant>
      <vt:variant>
        <vt:i4>5</vt:i4>
      </vt:variant>
      <vt:variant>
        <vt:lpwstr>https://wipolex.wipo.int/en/treaties/textdetails/18596</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Hague Information No. 3/2010</dc:title>
  <dc:subject>Change in the Amounts of the Individual Fee:  European Union</dc:subject>
  <dc:creator>CleaveleyA</dc:creator>
  <cp:keywords>FOR OFFICIAL USE ONLY</cp:keywords>
  <cp:lastModifiedBy>VINCENT Anouck</cp:lastModifiedBy>
  <cp:revision>7</cp:revision>
  <cp:lastPrinted>2020-04-01T10:22:00Z</cp:lastPrinted>
  <dcterms:created xsi:type="dcterms:W3CDTF">2020-04-01T10:19:00Z</dcterms:created>
  <dcterms:modified xsi:type="dcterms:W3CDTF">2020-04-01T10:34:00Z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5b833722-451f-43a4-94e6-17d3d040a5da</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