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985026" w:rsidRDefault="00985026" w:rsidP="00985026">
      <w:pPr>
        <w:spacing w:after="120"/>
        <w:jc w:val="right"/>
        <w:rPr>
          <w:rFonts w:ascii="Arial Black" w:hAnsi="Arial Black"/>
          <w:caps/>
          <w:sz w:val="15"/>
          <w:lang w:val="es-419"/>
        </w:rPr>
      </w:pPr>
      <w:r w:rsidRPr="00985026">
        <w:rPr>
          <w:noProof/>
          <w:lang w:val="en-US" w:eastAsia="en-US"/>
        </w:rPr>
        <w:drawing>
          <wp:inline distT="0" distB="0" distL="0" distR="0" wp14:anchorId="65A80F7F" wp14:editId="7B67709F">
            <wp:extent cx="3381375" cy="1676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1375" cy="1676400"/>
                    </a:xfrm>
                    <a:prstGeom prst="rect">
                      <a:avLst/>
                    </a:prstGeom>
                  </pic:spPr>
                </pic:pic>
              </a:graphicData>
            </a:graphic>
          </wp:inline>
        </w:drawing>
      </w:r>
    </w:p>
    <w:tbl>
      <w:tblPr>
        <w:tblW w:w="9356" w:type="dxa"/>
        <w:tblInd w:w="108" w:type="dxa"/>
        <w:tblLayout w:type="fixed"/>
        <w:tblLook w:val="01E0" w:firstRow="1" w:lastRow="1" w:firstColumn="1" w:lastColumn="1" w:noHBand="0" w:noVBand="0"/>
      </w:tblPr>
      <w:tblGrid>
        <w:gridCol w:w="9356"/>
      </w:tblGrid>
      <w:tr w:rsidR="00BE3DF8" w:rsidRPr="00985026" w:rsidTr="007B3938">
        <w:trPr>
          <w:trHeight w:hRule="exact" w:val="198"/>
        </w:trPr>
        <w:tc>
          <w:tcPr>
            <w:tcW w:w="9356" w:type="dxa"/>
            <w:tcMar>
              <w:left w:w="0" w:type="dxa"/>
              <w:right w:w="0" w:type="dxa"/>
            </w:tcMar>
          </w:tcPr>
          <w:p w:rsidR="00BE3DF8" w:rsidRPr="00985026" w:rsidRDefault="00C32661" w:rsidP="000709EF">
            <w:pPr>
              <w:jc w:val="right"/>
              <w:rPr>
                <w:lang w:val="es-419"/>
              </w:rPr>
            </w:pPr>
            <w:r w:rsidRPr="00985026">
              <w:rPr>
                <w:rFonts w:ascii="Arial Black" w:hAnsi="Arial Black"/>
                <w:sz w:val="15"/>
                <w:lang w:val="es-419"/>
              </w:rPr>
              <w:t>AVISO N.º 6/2023</w:t>
            </w:r>
          </w:p>
        </w:tc>
      </w:tr>
    </w:tbl>
    <w:p w:rsidR="00BE3DF8" w:rsidRPr="00985026" w:rsidRDefault="00BE3DF8" w:rsidP="00985026">
      <w:pPr>
        <w:spacing w:before="720" w:after="360"/>
        <w:rPr>
          <w:b/>
          <w:sz w:val="28"/>
          <w:szCs w:val="28"/>
          <w:lang w:val="es-419"/>
        </w:rPr>
      </w:pPr>
      <w:bookmarkStart w:id="0" w:name="Original"/>
      <w:bookmarkEnd w:id="0"/>
      <w:r w:rsidRPr="00985026">
        <w:rPr>
          <w:b/>
          <w:sz w:val="28"/>
          <w:lang w:val="es-419"/>
        </w:rPr>
        <w:t>Acta de Ginebra del Arreglo de Lisboa relativo a las Denominaciones de Origen y las Indicaciones Geográficas</w:t>
      </w:r>
    </w:p>
    <w:p w:rsidR="004F1708" w:rsidRPr="00985026" w:rsidRDefault="004F1708" w:rsidP="00985026">
      <w:pPr>
        <w:spacing w:before="600" w:after="360"/>
        <w:rPr>
          <w:b/>
          <w:bCs/>
          <w:sz w:val="24"/>
          <w:szCs w:val="24"/>
          <w:lang w:val="es-419"/>
        </w:rPr>
      </w:pPr>
      <w:r w:rsidRPr="00985026">
        <w:rPr>
          <w:b/>
          <w:noProof/>
          <w:sz w:val="24"/>
          <w:lang w:val="en-US" w:eastAsia="en-US"/>
        </w:rPr>
        <mc:AlternateContent>
          <mc:Choice Requires="wps">
            <w:drawing>
              <wp:anchor distT="0" distB="0" distL="114300" distR="114300" simplePos="0" relativeHeight="251659264" behindDoc="1" locked="1" layoutInCell="0" allowOverlap="1" wp14:anchorId="1222955D" wp14:editId="5363F528">
                <wp:simplePos x="0" y="0"/>
                <wp:positionH relativeFrom="margin">
                  <wp:posOffset>0</wp:posOffset>
                </wp:positionH>
                <wp:positionV relativeFrom="margin">
                  <wp:posOffset>1689735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260C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33.05pt" to="481.9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" o:allowincell="f" strokeweight=".5pt">
                <w10:wrap anchorx="margin" anchory="margin"/>
                <w10:anchorlock/>
              </v:line>
            </w:pict>
          </mc:Fallback>
        </mc:AlternateContent>
      </w:r>
      <w:r w:rsidRPr="00985026">
        <w:rPr>
          <w:b/>
          <w:sz w:val="24"/>
          <w:lang w:val="es-419"/>
        </w:rPr>
        <w:t>Adhesión de la Federación de Rusia</w:t>
      </w:r>
    </w:p>
    <w:p w:rsidR="004F1708" w:rsidRPr="00985026" w:rsidRDefault="004F1708" w:rsidP="000709EF">
      <w:pPr>
        <w:pStyle w:val="ONUMFS"/>
        <w:rPr>
          <w:lang w:val="es-419"/>
        </w:rPr>
      </w:pPr>
      <w:r w:rsidRPr="00985026">
        <w:rPr>
          <w:lang w:val="es-419"/>
        </w:rPr>
        <w:t xml:space="preserve">El 11 de mayo de 2023, el Gobierno de la Federación de Rusia depositó en poder del </w:t>
      </w:r>
      <w:r w:rsidR="00B9163B">
        <w:rPr>
          <w:lang w:val="es-419"/>
        </w:rPr>
        <w:t>Director General</w:t>
      </w:r>
      <w:r w:rsidRPr="00985026">
        <w:rPr>
          <w:lang w:val="es-419"/>
        </w:rPr>
        <w:t xml:space="preserve"> de la Organización Mundial de la Propiedad Intelectual (OMPI) su instrumento de adhesión al Acta de Ginebra del Arreglo de Lisboa relativo a las Denominaciones de Origen y las Indicaciones Geográficas (</w:t>
      </w:r>
      <w:r w:rsidR="00B9163B">
        <w:rPr>
          <w:lang w:val="es-419"/>
        </w:rPr>
        <w:t xml:space="preserve">en adelante, </w:t>
      </w:r>
      <w:r w:rsidRPr="00985026">
        <w:rPr>
          <w:lang w:val="es-419"/>
        </w:rPr>
        <w:t>el “Acta de Ginebra del Arreglo de Lisboa”), adoptada en Ginebra el 20 de mayo de 2015.</w:t>
      </w:r>
    </w:p>
    <w:p w:rsidR="00B84766" w:rsidRPr="00985026" w:rsidRDefault="00B84766" w:rsidP="000709EF">
      <w:pPr>
        <w:pStyle w:val="ONUMFS"/>
        <w:rPr>
          <w:lang w:val="es-419"/>
        </w:rPr>
      </w:pPr>
      <w:r w:rsidRPr="00985026">
        <w:rPr>
          <w:lang w:val="es-419"/>
        </w:rPr>
        <w:t xml:space="preserve">El instrumento de adhesión estuvo acompañado de las siguientes declaraciones: </w:t>
      </w:r>
    </w:p>
    <w:p w:rsidR="00177EBE" w:rsidRPr="00985026" w:rsidRDefault="00B824EB" w:rsidP="00B824EB">
      <w:pPr>
        <w:pStyle w:val="ONUMFS"/>
        <w:numPr>
          <w:ilvl w:val="0"/>
          <w:numId w:val="0"/>
        </w:numPr>
        <w:tabs>
          <w:tab w:val="left" w:pos="1170"/>
        </w:tabs>
        <w:ind w:left="630"/>
        <w:rPr>
          <w:lang w:val="es-419"/>
        </w:rPr>
      </w:pPr>
      <w:r w:rsidRPr="00985026">
        <w:rPr>
          <w:lang w:val="es-419"/>
        </w:rPr>
        <w:t xml:space="preserve">– </w:t>
      </w:r>
      <w:r w:rsidRPr="00985026">
        <w:rPr>
          <w:lang w:val="es-419"/>
        </w:rPr>
        <w:tab/>
      </w:r>
      <w:r w:rsidR="00D01FCD" w:rsidRPr="00985026">
        <w:rPr>
          <w:lang w:val="es-419"/>
        </w:rPr>
        <w:t>e</w:t>
      </w:r>
      <w:r w:rsidRPr="00985026">
        <w:rPr>
          <w:lang w:val="es-419"/>
        </w:rPr>
        <w:t xml:space="preserve">n virtud del Artículo </w:t>
      </w:r>
      <w:proofErr w:type="gramStart"/>
      <w:r w:rsidRPr="00985026">
        <w:rPr>
          <w:lang w:val="es-419"/>
        </w:rPr>
        <w:t>6.5)b</w:t>
      </w:r>
      <w:proofErr w:type="gramEnd"/>
      <w:r w:rsidRPr="00985026">
        <w:rPr>
          <w:lang w:val="es-419"/>
        </w:rPr>
        <w:t>) del Acta de Ginebra del Arreglo de Lisboa, la Federación de Rusia declara que, de conformidad con su legislación nacional, una denominación de origen o una indicación geográfica registradas estará protegida a partir de la fecha en que se adopte la decisión de conceder la protección jurídica;</w:t>
      </w:r>
    </w:p>
    <w:p w:rsidR="00B84766" w:rsidRPr="00985026" w:rsidRDefault="00D01FCD" w:rsidP="00B824EB">
      <w:pPr>
        <w:pStyle w:val="ONUMFS"/>
        <w:numPr>
          <w:ilvl w:val="0"/>
          <w:numId w:val="0"/>
        </w:numPr>
        <w:tabs>
          <w:tab w:val="left" w:pos="1170"/>
          <w:tab w:val="left" w:pos="1260"/>
        </w:tabs>
        <w:ind w:left="630"/>
        <w:rPr>
          <w:lang w:val="es-419"/>
        </w:rPr>
      </w:pPr>
      <w:r w:rsidRPr="00985026">
        <w:rPr>
          <w:lang w:val="es-419"/>
        </w:rPr>
        <w:t xml:space="preserve">– </w:t>
      </w:r>
      <w:r w:rsidRPr="00985026">
        <w:rPr>
          <w:lang w:val="es-419"/>
        </w:rPr>
        <w:tab/>
        <w:t>e</w:t>
      </w:r>
      <w:r w:rsidR="00B824EB" w:rsidRPr="00985026">
        <w:rPr>
          <w:lang w:val="es-419"/>
        </w:rPr>
        <w:t>n virtud del Artículo 7.4) del Acta de Ginebra del Arreglo de Lisboa, la Federación de Rusia declara que la protección resultante del registro internacional de cada denominación de origen y cada indicación geográfica solo se aplicará en la Federación de Rusia si se ha pagado una tasa para cubrir el costo del examen sustantivo del registro internacional;</w:t>
      </w:r>
    </w:p>
    <w:p w:rsidR="00B84766" w:rsidRPr="00985026" w:rsidRDefault="00D01FCD" w:rsidP="00B824EB">
      <w:pPr>
        <w:pStyle w:val="ONUMFS"/>
        <w:numPr>
          <w:ilvl w:val="0"/>
          <w:numId w:val="0"/>
        </w:numPr>
        <w:tabs>
          <w:tab w:val="left" w:pos="1170"/>
          <w:tab w:val="left" w:pos="1260"/>
        </w:tabs>
        <w:ind w:left="630"/>
        <w:rPr>
          <w:color w:val="000000" w:themeColor="text1"/>
          <w:lang w:val="es-419"/>
        </w:rPr>
      </w:pPr>
      <w:r w:rsidRPr="00985026">
        <w:rPr>
          <w:color w:val="000000" w:themeColor="text1"/>
          <w:lang w:val="es-419"/>
        </w:rPr>
        <w:t xml:space="preserve">– </w:t>
      </w:r>
      <w:r w:rsidRPr="00985026">
        <w:rPr>
          <w:color w:val="000000" w:themeColor="text1"/>
          <w:lang w:val="es-419"/>
        </w:rPr>
        <w:tab/>
        <w:t>e</w:t>
      </w:r>
      <w:r w:rsidR="00B824EB" w:rsidRPr="00985026">
        <w:rPr>
          <w:color w:val="000000" w:themeColor="text1"/>
          <w:lang w:val="es-419"/>
        </w:rPr>
        <w:t>n virtud del Artículo 7.4) del Acta de Ginebra del Arreglo de Lisboa, la Federación de Rusia declara que exige el pago de una tasa administrativa en relación con el uso por los beneficiarios de la denominación de origen o la indicación geográfica en la Federación de Rusia;</w:t>
      </w:r>
    </w:p>
    <w:p w:rsidR="00B9163B" w:rsidRDefault="00D01FCD" w:rsidP="00B824EB">
      <w:pPr>
        <w:pStyle w:val="ONUMFS"/>
        <w:numPr>
          <w:ilvl w:val="0"/>
          <w:numId w:val="0"/>
        </w:numPr>
        <w:tabs>
          <w:tab w:val="left" w:pos="1170"/>
          <w:tab w:val="left" w:pos="1260"/>
        </w:tabs>
        <w:ind w:left="630"/>
        <w:rPr>
          <w:lang w:val="es-419"/>
        </w:rPr>
      </w:pPr>
      <w:r w:rsidRPr="00985026">
        <w:rPr>
          <w:lang w:val="es-419"/>
        </w:rPr>
        <w:t xml:space="preserve">– </w:t>
      </w:r>
      <w:r w:rsidRPr="00985026">
        <w:rPr>
          <w:lang w:val="es-419"/>
        </w:rPr>
        <w:tab/>
        <w:t>e</w:t>
      </w:r>
      <w:r w:rsidR="00B824EB" w:rsidRPr="00985026">
        <w:rPr>
          <w:lang w:val="es-419"/>
        </w:rPr>
        <w:t xml:space="preserve">n virtud del Artículo 29.4) del Acta de Ginebra del Arreglo de Lisboa, la Federación de Rusia declara que se prorrogará un año el plazo previsto en el Artículo 15.1) del Acta de Ginebra del Arreglo de Lisboa, con arreglo a los procedimientos contemplados en el Reglamento </w:t>
      </w:r>
      <w:r w:rsidR="00EB6C23">
        <w:rPr>
          <w:lang w:val="es-419"/>
        </w:rPr>
        <w:t xml:space="preserve">Común </w:t>
      </w:r>
      <w:r w:rsidR="007262B1" w:rsidRPr="00985026">
        <w:rPr>
          <w:lang w:val="es-419"/>
        </w:rPr>
        <w:t>del Arreglo de Lisboa relativo a la Protección de las Denominaciones de Origen y su Registro Internacional y del Acta de Ginebra del Arreglo de Lisboa relativo a las Denominaciones de Origen y las Indicaciones Geográficas</w:t>
      </w:r>
      <w:r w:rsidR="007262B1">
        <w:rPr>
          <w:lang w:val="es-419"/>
        </w:rPr>
        <w:t xml:space="preserve"> (</w:t>
      </w:r>
      <w:r w:rsidR="00B9163B">
        <w:rPr>
          <w:lang w:val="es-419"/>
        </w:rPr>
        <w:t xml:space="preserve">en adelante, </w:t>
      </w:r>
      <w:r w:rsidR="007262B1">
        <w:rPr>
          <w:lang w:val="es-419"/>
        </w:rPr>
        <w:t xml:space="preserve">el “Reglamento Común”) </w:t>
      </w:r>
      <w:r w:rsidR="00B824EB" w:rsidRPr="00985026">
        <w:rPr>
          <w:lang w:val="es-419"/>
        </w:rPr>
        <w:t>a ese respecto; y</w:t>
      </w:r>
    </w:p>
    <w:p w:rsidR="00B9163B" w:rsidRDefault="00B9163B">
      <w:pPr>
        <w:rPr>
          <w:lang w:val="es-419"/>
        </w:rPr>
      </w:pPr>
      <w:r>
        <w:rPr>
          <w:lang w:val="es-419"/>
        </w:rPr>
        <w:br w:type="page"/>
      </w:r>
    </w:p>
    <w:p w:rsidR="00C162FA" w:rsidRPr="00985026" w:rsidRDefault="00D01FCD" w:rsidP="0026203C">
      <w:pPr>
        <w:pStyle w:val="ONUMFS"/>
        <w:numPr>
          <w:ilvl w:val="0"/>
          <w:numId w:val="0"/>
        </w:numPr>
        <w:tabs>
          <w:tab w:val="left" w:pos="1170"/>
          <w:tab w:val="left" w:pos="1260"/>
        </w:tabs>
        <w:ind w:left="630"/>
        <w:rPr>
          <w:lang w:val="es-419"/>
        </w:rPr>
      </w:pPr>
      <w:r w:rsidRPr="00985026">
        <w:rPr>
          <w:lang w:val="es-419"/>
        </w:rPr>
        <w:lastRenderedPageBreak/>
        <w:t xml:space="preserve">– </w:t>
      </w:r>
      <w:r w:rsidRPr="00985026">
        <w:rPr>
          <w:lang w:val="es-419"/>
        </w:rPr>
        <w:tab/>
        <w:t>e</w:t>
      </w:r>
      <w:r w:rsidR="00B824EB" w:rsidRPr="00985026">
        <w:rPr>
          <w:lang w:val="es-419"/>
        </w:rPr>
        <w:t>n virtud de la Regla 5.3)a) del Reglamento Común, la Federación de Rusia exige</w:t>
      </w:r>
      <w:r w:rsidRPr="00985026">
        <w:rPr>
          <w:lang w:val="es-419"/>
        </w:rPr>
        <w:t xml:space="preserve"> que</w:t>
      </w:r>
      <w:r w:rsidR="00B824EB" w:rsidRPr="00985026">
        <w:rPr>
          <w:lang w:val="es-419"/>
        </w:rPr>
        <w:t>, como requisito para proteger una denominación de origen o una indicación geográfica registradas en su territorio, en la solicitud se indiquen asimismo, además del contenido obligatorio previsto en la Regla 5.2) del Reglamento Común, en el caso de una denominación de origen, detalles acerca de la calidad o las características del producto y su vínculo con el entorno geográfico de la zona geográfica de producción y, en el caso de una indicación geográfica, la calidad, la reputación u otras características del producto y su vínculo con la zona geográfica de origen.</w:t>
      </w:r>
    </w:p>
    <w:p w:rsidR="00B84766" w:rsidRPr="00985026" w:rsidRDefault="00A977F6" w:rsidP="00B84766">
      <w:pPr>
        <w:pStyle w:val="ONUMFS"/>
        <w:rPr>
          <w:lang w:val="es-419"/>
        </w:rPr>
      </w:pPr>
      <w:r>
        <w:rPr>
          <w:lang w:val="es-419"/>
        </w:rPr>
        <w:t>Los importes</w:t>
      </w:r>
      <w:r w:rsidR="00B84766" w:rsidRPr="00985026">
        <w:rPr>
          <w:lang w:val="es-419"/>
        </w:rPr>
        <w:t xml:space="preserve"> de la tasa individual </w:t>
      </w:r>
      <w:r>
        <w:rPr>
          <w:lang w:val="es-419"/>
        </w:rPr>
        <w:t xml:space="preserve">y </w:t>
      </w:r>
      <w:r w:rsidR="00B84766" w:rsidRPr="00985026">
        <w:rPr>
          <w:lang w:val="es-419"/>
        </w:rPr>
        <w:t xml:space="preserve">de la tasa administrativa </w:t>
      </w:r>
      <w:r>
        <w:rPr>
          <w:lang w:val="es-419"/>
        </w:rPr>
        <w:t>indicados</w:t>
      </w:r>
      <w:r w:rsidR="00B84766" w:rsidRPr="00985026">
        <w:rPr>
          <w:lang w:val="es-419"/>
        </w:rPr>
        <w:t xml:space="preserve"> por la Federación de Rusia en virtud del Artículo 7.4) del Acta de Ginebra del Arreglo de Lisboa serán objeto de un </w:t>
      </w:r>
      <w:r w:rsidR="00B9163B">
        <w:rPr>
          <w:lang w:val="es-419"/>
        </w:rPr>
        <w:t>A</w:t>
      </w:r>
      <w:r w:rsidR="00B84766" w:rsidRPr="00985026">
        <w:rPr>
          <w:lang w:val="es-419"/>
        </w:rPr>
        <w:t>viso aparte.</w:t>
      </w:r>
    </w:p>
    <w:p w:rsidR="004F1708" w:rsidRPr="00985026" w:rsidRDefault="004F1708" w:rsidP="001D79EF">
      <w:pPr>
        <w:pStyle w:val="ONUMFS"/>
        <w:rPr>
          <w:lang w:val="es-419"/>
        </w:rPr>
      </w:pPr>
      <w:r w:rsidRPr="00985026">
        <w:rPr>
          <w:lang w:val="es-419"/>
        </w:rPr>
        <w:t>En virtud de la Regla 4.1) del Reglamento Común, el Gobierno de la Federación de Rusia ha notificado a la Oficina Internacional el nombre y los datos de contacto que figuran a continuación respecto de su Administración competente, a los fines de los procedimientos previstos en el Acta de Ginebra del Arreglo de Lisboa:</w:t>
      </w:r>
    </w:p>
    <w:p w:rsidR="000709EF" w:rsidRPr="00DA3086" w:rsidRDefault="002538CE" w:rsidP="000709EF">
      <w:pPr>
        <w:ind w:left="2268"/>
        <w:rPr>
          <w:lang w:val="es-419"/>
        </w:rPr>
      </w:pPr>
      <w:r w:rsidRPr="00DA3086">
        <w:rPr>
          <w:lang w:val="es-419"/>
        </w:rPr>
        <w:t xml:space="preserve">Servicio Federal de la Propiedad Intelectual </w:t>
      </w:r>
      <w:r w:rsidR="00B01860">
        <w:rPr>
          <w:lang w:val="es-419"/>
        </w:rPr>
        <w:t>(</w:t>
      </w:r>
      <w:bookmarkStart w:id="1" w:name="_GoBack"/>
      <w:bookmarkEnd w:id="1"/>
      <w:r w:rsidR="00B9163B">
        <w:rPr>
          <w:lang w:val="es-419"/>
        </w:rPr>
        <w:t>ROSPATENT</w:t>
      </w:r>
      <w:r w:rsidRPr="00DA3086">
        <w:rPr>
          <w:lang w:val="es-419"/>
        </w:rPr>
        <w:t>)</w:t>
      </w:r>
    </w:p>
    <w:p w:rsidR="002538CE" w:rsidRPr="00DA3086" w:rsidRDefault="002538CE" w:rsidP="000709EF">
      <w:pPr>
        <w:ind w:left="2268"/>
        <w:rPr>
          <w:lang w:val="es-419"/>
        </w:rPr>
      </w:pPr>
      <w:r w:rsidRPr="00DA3086">
        <w:rPr>
          <w:lang w:val="es-419"/>
        </w:rPr>
        <w:t xml:space="preserve">30-1 </w:t>
      </w:r>
      <w:proofErr w:type="spellStart"/>
      <w:r w:rsidRPr="00DA3086">
        <w:rPr>
          <w:lang w:val="es-419"/>
        </w:rPr>
        <w:t>Berezhkovskaya</w:t>
      </w:r>
      <w:proofErr w:type="spellEnd"/>
      <w:r w:rsidRPr="00DA3086">
        <w:rPr>
          <w:lang w:val="es-419"/>
        </w:rPr>
        <w:t xml:space="preserve"> </w:t>
      </w:r>
      <w:proofErr w:type="spellStart"/>
      <w:r w:rsidRPr="00DA3086">
        <w:rPr>
          <w:lang w:val="es-419"/>
        </w:rPr>
        <w:t>nab</w:t>
      </w:r>
      <w:proofErr w:type="spellEnd"/>
      <w:r w:rsidRPr="00DA3086">
        <w:rPr>
          <w:lang w:val="es-419"/>
        </w:rPr>
        <w:t>.</w:t>
      </w:r>
      <w:r w:rsidRPr="00DA3086">
        <w:rPr>
          <w:lang w:val="es-419"/>
        </w:rPr>
        <w:br/>
        <w:t>G-3, GSP-3</w:t>
      </w:r>
      <w:r w:rsidRPr="00DA3086">
        <w:rPr>
          <w:lang w:val="es-419"/>
        </w:rPr>
        <w:br/>
        <w:t>Moscú 123993</w:t>
      </w:r>
    </w:p>
    <w:p w:rsidR="002538CE" w:rsidRPr="00DA3086" w:rsidRDefault="002538CE" w:rsidP="000709EF">
      <w:pPr>
        <w:ind w:left="2268"/>
        <w:rPr>
          <w:lang w:val="es-419"/>
        </w:rPr>
      </w:pPr>
      <w:r w:rsidRPr="00DA3086">
        <w:rPr>
          <w:lang w:val="es-419"/>
        </w:rPr>
        <w:t>Federación de Rusia</w:t>
      </w:r>
    </w:p>
    <w:p w:rsidR="006D3565" w:rsidRPr="00DA3086" w:rsidRDefault="000709EF" w:rsidP="006D3565">
      <w:pPr>
        <w:ind w:left="2268"/>
        <w:rPr>
          <w:rStyle w:val="Hyperlink"/>
          <w:color w:val="auto"/>
          <w:u w:val="none"/>
          <w:lang w:val="es-419"/>
        </w:rPr>
      </w:pPr>
      <w:r w:rsidRPr="00DA3086">
        <w:rPr>
          <w:lang w:val="es-419"/>
        </w:rPr>
        <w:t>Correo electrónico</w:t>
      </w:r>
      <w:bookmarkStart w:id="2" w:name="_Hlk136514017"/>
      <w:r w:rsidRPr="00DA3086">
        <w:rPr>
          <w:lang w:val="es-419"/>
        </w:rPr>
        <w:t xml:space="preserve">: </w:t>
      </w:r>
      <w:r w:rsidR="00B9163B">
        <w:rPr>
          <w:lang w:val="es-419"/>
        </w:rPr>
        <w:t xml:space="preserve"> </w:t>
      </w:r>
      <w:hyperlink r:id="rId9" w:history="1">
        <w:r w:rsidRPr="00DA3086">
          <w:rPr>
            <w:rStyle w:val="Hyperlink"/>
            <w:color w:val="auto"/>
            <w:lang w:val="es-419"/>
          </w:rPr>
          <w:t>ro-ru@rupto.ru</w:t>
        </w:r>
      </w:hyperlink>
      <w:r w:rsidRPr="00DA3086">
        <w:rPr>
          <w:lang w:val="es-419"/>
        </w:rPr>
        <w:t xml:space="preserve"> </w:t>
      </w:r>
      <w:r w:rsidRPr="00DA3086">
        <w:rPr>
          <w:rStyle w:val="Hyperlink"/>
          <w:color w:val="auto"/>
          <w:u w:val="none"/>
          <w:lang w:val="es-419"/>
        </w:rPr>
        <w:t>(Oficina receptora);</w:t>
      </w:r>
    </w:p>
    <w:p w:rsidR="006D3565" w:rsidRPr="00DA3086" w:rsidRDefault="00B9163B" w:rsidP="006D3565">
      <w:pPr>
        <w:ind w:left="2268"/>
        <w:rPr>
          <w:lang w:val="es-419"/>
        </w:rPr>
      </w:pPr>
      <w:r>
        <w:t xml:space="preserve">                                </w:t>
      </w:r>
      <w:hyperlink r:id="rId10" w:history="1">
        <w:r w:rsidR="00177395" w:rsidRPr="00DA3086">
          <w:rPr>
            <w:rStyle w:val="Hyperlink"/>
            <w:color w:val="auto"/>
            <w:lang w:val="es-419"/>
          </w:rPr>
          <w:t>icd@rospatent.gov.ru</w:t>
        </w:r>
      </w:hyperlink>
      <w:r w:rsidR="00177395" w:rsidRPr="00DA3086">
        <w:rPr>
          <w:rStyle w:val="Hyperlink"/>
          <w:color w:val="auto"/>
          <w:lang w:val="es-419"/>
        </w:rPr>
        <w:t xml:space="preserve"> </w:t>
      </w:r>
      <w:r w:rsidR="00177395" w:rsidRPr="00DA3086">
        <w:rPr>
          <w:rStyle w:val="Hyperlink"/>
          <w:color w:val="auto"/>
          <w:u w:val="none"/>
          <w:lang w:val="es-419"/>
        </w:rPr>
        <w:t>(consultas generales)</w:t>
      </w:r>
    </w:p>
    <w:bookmarkEnd w:id="2"/>
    <w:p w:rsidR="000709EF" w:rsidRPr="00DA3086" w:rsidRDefault="000709EF" w:rsidP="000709EF">
      <w:pPr>
        <w:ind w:left="2268"/>
        <w:rPr>
          <w:lang w:val="es-419"/>
        </w:rPr>
      </w:pPr>
      <w:r w:rsidRPr="00DA3086">
        <w:rPr>
          <w:lang w:val="es-419"/>
        </w:rPr>
        <w:t xml:space="preserve">Sitio web: </w:t>
      </w:r>
      <w:r w:rsidR="00B9163B">
        <w:rPr>
          <w:lang w:val="es-419"/>
        </w:rPr>
        <w:t xml:space="preserve"> </w:t>
      </w:r>
      <w:hyperlink r:id="rId11" w:tgtFrame="_blank" w:history="1">
        <w:r w:rsidRPr="00DA3086">
          <w:rPr>
            <w:rStyle w:val="Hyperlink"/>
            <w:color w:val="auto"/>
            <w:lang w:val="es-419"/>
          </w:rPr>
          <w:t>https://rospatent.gov.ru/en</w:t>
        </w:r>
      </w:hyperlink>
    </w:p>
    <w:p w:rsidR="004F1708" w:rsidRPr="00985026" w:rsidRDefault="004F1708" w:rsidP="000709EF">
      <w:pPr>
        <w:ind w:left="2268"/>
        <w:rPr>
          <w:lang w:val="es-419"/>
        </w:rPr>
      </w:pPr>
    </w:p>
    <w:p w:rsidR="004F1708" w:rsidRPr="00985026" w:rsidRDefault="004F1708" w:rsidP="000709EF">
      <w:pPr>
        <w:pStyle w:val="ONUMFS"/>
        <w:spacing w:after="0"/>
        <w:rPr>
          <w:lang w:val="es-419"/>
        </w:rPr>
      </w:pPr>
      <w:r w:rsidRPr="00985026">
        <w:rPr>
          <w:lang w:val="es-419"/>
        </w:rPr>
        <w:t>En virtud de la Regla 4.3) del Reglamento Común, la Administración Competente mencionada en el párrafo 4 pondrá a disposición información sobre los procedimientos vigentes en su territorio para la impugnación y la observancia de derechos sobre denominaciones de origen e indicaciones geográficas. La información se publicará en la siguiente dirección:</w:t>
      </w:r>
      <w:r w:rsidR="00B9163B">
        <w:rPr>
          <w:lang w:val="es-419"/>
        </w:rPr>
        <w:t xml:space="preserve"> </w:t>
      </w:r>
      <w:r w:rsidRPr="00985026">
        <w:rPr>
          <w:lang w:val="es-419"/>
        </w:rPr>
        <w:t xml:space="preserve"> </w:t>
      </w:r>
      <w:hyperlink r:id="rId12" w:history="1">
        <w:r w:rsidRPr="00985026">
          <w:rPr>
            <w:rStyle w:val="Hyperlink"/>
            <w:color w:val="auto"/>
            <w:lang w:val="es-419"/>
          </w:rPr>
          <w:t>https://www.wipo.int/lisbon/es/applicable_procedures.html</w:t>
        </w:r>
      </w:hyperlink>
      <w:r w:rsidRPr="00985026">
        <w:rPr>
          <w:lang w:val="es-419"/>
        </w:rPr>
        <w:t xml:space="preserve">. </w:t>
      </w:r>
    </w:p>
    <w:p w:rsidR="000709EF" w:rsidRPr="00985026" w:rsidRDefault="000709EF" w:rsidP="000709EF">
      <w:pPr>
        <w:pStyle w:val="ONUMFS"/>
        <w:numPr>
          <w:ilvl w:val="0"/>
          <w:numId w:val="0"/>
        </w:numPr>
        <w:spacing w:after="0"/>
        <w:rPr>
          <w:lang w:val="es-419"/>
        </w:rPr>
      </w:pPr>
    </w:p>
    <w:p w:rsidR="004F1708" w:rsidRPr="00985026" w:rsidRDefault="00510E2D" w:rsidP="000709EF">
      <w:pPr>
        <w:pStyle w:val="ONUMFS"/>
        <w:spacing w:after="0"/>
        <w:rPr>
          <w:lang w:val="es-419"/>
        </w:rPr>
      </w:pPr>
      <w:r w:rsidRPr="00985026">
        <w:rPr>
          <w:lang w:val="es-419"/>
        </w:rPr>
        <w:t>El Acta de Ginebra del Arreglo de Lisboa entrará en vigor, respecto de la Federación de Rusia, el 11 de agosto de 2023.</w:t>
      </w:r>
    </w:p>
    <w:p w:rsidR="000709EF" w:rsidRPr="00985026" w:rsidRDefault="000709EF" w:rsidP="00985026">
      <w:pPr>
        <w:pStyle w:val="ListParagraph"/>
        <w:ind w:left="0"/>
        <w:rPr>
          <w:lang w:val="es-419"/>
        </w:rPr>
      </w:pPr>
    </w:p>
    <w:p w:rsidR="00C32661" w:rsidRPr="00985026" w:rsidRDefault="00C32661" w:rsidP="000709EF">
      <w:pPr>
        <w:pStyle w:val="ONUMFS"/>
        <w:numPr>
          <w:ilvl w:val="0"/>
          <w:numId w:val="0"/>
        </w:numPr>
        <w:spacing w:after="0"/>
        <w:rPr>
          <w:lang w:val="es-419"/>
        </w:rPr>
      </w:pPr>
    </w:p>
    <w:p w:rsidR="004F1708" w:rsidRPr="00985026" w:rsidRDefault="00B4756F" w:rsidP="00985026">
      <w:pPr>
        <w:ind w:left="5530"/>
        <w:rPr>
          <w:szCs w:val="22"/>
          <w:lang w:val="es-419"/>
        </w:rPr>
      </w:pPr>
      <w:r>
        <w:rPr>
          <w:lang w:val="es-419"/>
        </w:rPr>
        <w:t>22</w:t>
      </w:r>
      <w:r w:rsidR="00525327" w:rsidRPr="00985026">
        <w:rPr>
          <w:lang w:val="es-419"/>
        </w:rPr>
        <w:t xml:space="preserve"> de junio de 2023</w:t>
      </w:r>
    </w:p>
    <w:sectPr w:rsidR="004F1708" w:rsidRPr="00985026" w:rsidSect="00985026">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284"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BA7" w:rsidRDefault="00236BA7">
      <w:r>
        <w:separator/>
      </w:r>
    </w:p>
  </w:endnote>
  <w:endnote w:type="continuationSeparator" w:id="0">
    <w:p w:rsidR="00236BA7" w:rsidRPr="009D30E6" w:rsidRDefault="00236BA7" w:rsidP="00D45252">
      <w:pPr>
        <w:rPr>
          <w:sz w:val="17"/>
          <w:szCs w:val="17"/>
        </w:rPr>
      </w:pPr>
      <w:r w:rsidRPr="009D30E6">
        <w:rPr>
          <w:sz w:val="17"/>
          <w:szCs w:val="17"/>
        </w:rPr>
        <w:separator/>
      </w:r>
    </w:p>
    <w:p w:rsidR="00236BA7" w:rsidRPr="00BA4F67" w:rsidRDefault="00236BA7" w:rsidP="00D45252">
      <w:pPr>
        <w:spacing w:after="60"/>
        <w:rPr>
          <w:sz w:val="17"/>
          <w:szCs w:val="17"/>
          <w:lang w:val="fr-FR"/>
        </w:rPr>
      </w:pPr>
      <w:r w:rsidRPr="00BA4F67">
        <w:rPr>
          <w:sz w:val="17"/>
          <w:szCs w:val="17"/>
          <w:lang w:val="fr-FR"/>
        </w:rPr>
        <w:t>[Suite de la note de la page précédente]</w:t>
      </w:r>
    </w:p>
  </w:endnote>
  <w:endnote w:type="continuationNotice" w:id="1">
    <w:p w:rsidR="00236BA7" w:rsidRPr="00BA4F67" w:rsidRDefault="00236BA7" w:rsidP="009D30E6">
      <w:pPr>
        <w:spacing w:before="60"/>
        <w:jc w:val="right"/>
        <w:rPr>
          <w:sz w:val="17"/>
          <w:szCs w:val="17"/>
          <w:lang w:val="fr-FR"/>
        </w:rPr>
      </w:pPr>
      <w:r w:rsidRPr="00BA4F67">
        <w:rPr>
          <w:sz w:val="17"/>
          <w:szCs w:val="17"/>
          <w:lang w:val="fr-FR"/>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26" w:rsidRDefault="0098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26" w:rsidRDefault="00985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26" w:rsidRDefault="0098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BA7" w:rsidRDefault="00236BA7">
      <w:r>
        <w:separator/>
      </w:r>
    </w:p>
  </w:footnote>
  <w:footnote w:type="continuationSeparator" w:id="0">
    <w:p w:rsidR="00236BA7" w:rsidRDefault="00236BA7" w:rsidP="007461F1">
      <w:r>
        <w:separator/>
      </w:r>
    </w:p>
    <w:p w:rsidR="00236BA7" w:rsidRPr="00BA4F67" w:rsidRDefault="00236BA7" w:rsidP="007461F1">
      <w:pPr>
        <w:spacing w:after="60"/>
        <w:rPr>
          <w:sz w:val="17"/>
          <w:szCs w:val="17"/>
          <w:lang w:val="fr-FR"/>
        </w:rPr>
      </w:pPr>
      <w:r w:rsidRPr="00BA4F67">
        <w:rPr>
          <w:sz w:val="17"/>
          <w:szCs w:val="17"/>
          <w:lang w:val="fr-FR"/>
        </w:rPr>
        <w:t>[Suite de la note de la page précédente]</w:t>
      </w:r>
    </w:p>
  </w:footnote>
  <w:footnote w:type="continuationNotice" w:id="1">
    <w:p w:rsidR="00236BA7" w:rsidRPr="00BA4F67" w:rsidRDefault="00236BA7" w:rsidP="007461F1">
      <w:pPr>
        <w:spacing w:before="60"/>
        <w:jc w:val="right"/>
        <w:rPr>
          <w:sz w:val="17"/>
          <w:szCs w:val="17"/>
          <w:lang w:val="fr-FR"/>
        </w:rPr>
      </w:pPr>
      <w:r w:rsidRPr="00BA4F67">
        <w:rPr>
          <w:sz w:val="17"/>
          <w:szCs w:val="17"/>
          <w:lang w:val="fr-FR"/>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r>
      <w:t xml:space="preserve">página </w:t>
    </w:r>
    <w:r>
      <w:fldChar w:fldCharType="begin"/>
    </w:r>
    <w:r>
      <w:instrText xml:space="preserve"> PAGE  \* MERGEFORMAT </w:instrText>
    </w:r>
    <w:r>
      <w:fldChar w:fldCharType="separate"/>
    </w:r>
    <w:r w:rsidR="00B01860">
      <w:rPr>
        <w:noProof/>
      </w:rPr>
      <w:t>2</w:t>
    </w:r>
    <w:r>
      <w:fldChar w:fldCharType="end"/>
    </w:r>
  </w:p>
  <w:p w:rsidR="00830E45" w:rsidRDefault="00830E45" w:rsidP="00830E45">
    <w:pPr>
      <w:jc w:val="right"/>
    </w:pPr>
  </w:p>
  <w:p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página </w:t>
    </w:r>
    <w:r>
      <w:fldChar w:fldCharType="begin"/>
    </w:r>
    <w:r>
      <w:instrText xml:space="preserve"> PAGE  \* MERGEFORMAT </w:instrText>
    </w:r>
    <w:r>
      <w:fldChar w:fldCharType="separate"/>
    </w:r>
    <w:r w:rsidR="00AD46B5">
      <w:t>1</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026" w:rsidRDefault="00985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15970"/>
    <w:rsid w:val="00017ECD"/>
    <w:rsid w:val="00031B68"/>
    <w:rsid w:val="00041C5B"/>
    <w:rsid w:val="00046015"/>
    <w:rsid w:val="00065F71"/>
    <w:rsid w:val="000709EF"/>
    <w:rsid w:val="00075432"/>
    <w:rsid w:val="000820DF"/>
    <w:rsid w:val="000B540D"/>
    <w:rsid w:val="000C19D2"/>
    <w:rsid w:val="000C41C7"/>
    <w:rsid w:val="000C480D"/>
    <w:rsid w:val="000D7B40"/>
    <w:rsid w:val="000E5A05"/>
    <w:rsid w:val="000F5E56"/>
    <w:rsid w:val="000F7495"/>
    <w:rsid w:val="00106BFD"/>
    <w:rsid w:val="001118D9"/>
    <w:rsid w:val="00111952"/>
    <w:rsid w:val="001313A9"/>
    <w:rsid w:val="001362EE"/>
    <w:rsid w:val="00157820"/>
    <w:rsid w:val="00157D86"/>
    <w:rsid w:val="00170A28"/>
    <w:rsid w:val="001739D3"/>
    <w:rsid w:val="00177395"/>
    <w:rsid w:val="00177A48"/>
    <w:rsid w:val="00177EBE"/>
    <w:rsid w:val="001832A6"/>
    <w:rsid w:val="0018385C"/>
    <w:rsid w:val="001871AB"/>
    <w:rsid w:val="00187452"/>
    <w:rsid w:val="00195C6E"/>
    <w:rsid w:val="001A646F"/>
    <w:rsid w:val="001B266A"/>
    <w:rsid w:val="001C20A0"/>
    <w:rsid w:val="001C3B1B"/>
    <w:rsid w:val="001D3D56"/>
    <w:rsid w:val="001D74CD"/>
    <w:rsid w:val="001D79EF"/>
    <w:rsid w:val="002004C4"/>
    <w:rsid w:val="00202977"/>
    <w:rsid w:val="00207952"/>
    <w:rsid w:val="002118B5"/>
    <w:rsid w:val="00236BA7"/>
    <w:rsid w:val="00240654"/>
    <w:rsid w:val="00242CC7"/>
    <w:rsid w:val="002538CE"/>
    <w:rsid w:val="0026203C"/>
    <w:rsid w:val="002634C4"/>
    <w:rsid w:val="00263F10"/>
    <w:rsid w:val="00283278"/>
    <w:rsid w:val="002A3F6E"/>
    <w:rsid w:val="002A5967"/>
    <w:rsid w:val="002A7703"/>
    <w:rsid w:val="002D37A3"/>
    <w:rsid w:val="002E4D1A"/>
    <w:rsid w:val="002F16BC"/>
    <w:rsid w:val="002F45C8"/>
    <w:rsid w:val="002F4E68"/>
    <w:rsid w:val="00310EE3"/>
    <w:rsid w:val="00312350"/>
    <w:rsid w:val="00312C13"/>
    <w:rsid w:val="00337CC2"/>
    <w:rsid w:val="003404CC"/>
    <w:rsid w:val="003416FD"/>
    <w:rsid w:val="00350042"/>
    <w:rsid w:val="00352571"/>
    <w:rsid w:val="003650C4"/>
    <w:rsid w:val="003815EC"/>
    <w:rsid w:val="0038447C"/>
    <w:rsid w:val="003845C1"/>
    <w:rsid w:val="00393AC4"/>
    <w:rsid w:val="003B3834"/>
    <w:rsid w:val="003B61F2"/>
    <w:rsid w:val="003C0529"/>
    <w:rsid w:val="003E4ED8"/>
    <w:rsid w:val="004008A2"/>
    <w:rsid w:val="004025DF"/>
    <w:rsid w:val="00413982"/>
    <w:rsid w:val="004167E4"/>
    <w:rsid w:val="00423E3E"/>
    <w:rsid w:val="00427A98"/>
    <w:rsid w:val="00427AF4"/>
    <w:rsid w:val="00445EEC"/>
    <w:rsid w:val="004477CF"/>
    <w:rsid w:val="004647DA"/>
    <w:rsid w:val="00477D6B"/>
    <w:rsid w:val="00492CAE"/>
    <w:rsid w:val="004A12E1"/>
    <w:rsid w:val="004B6189"/>
    <w:rsid w:val="004C4CE6"/>
    <w:rsid w:val="004D6471"/>
    <w:rsid w:val="004E2940"/>
    <w:rsid w:val="004E4EE4"/>
    <w:rsid w:val="004F09C3"/>
    <w:rsid w:val="004F1708"/>
    <w:rsid w:val="004F5D04"/>
    <w:rsid w:val="00500163"/>
    <w:rsid w:val="00510E2D"/>
    <w:rsid w:val="00524052"/>
    <w:rsid w:val="00525327"/>
    <w:rsid w:val="00525B63"/>
    <w:rsid w:val="00532696"/>
    <w:rsid w:val="005411D9"/>
    <w:rsid w:val="00557F9C"/>
    <w:rsid w:val="00565C0E"/>
    <w:rsid w:val="00567A4C"/>
    <w:rsid w:val="005700BB"/>
    <w:rsid w:val="00591868"/>
    <w:rsid w:val="00595F07"/>
    <w:rsid w:val="00596AD5"/>
    <w:rsid w:val="00597185"/>
    <w:rsid w:val="005A5CFC"/>
    <w:rsid w:val="005B21D8"/>
    <w:rsid w:val="005B4647"/>
    <w:rsid w:val="005B55CF"/>
    <w:rsid w:val="005C60A1"/>
    <w:rsid w:val="005E6516"/>
    <w:rsid w:val="005F15B7"/>
    <w:rsid w:val="005F735F"/>
    <w:rsid w:val="00605827"/>
    <w:rsid w:val="0061350D"/>
    <w:rsid w:val="006236DE"/>
    <w:rsid w:val="00626D08"/>
    <w:rsid w:val="00640857"/>
    <w:rsid w:val="00640D5E"/>
    <w:rsid w:val="00674188"/>
    <w:rsid w:val="00674551"/>
    <w:rsid w:val="00675142"/>
    <w:rsid w:val="00677439"/>
    <w:rsid w:val="00685FF9"/>
    <w:rsid w:val="00691415"/>
    <w:rsid w:val="006B0DB5"/>
    <w:rsid w:val="006B351A"/>
    <w:rsid w:val="006C037B"/>
    <w:rsid w:val="006C6E2F"/>
    <w:rsid w:val="006D3565"/>
    <w:rsid w:val="006D79DE"/>
    <w:rsid w:val="006F24B5"/>
    <w:rsid w:val="0070121A"/>
    <w:rsid w:val="00707847"/>
    <w:rsid w:val="007118A0"/>
    <w:rsid w:val="007220BA"/>
    <w:rsid w:val="007262B1"/>
    <w:rsid w:val="007359E6"/>
    <w:rsid w:val="00737110"/>
    <w:rsid w:val="00737709"/>
    <w:rsid w:val="00740CCA"/>
    <w:rsid w:val="007461F1"/>
    <w:rsid w:val="00754B7E"/>
    <w:rsid w:val="00762940"/>
    <w:rsid w:val="00762DE5"/>
    <w:rsid w:val="007651D6"/>
    <w:rsid w:val="00774B14"/>
    <w:rsid w:val="00785717"/>
    <w:rsid w:val="00796588"/>
    <w:rsid w:val="007B3938"/>
    <w:rsid w:val="007C2D86"/>
    <w:rsid w:val="007D487C"/>
    <w:rsid w:val="007D6961"/>
    <w:rsid w:val="007F07CB"/>
    <w:rsid w:val="007F2994"/>
    <w:rsid w:val="008057F6"/>
    <w:rsid w:val="00807877"/>
    <w:rsid w:val="00810A10"/>
    <w:rsid w:val="00810CEF"/>
    <w:rsid w:val="00810FAD"/>
    <w:rsid w:val="0081208D"/>
    <w:rsid w:val="00825277"/>
    <w:rsid w:val="00830E45"/>
    <w:rsid w:val="00835111"/>
    <w:rsid w:val="00835360"/>
    <w:rsid w:val="00840684"/>
    <w:rsid w:val="0084645E"/>
    <w:rsid w:val="0085098B"/>
    <w:rsid w:val="008579AF"/>
    <w:rsid w:val="00860485"/>
    <w:rsid w:val="0086074E"/>
    <w:rsid w:val="00863705"/>
    <w:rsid w:val="008823E6"/>
    <w:rsid w:val="00883B49"/>
    <w:rsid w:val="00887901"/>
    <w:rsid w:val="008B2CC1"/>
    <w:rsid w:val="008B67CF"/>
    <w:rsid w:val="008C282B"/>
    <w:rsid w:val="008E3AF9"/>
    <w:rsid w:val="008E7930"/>
    <w:rsid w:val="008F1912"/>
    <w:rsid w:val="008F60E7"/>
    <w:rsid w:val="0090731E"/>
    <w:rsid w:val="00932CC4"/>
    <w:rsid w:val="009436C7"/>
    <w:rsid w:val="0094678E"/>
    <w:rsid w:val="00951A60"/>
    <w:rsid w:val="00957D19"/>
    <w:rsid w:val="009614F2"/>
    <w:rsid w:val="00966A22"/>
    <w:rsid w:val="00974CD6"/>
    <w:rsid w:val="00975ACC"/>
    <w:rsid w:val="00985026"/>
    <w:rsid w:val="009869FF"/>
    <w:rsid w:val="009925B7"/>
    <w:rsid w:val="00993C1E"/>
    <w:rsid w:val="009B1323"/>
    <w:rsid w:val="009C4F51"/>
    <w:rsid w:val="009D30E6"/>
    <w:rsid w:val="009E001C"/>
    <w:rsid w:val="009E3F6F"/>
    <w:rsid w:val="009F499F"/>
    <w:rsid w:val="00A02A08"/>
    <w:rsid w:val="00A5108B"/>
    <w:rsid w:val="00A63E57"/>
    <w:rsid w:val="00A65CEE"/>
    <w:rsid w:val="00A7203D"/>
    <w:rsid w:val="00A8149C"/>
    <w:rsid w:val="00A8595D"/>
    <w:rsid w:val="00A9115B"/>
    <w:rsid w:val="00A92142"/>
    <w:rsid w:val="00A94EA1"/>
    <w:rsid w:val="00A977F6"/>
    <w:rsid w:val="00AA7907"/>
    <w:rsid w:val="00AB08B5"/>
    <w:rsid w:val="00AB2701"/>
    <w:rsid w:val="00AC0AE4"/>
    <w:rsid w:val="00AD297D"/>
    <w:rsid w:val="00AD46B5"/>
    <w:rsid w:val="00AD61DB"/>
    <w:rsid w:val="00AE3A26"/>
    <w:rsid w:val="00AF1097"/>
    <w:rsid w:val="00AF1C6C"/>
    <w:rsid w:val="00AF4F51"/>
    <w:rsid w:val="00B01860"/>
    <w:rsid w:val="00B14AE3"/>
    <w:rsid w:val="00B230DC"/>
    <w:rsid w:val="00B24C45"/>
    <w:rsid w:val="00B308C3"/>
    <w:rsid w:val="00B4032F"/>
    <w:rsid w:val="00B42D20"/>
    <w:rsid w:val="00B4756F"/>
    <w:rsid w:val="00B5375B"/>
    <w:rsid w:val="00B53D68"/>
    <w:rsid w:val="00B57988"/>
    <w:rsid w:val="00B62C4D"/>
    <w:rsid w:val="00B63DF5"/>
    <w:rsid w:val="00B64AAD"/>
    <w:rsid w:val="00B824EB"/>
    <w:rsid w:val="00B84766"/>
    <w:rsid w:val="00B84C3F"/>
    <w:rsid w:val="00B9163B"/>
    <w:rsid w:val="00BA4F67"/>
    <w:rsid w:val="00BA576F"/>
    <w:rsid w:val="00BB328D"/>
    <w:rsid w:val="00BC0210"/>
    <w:rsid w:val="00BE1D94"/>
    <w:rsid w:val="00BE3DF8"/>
    <w:rsid w:val="00BE6E18"/>
    <w:rsid w:val="00C00FD3"/>
    <w:rsid w:val="00C162FA"/>
    <w:rsid w:val="00C32661"/>
    <w:rsid w:val="00C664C8"/>
    <w:rsid w:val="00C741BC"/>
    <w:rsid w:val="00C86BFD"/>
    <w:rsid w:val="00C97941"/>
    <w:rsid w:val="00CA6130"/>
    <w:rsid w:val="00CB4283"/>
    <w:rsid w:val="00CB5121"/>
    <w:rsid w:val="00CC5C27"/>
    <w:rsid w:val="00CC5E58"/>
    <w:rsid w:val="00CF00E0"/>
    <w:rsid w:val="00CF0460"/>
    <w:rsid w:val="00CF216E"/>
    <w:rsid w:val="00D01FCD"/>
    <w:rsid w:val="00D106F6"/>
    <w:rsid w:val="00D11791"/>
    <w:rsid w:val="00D16C22"/>
    <w:rsid w:val="00D35FD4"/>
    <w:rsid w:val="00D43E0F"/>
    <w:rsid w:val="00D45252"/>
    <w:rsid w:val="00D462FA"/>
    <w:rsid w:val="00D56B8D"/>
    <w:rsid w:val="00D67D3E"/>
    <w:rsid w:val="00D71B4D"/>
    <w:rsid w:val="00D75C1E"/>
    <w:rsid w:val="00D8400E"/>
    <w:rsid w:val="00D93D55"/>
    <w:rsid w:val="00D9534D"/>
    <w:rsid w:val="00D96680"/>
    <w:rsid w:val="00DA11A5"/>
    <w:rsid w:val="00DA3086"/>
    <w:rsid w:val="00DA3EE7"/>
    <w:rsid w:val="00DC6164"/>
    <w:rsid w:val="00DD6A16"/>
    <w:rsid w:val="00E0091A"/>
    <w:rsid w:val="00E02296"/>
    <w:rsid w:val="00E05767"/>
    <w:rsid w:val="00E15DCB"/>
    <w:rsid w:val="00E203AA"/>
    <w:rsid w:val="00E23D73"/>
    <w:rsid w:val="00E34318"/>
    <w:rsid w:val="00E34C5C"/>
    <w:rsid w:val="00E3547B"/>
    <w:rsid w:val="00E44F10"/>
    <w:rsid w:val="00E515E6"/>
    <w:rsid w:val="00E527A5"/>
    <w:rsid w:val="00E55B2D"/>
    <w:rsid w:val="00E62580"/>
    <w:rsid w:val="00E647DC"/>
    <w:rsid w:val="00E745B3"/>
    <w:rsid w:val="00E74646"/>
    <w:rsid w:val="00E75FC4"/>
    <w:rsid w:val="00E76456"/>
    <w:rsid w:val="00E83692"/>
    <w:rsid w:val="00E854EB"/>
    <w:rsid w:val="00EA2F18"/>
    <w:rsid w:val="00EA37E7"/>
    <w:rsid w:val="00EB22BE"/>
    <w:rsid w:val="00EB6C23"/>
    <w:rsid w:val="00EC035F"/>
    <w:rsid w:val="00EC1F14"/>
    <w:rsid w:val="00EC3A64"/>
    <w:rsid w:val="00ED1760"/>
    <w:rsid w:val="00ED3882"/>
    <w:rsid w:val="00EE36DB"/>
    <w:rsid w:val="00EE71CB"/>
    <w:rsid w:val="00F05956"/>
    <w:rsid w:val="00F1623C"/>
    <w:rsid w:val="00F16314"/>
    <w:rsid w:val="00F16975"/>
    <w:rsid w:val="00F22DC8"/>
    <w:rsid w:val="00F46AF9"/>
    <w:rsid w:val="00F4775A"/>
    <w:rsid w:val="00F61333"/>
    <w:rsid w:val="00F63A5F"/>
    <w:rsid w:val="00F66152"/>
    <w:rsid w:val="00F71467"/>
    <w:rsid w:val="00F71E3E"/>
    <w:rsid w:val="00F82E5E"/>
    <w:rsid w:val="00FA0C38"/>
    <w:rsid w:val="00FA2E4F"/>
    <w:rsid w:val="00FB25C8"/>
    <w:rsid w:val="00FD1DD6"/>
    <w:rsid w:val="00FD38A3"/>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4D59E"/>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6E"/>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es-ES"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styleId="CommentReference">
    <w:name w:val="annotation reference"/>
    <w:basedOn w:val="DefaultParagraphFont"/>
    <w:semiHidden/>
    <w:unhideWhenUsed/>
    <w:rsid w:val="00A63E57"/>
    <w:rPr>
      <w:sz w:val="16"/>
      <w:szCs w:val="16"/>
    </w:rPr>
  </w:style>
  <w:style w:type="paragraph" w:styleId="CommentSubject">
    <w:name w:val="annotation subject"/>
    <w:basedOn w:val="CommentText"/>
    <w:next w:val="CommentText"/>
    <w:link w:val="CommentSubjectChar"/>
    <w:semiHidden/>
    <w:unhideWhenUsed/>
    <w:rsid w:val="00A63E57"/>
    <w:rPr>
      <w:b/>
      <w:bCs/>
      <w:sz w:val="20"/>
    </w:rPr>
  </w:style>
  <w:style w:type="character" w:customStyle="1" w:styleId="CommentTextChar">
    <w:name w:val="Comment Text Char"/>
    <w:basedOn w:val="DefaultParagraphFont"/>
    <w:link w:val="CommentText"/>
    <w:semiHidden/>
    <w:rsid w:val="00A63E57"/>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A63E57"/>
    <w:rPr>
      <w:rFonts w:ascii="Arial" w:eastAsia="SimSun" w:hAnsi="Arial" w:cs="Arial"/>
      <w:b/>
      <w:bCs/>
      <w:sz w:val="18"/>
      <w:lang w:val="es-ES" w:eastAsia="zh-CN"/>
    </w:rPr>
  </w:style>
  <w:style w:type="character" w:customStyle="1" w:styleId="UnresolvedMention1">
    <w:name w:val="Unresolved Mention1"/>
    <w:basedOn w:val="DefaultParagraphFont"/>
    <w:uiPriority w:val="99"/>
    <w:semiHidden/>
    <w:unhideWhenUsed/>
    <w:rsid w:val="00A8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lisbon/es/applicable_procedur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atent.gov.ru/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cd@rospatent.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ru@rupto.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4A94-7F2D-434A-82A0-62A16331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Lisbon Information Notice No. 3/2022</vt:lpstr>
      <vt:lpstr>Lisbon Information Notice No. 3/2022</vt:lpstr>
    </vt:vector>
  </TitlesOfParts>
  <Company>WIPO</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ROJAL Florence</cp:lastModifiedBy>
  <cp:revision>3</cp:revision>
  <cp:lastPrinted>2023-05-31T15:04:00Z</cp:lastPrinted>
  <dcterms:created xsi:type="dcterms:W3CDTF">2023-06-21T15:46:00Z</dcterms:created>
  <dcterms:modified xsi:type="dcterms:W3CDTF">2023-06-21T15:47:00Z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2023-06-08T10:10:49Z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483f6c5a-bd57-4e14-b2f0-c4b3f97b6fe8</vt:lpwstr>
  </property>
  <property fmtid="{D5CDD505-2E9C-101B-9397-08002B2CF9AE}" pid="14" name="MSIP_Label_20773ee6-353b-4fb9-a59d-0b94c8c67bea_ContentBits">
    <vt:lpwstr>0</vt:lpwstr>
  </property>
</Properties>
</file>