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3090" w14:textId="77777777" w:rsidR="00774130" w:rsidRPr="00774130" w:rsidRDefault="005E647E" w:rsidP="005E647E">
      <w:pPr>
        <w:spacing w:after="240"/>
        <w:ind w:left="4500"/>
      </w:pPr>
      <w:r w:rsidRPr="00B942C2">
        <w:rPr>
          <w:noProof/>
          <w:lang w:val="en-US" w:eastAsia="en-US"/>
        </w:rPr>
        <w:drawing>
          <wp:inline distT="0" distB="0" distL="0" distR="0" wp14:anchorId="682165B3" wp14:editId="64476342">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23BF3F48" w14:textId="77777777" w:rsidR="00DA2D2B" w:rsidRPr="000342EE" w:rsidRDefault="00DA2D2B" w:rsidP="00DA2D2B">
      <w:pPr>
        <w:spacing w:after="1560"/>
        <w:jc w:val="right"/>
        <w:rPr>
          <w:caps/>
        </w:rPr>
      </w:pPr>
      <w:bookmarkStart w:id="0" w:name="Langue"/>
      <w:bookmarkStart w:id="1" w:name="_Hlk152773490"/>
      <w:r w:rsidRPr="00EE4480">
        <w:rPr>
          <w:rFonts w:ascii="Arial Black" w:hAnsi="Arial Black"/>
          <w:caps/>
          <w:sz w:val="15"/>
        </w:rPr>
        <w:t>A</w:t>
      </w:r>
      <w:r w:rsidRPr="000342EE">
        <w:rPr>
          <w:rFonts w:ascii="Arial Black" w:hAnsi="Arial Black"/>
          <w:caps/>
          <w:sz w:val="15"/>
        </w:rPr>
        <w:t>vis</w:t>
      </w:r>
      <w:r w:rsidRPr="00EE4480">
        <w:rPr>
          <w:rFonts w:ascii="Arial Black" w:hAnsi="Arial Black"/>
          <w:caps/>
          <w:sz w:val="15"/>
        </w:rPr>
        <w:t xml:space="preserve"> </w:t>
      </w:r>
      <w:r w:rsidRPr="000342EE">
        <w:rPr>
          <w:rFonts w:ascii="Arial Black" w:hAnsi="Arial Black"/>
          <w:caps/>
          <w:sz w:val="15"/>
        </w:rPr>
        <w:t>n</w:t>
      </w:r>
      <w:r w:rsidRPr="00EE4480">
        <w:rPr>
          <w:rFonts w:ascii="Arial Black" w:hAnsi="Arial Black"/>
          <w:caps/>
          <w:sz w:val="15"/>
        </w:rPr>
        <w:t>° 13/2023</w:t>
      </w:r>
    </w:p>
    <w:bookmarkEnd w:id="0"/>
    <w:p w14:paraId="7AEB6DAB" w14:textId="77777777" w:rsidR="00DA2D2B" w:rsidRPr="00774130" w:rsidRDefault="00DA2D2B" w:rsidP="00DA2D2B">
      <w:pPr>
        <w:pStyle w:val="Heading1"/>
      </w:pPr>
      <w:r w:rsidRPr="00774130">
        <w:t>Acte de Genève de l</w:t>
      </w:r>
      <w:r>
        <w:t>’</w:t>
      </w:r>
      <w:r w:rsidRPr="00774130">
        <w:t>Arrangement de Lisbonne sur les appellations d</w:t>
      </w:r>
      <w:r>
        <w:t>’</w:t>
      </w:r>
      <w:r w:rsidRPr="00774130">
        <w:t>origine et les indications géographiques</w:t>
      </w:r>
    </w:p>
    <w:p w14:paraId="34DB2206" w14:textId="77777777" w:rsidR="00DA2D2B" w:rsidRPr="000342EE" w:rsidRDefault="00DA2D2B" w:rsidP="00DA2D2B">
      <w:pPr>
        <w:pStyle w:val="Heading2"/>
      </w:pPr>
      <w:r w:rsidRPr="000342EE">
        <w:rPr>
          <w:noProof/>
          <w:lang w:val="en-US" w:eastAsia="en-US"/>
        </w:rPr>
        <mc:AlternateContent>
          <mc:Choice Requires="wps">
            <w:drawing>
              <wp:anchor distT="0" distB="0" distL="114300" distR="114300" simplePos="0" relativeHeight="251659264" behindDoc="1" locked="1" layoutInCell="0" allowOverlap="1" wp14:anchorId="314F2C50" wp14:editId="4563B48E">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994A4"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Pr="000342EE">
        <w:t>Adhésion du Sénégal</w:t>
      </w:r>
    </w:p>
    <w:p w14:paraId="55B4FF0B" w14:textId="77777777" w:rsidR="00DA2D2B" w:rsidRDefault="00DA2D2B" w:rsidP="00DA2D2B">
      <w:pPr>
        <w:pStyle w:val="ONUMFS"/>
        <w:numPr>
          <w:ilvl w:val="0"/>
          <w:numId w:val="5"/>
        </w:numPr>
        <w:tabs>
          <w:tab w:val="clear" w:pos="567"/>
          <w:tab w:val="num" w:pos="0"/>
        </w:tabs>
      </w:pPr>
      <w:r w:rsidRPr="00774130">
        <w:t xml:space="preserve">Le </w:t>
      </w:r>
      <w:r>
        <w:t xml:space="preserve">5 septembre 2023, le Gouvernement du Sénégal </w:t>
      </w:r>
      <w:r w:rsidRPr="00774130">
        <w:t>a déposé auprès du Directeur général de l</w:t>
      </w:r>
      <w:r>
        <w:t>’</w:t>
      </w:r>
      <w:r w:rsidRPr="00774130">
        <w:t>Organisation Mondiale</w:t>
      </w:r>
      <w:r>
        <w:t xml:space="preserve"> de la Propriété Intellectuelle </w:t>
      </w:r>
      <w:r w:rsidRPr="00774130">
        <w:t>(OMPI) son instrument d</w:t>
      </w:r>
      <w:r>
        <w:t>’</w:t>
      </w:r>
      <w:r w:rsidRPr="00774130">
        <w:t>adhésion à l</w:t>
      </w:r>
      <w:r>
        <w:t>’</w:t>
      </w:r>
      <w:r w:rsidRPr="00774130">
        <w:t>Acte de Genève de l</w:t>
      </w:r>
      <w:r>
        <w:t>’</w:t>
      </w:r>
      <w:r w:rsidRPr="00774130">
        <w:t>Arrangement de Lisbonne sur les appellations d</w:t>
      </w:r>
      <w:r>
        <w:t>’</w:t>
      </w:r>
      <w:r w:rsidRPr="00774130">
        <w:t>origine et les indications géographiques (</w:t>
      </w:r>
      <w:r w:rsidRPr="008A0336">
        <w:t>ci</w:t>
      </w:r>
      <w:r>
        <w:noBreakHyphen/>
      </w:r>
      <w:r w:rsidRPr="008A0336">
        <w:t xml:space="preserve">après dénommé </w:t>
      </w:r>
      <w:r>
        <w:t>“</w:t>
      </w:r>
      <w:r w:rsidRPr="00774130">
        <w:t>Acte de Genève de l</w:t>
      </w:r>
      <w:r>
        <w:t>’</w:t>
      </w:r>
      <w:r w:rsidRPr="00774130">
        <w:t>Arrangement de Lisbonne</w:t>
      </w:r>
      <w:r>
        <w:t>”</w:t>
      </w:r>
      <w:r w:rsidRPr="00774130">
        <w:t>), adopté à Genève le 20 mai 2015.</w:t>
      </w:r>
      <w:r>
        <w:t xml:space="preserve"> </w:t>
      </w:r>
    </w:p>
    <w:p w14:paraId="1BA9320C" w14:textId="77777777" w:rsidR="00DA2D2B" w:rsidRPr="00436D9C" w:rsidRDefault="00DA2D2B" w:rsidP="00DA2D2B">
      <w:pPr>
        <w:pStyle w:val="ONUMFS"/>
        <w:numPr>
          <w:ilvl w:val="0"/>
          <w:numId w:val="5"/>
        </w:numPr>
      </w:pPr>
      <w:r w:rsidRPr="00436D9C">
        <w:t>Ledit instrument d’adhésion était accompagné des déclarations suivantes :</w:t>
      </w:r>
    </w:p>
    <w:p w14:paraId="44F1C329" w14:textId="77777777" w:rsidR="00DA2D2B" w:rsidRPr="00893B56" w:rsidRDefault="00DA2D2B" w:rsidP="00DA2D2B">
      <w:pPr>
        <w:pStyle w:val="ONUMFS"/>
        <w:numPr>
          <w:ilvl w:val="0"/>
          <w:numId w:val="15"/>
        </w:numPr>
        <w:ind w:left="540" w:firstLine="0"/>
        <w:rPr>
          <w:lang w:val="fr-CH"/>
        </w:rPr>
      </w:pPr>
      <w:r>
        <w:t xml:space="preserve">la déclaration visée à l’article 7.4) de l’Acte de Genève de l’Arrangement de Lisbonne, selon laquelle le Sénégal </w:t>
      </w:r>
      <w:r w:rsidRPr="006E734B">
        <w:t xml:space="preserve">déclare que la protection découlant de l’enregistrement international de chaque appellation d’origine et indication géographique </w:t>
      </w:r>
      <w:r>
        <w:t xml:space="preserve">ne s’étend au Sénégal </w:t>
      </w:r>
      <w:r w:rsidRPr="006E734B">
        <w:t>que si une taxe est acquittée pour couvrir le coût de l’examen quant au fond de l’enregistrement international;</w:t>
      </w:r>
      <w:r>
        <w:t xml:space="preserve"> </w:t>
      </w:r>
    </w:p>
    <w:p w14:paraId="09D8DCB5" w14:textId="77777777" w:rsidR="00DA2D2B" w:rsidRPr="006222DD" w:rsidRDefault="00DA2D2B" w:rsidP="00DA2D2B">
      <w:pPr>
        <w:pStyle w:val="ONUMFS"/>
        <w:numPr>
          <w:ilvl w:val="0"/>
          <w:numId w:val="15"/>
        </w:numPr>
        <w:ind w:left="540" w:firstLine="0"/>
        <w:rPr>
          <w:lang w:val="fr-CH"/>
        </w:rPr>
      </w:pPr>
      <w:r>
        <w:rPr>
          <w:lang w:val="fr-CH"/>
        </w:rPr>
        <w:t xml:space="preserve">la </w:t>
      </w:r>
      <w:r w:rsidRPr="00436D9C">
        <w:t>déclaration visée à l’article 29.4) de l’Acte de Genève de l’Arrangement de Lis</w:t>
      </w:r>
      <w:r>
        <w:t xml:space="preserve">bonne, selon laquelle le Sénégal </w:t>
      </w:r>
      <w:r w:rsidRPr="00436D9C">
        <w:t xml:space="preserve">déclare </w:t>
      </w:r>
      <w:r w:rsidRPr="00487125">
        <w:rPr>
          <w:shd w:val="clear" w:color="auto" w:fill="FAFAFA"/>
        </w:rPr>
        <w:t xml:space="preserve">prolonger d’un an le délai visé à l’article 15.1) </w:t>
      </w:r>
      <w:r w:rsidRPr="00436D9C">
        <w:rPr>
          <w:color w:val="3B3B3B"/>
          <w:shd w:val="clear" w:color="auto" w:fill="FAFAFA"/>
        </w:rPr>
        <w:t>dudit Acte</w:t>
      </w:r>
      <w:r w:rsidRPr="00487125">
        <w:rPr>
          <w:shd w:val="clear" w:color="auto" w:fill="FAFAFA"/>
        </w:rPr>
        <w:t>, et les délais visés à l’article 17 de l’Acte de Genève</w:t>
      </w:r>
      <w:r>
        <w:rPr>
          <w:shd w:val="clear" w:color="auto" w:fill="FAFAFA"/>
        </w:rPr>
        <w:t xml:space="preserve"> </w:t>
      </w:r>
      <w:r>
        <w:t>de l’Arrangement de Lisbonne</w:t>
      </w:r>
      <w:r w:rsidRPr="00487125">
        <w:t xml:space="preserve">, conformément </w:t>
      </w:r>
      <w:r w:rsidRPr="00436D9C">
        <w:t xml:space="preserve">aux procédures prescrites dans le règlement d’exécution commun à l’Arrangement de Lisbonne concernant la protection des appellations d’origine et leur enregistrement international et à l’Acte de Genève de l’Arrangement de Lisbonne </w:t>
      </w:r>
      <w:r w:rsidRPr="00B942C2">
        <w:rPr>
          <w:szCs w:val="22"/>
          <w:lang w:val="fr-CH" w:eastAsia="ja-JP"/>
        </w:rPr>
        <w:t>sur les appellations d</w:t>
      </w:r>
      <w:r>
        <w:rPr>
          <w:szCs w:val="22"/>
          <w:lang w:val="fr-CH" w:eastAsia="ja-JP"/>
        </w:rPr>
        <w:t>’</w:t>
      </w:r>
      <w:r w:rsidRPr="00B942C2">
        <w:rPr>
          <w:szCs w:val="22"/>
          <w:lang w:val="fr-CH" w:eastAsia="ja-JP"/>
        </w:rPr>
        <w:t>origine et l</w:t>
      </w:r>
      <w:r>
        <w:rPr>
          <w:szCs w:val="22"/>
          <w:lang w:val="fr-CH" w:eastAsia="ja-JP"/>
        </w:rPr>
        <w:t>es indications géographiques</w:t>
      </w:r>
      <w:r w:rsidRPr="00436D9C">
        <w:t xml:space="preserve"> (ci-après dénommé “règlement d’exécution commun”)</w:t>
      </w:r>
      <w:r>
        <w:rPr>
          <w:color w:val="3B3B3B"/>
          <w:shd w:val="clear" w:color="auto" w:fill="FAFAFA"/>
        </w:rPr>
        <w:t>; et</w:t>
      </w:r>
    </w:p>
    <w:p w14:paraId="5F97B2F1" w14:textId="77777777" w:rsidR="00DA2D2B" w:rsidRDefault="00DA2D2B" w:rsidP="00DA2D2B">
      <w:pPr>
        <w:pStyle w:val="ONUMFS"/>
        <w:numPr>
          <w:ilvl w:val="0"/>
          <w:numId w:val="15"/>
        </w:numPr>
        <w:ind w:left="540" w:firstLine="0"/>
        <w:rPr>
          <w:color w:val="000000" w:themeColor="text1"/>
          <w:shd w:val="clear" w:color="auto" w:fill="FAFAFA"/>
        </w:rPr>
      </w:pPr>
      <w:r w:rsidRPr="00A02E7C">
        <w:rPr>
          <w:color w:val="000000" w:themeColor="text1"/>
          <w:shd w:val="clear" w:color="auto" w:fill="FAFAFA"/>
        </w:rPr>
        <w:t xml:space="preserve">la déclaration visée à la règle 5.3)a) du règlement d’exécution commun à l’Arrangement de Lisbonne concernant la protection des appellations d’origine et leur enregistrement international et à l’Acte de Genève de l’Arrangement de Lisbonne sur les appellations d’origine et les indications géographiques (ci-après dénommé “règlement d’exécution commun”), selon laquelle le Sénégal exige, pour qu’une appellation d’origine ou indication géographique enregistrée soit protégée sur son territoire, que la demande indique aussi, outre le contenu obligatoire visé à la règle 5.2) du règlement d’exécution commun, des données concernant, dans le cas d’une appellation d’origine, la qualité ou les caractères du produit et le lien existant avec le milieu géographique de l’aire géographique de production et, dans le cas d’une indication géographique, la qualité, la </w:t>
      </w:r>
      <w:r w:rsidRPr="00A02E7C">
        <w:rPr>
          <w:color w:val="000000" w:themeColor="text1"/>
          <w:shd w:val="clear" w:color="auto" w:fill="FAFAFA"/>
        </w:rPr>
        <w:lastRenderedPageBreak/>
        <w:t>notoriété ou d’autres caractères du produit et le lien existant avec l’aire géographique d’origine.</w:t>
      </w:r>
    </w:p>
    <w:p w14:paraId="59B8A150" w14:textId="77777777" w:rsidR="00DA2D2B" w:rsidRDefault="00DA2D2B" w:rsidP="00DA2D2B">
      <w:pPr>
        <w:pStyle w:val="ONUMFS"/>
        <w:numPr>
          <w:ilvl w:val="0"/>
          <w:numId w:val="5"/>
        </w:numPr>
        <w:tabs>
          <w:tab w:val="clear" w:pos="567"/>
        </w:tabs>
      </w:pPr>
      <w:r w:rsidRPr="00B25CDF">
        <w:t>Le montant de la taxe individuelle</w:t>
      </w:r>
      <w:r>
        <w:t>, indiqué par le Sénégal</w:t>
      </w:r>
      <w:r w:rsidRPr="0083486C">
        <w:t xml:space="preserve"> en vertu de l’article 7.4)a) de l’Acte de Genève de l’Arrangement de Lisbonne, fera l’objet d’un avis distinct.</w:t>
      </w:r>
    </w:p>
    <w:p w14:paraId="1B116B22" w14:textId="77777777" w:rsidR="00DA2D2B" w:rsidRDefault="00DA2D2B" w:rsidP="00DA2D2B">
      <w:pPr>
        <w:pStyle w:val="ONUMFS"/>
        <w:numPr>
          <w:ilvl w:val="0"/>
          <w:numId w:val="5"/>
        </w:numPr>
        <w:tabs>
          <w:tab w:val="clear" w:pos="567"/>
          <w:tab w:val="num" w:pos="0"/>
        </w:tabs>
      </w:pPr>
      <w:bookmarkStart w:id="2" w:name="_Hlk148606904"/>
      <w:r w:rsidRPr="00774130">
        <w:t>Conformément à la règle 4.1) du règlement d</w:t>
      </w:r>
      <w:r>
        <w:t xml:space="preserve">’exécution </w:t>
      </w:r>
      <w:bookmarkStart w:id="3" w:name="_Hlk148606934"/>
      <w:r>
        <w:t>commun</w:t>
      </w:r>
      <w:bookmarkStart w:id="4" w:name="_Hlk148606999"/>
      <w:bookmarkEnd w:id="2"/>
      <w:bookmarkEnd w:id="3"/>
      <w:r>
        <w:t xml:space="preserve">, le Gouvernement du Sénégal </w:t>
      </w:r>
      <w:r w:rsidRPr="00774130">
        <w:t xml:space="preserve">a notifié le nom et les coordonnées de son administration compétente aux fins </w:t>
      </w:r>
      <w:bookmarkEnd w:id="4"/>
      <w:r w:rsidRPr="00774130">
        <w:t>des procédures prévues par l</w:t>
      </w:r>
      <w:r>
        <w:t>’</w:t>
      </w:r>
      <w:r w:rsidRPr="00774130">
        <w:t>Acte de Genève de l</w:t>
      </w:r>
      <w:r>
        <w:t>’</w:t>
      </w:r>
      <w:r w:rsidRPr="00774130">
        <w:t>Arrangement de Lisbonne</w:t>
      </w:r>
      <w:r>
        <w:t>:</w:t>
      </w:r>
    </w:p>
    <w:p w14:paraId="0647AE81" w14:textId="77777777" w:rsidR="00DA2D2B" w:rsidRPr="00702198" w:rsidRDefault="00DA2D2B" w:rsidP="00DA2D2B">
      <w:pPr>
        <w:keepNext/>
        <w:tabs>
          <w:tab w:val="left" w:pos="2268"/>
        </w:tabs>
        <w:spacing w:line="260" w:lineRule="exact"/>
        <w:ind w:left="2268"/>
        <w:jc w:val="both"/>
        <w:rPr>
          <w:rFonts w:eastAsia="Times New Roman" w:cs="Times New Roman"/>
          <w:szCs w:val="22"/>
          <w:lang w:val="fr-CH" w:eastAsia="en-US"/>
        </w:rPr>
      </w:pPr>
      <w:r w:rsidRPr="00702198">
        <w:rPr>
          <w:rFonts w:eastAsia="Times New Roman" w:cs="Times New Roman"/>
          <w:szCs w:val="22"/>
          <w:lang w:val="fr-CH" w:eastAsia="en-US"/>
        </w:rPr>
        <w:t xml:space="preserve">Organisation </w:t>
      </w:r>
      <w:r>
        <w:rPr>
          <w:rFonts w:eastAsia="Times New Roman" w:cs="Times New Roman"/>
          <w:szCs w:val="22"/>
          <w:lang w:val="fr-CH" w:eastAsia="en-US"/>
        </w:rPr>
        <w:t>a</w:t>
      </w:r>
      <w:r w:rsidRPr="00702198">
        <w:rPr>
          <w:rFonts w:eastAsia="Times New Roman" w:cs="Times New Roman"/>
          <w:szCs w:val="22"/>
          <w:lang w:val="fr-CH" w:eastAsia="en-US"/>
        </w:rPr>
        <w:t xml:space="preserve">fricaine de la </w:t>
      </w:r>
      <w:r>
        <w:rPr>
          <w:rFonts w:eastAsia="Times New Roman" w:cs="Times New Roman"/>
          <w:szCs w:val="22"/>
          <w:lang w:val="fr-CH" w:eastAsia="en-US"/>
        </w:rPr>
        <w:t>p</w:t>
      </w:r>
      <w:r w:rsidRPr="00702198">
        <w:rPr>
          <w:rFonts w:eastAsia="Times New Roman" w:cs="Times New Roman"/>
          <w:szCs w:val="22"/>
          <w:lang w:val="fr-CH" w:eastAsia="en-US"/>
        </w:rPr>
        <w:t xml:space="preserve">ropriété </w:t>
      </w:r>
      <w:r>
        <w:rPr>
          <w:rFonts w:eastAsia="Times New Roman" w:cs="Times New Roman"/>
          <w:szCs w:val="22"/>
          <w:lang w:val="fr-CH" w:eastAsia="en-US"/>
        </w:rPr>
        <w:t>i</w:t>
      </w:r>
      <w:r w:rsidRPr="00702198">
        <w:rPr>
          <w:rFonts w:eastAsia="Times New Roman" w:cs="Times New Roman"/>
          <w:szCs w:val="22"/>
          <w:lang w:val="fr-CH" w:eastAsia="en-US"/>
        </w:rPr>
        <w:t>ntellectuelle (OAPI)</w:t>
      </w:r>
    </w:p>
    <w:p w14:paraId="06FE325B" w14:textId="77777777" w:rsidR="00DA2D2B" w:rsidRPr="000009CC" w:rsidRDefault="00DA2D2B" w:rsidP="00DA2D2B">
      <w:pPr>
        <w:keepNext/>
        <w:tabs>
          <w:tab w:val="left" w:pos="2268"/>
        </w:tabs>
        <w:spacing w:line="260" w:lineRule="exact"/>
        <w:ind w:left="2268"/>
        <w:jc w:val="both"/>
        <w:rPr>
          <w:rFonts w:eastAsia="Times New Roman" w:cs="Times New Roman"/>
          <w:szCs w:val="22"/>
          <w:lang w:val="fr-CH" w:eastAsia="en-US"/>
        </w:rPr>
      </w:pPr>
      <w:r w:rsidRPr="000009CC">
        <w:rPr>
          <w:rFonts w:eastAsia="Times New Roman" w:cs="Times New Roman"/>
          <w:szCs w:val="22"/>
          <w:lang w:val="fr-CH" w:eastAsia="en-US"/>
        </w:rPr>
        <w:t>Rue Hyppodrome 158</w:t>
      </w:r>
    </w:p>
    <w:p w14:paraId="60DE75F8" w14:textId="77777777" w:rsidR="00DA2D2B" w:rsidRPr="000009CC" w:rsidRDefault="00DA2D2B" w:rsidP="00DA2D2B">
      <w:pPr>
        <w:keepNext/>
        <w:tabs>
          <w:tab w:val="left" w:pos="2268"/>
        </w:tabs>
        <w:spacing w:line="260" w:lineRule="exact"/>
        <w:ind w:left="2268"/>
        <w:jc w:val="both"/>
        <w:rPr>
          <w:rFonts w:eastAsia="Times New Roman" w:cs="Times New Roman"/>
          <w:szCs w:val="22"/>
          <w:lang w:val="fr-CH" w:eastAsia="en-US"/>
        </w:rPr>
      </w:pPr>
      <w:r w:rsidRPr="000009CC">
        <w:rPr>
          <w:rFonts w:eastAsia="Times New Roman" w:cs="Times New Roman"/>
          <w:szCs w:val="22"/>
          <w:lang w:val="fr-CH" w:eastAsia="en-US"/>
        </w:rPr>
        <w:t>Place de la Préfecture</w:t>
      </w:r>
    </w:p>
    <w:p w14:paraId="51608BAD" w14:textId="77777777" w:rsidR="00DA2D2B" w:rsidRPr="000009CC" w:rsidRDefault="00DA2D2B" w:rsidP="00DA2D2B">
      <w:pPr>
        <w:keepNext/>
        <w:tabs>
          <w:tab w:val="left" w:pos="2268"/>
        </w:tabs>
        <w:spacing w:line="260" w:lineRule="exact"/>
        <w:ind w:left="2268"/>
        <w:jc w:val="both"/>
        <w:rPr>
          <w:rFonts w:eastAsia="Times New Roman" w:cs="Times New Roman"/>
          <w:szCs w:val="22"/>
          <w:lang w:val="en-US" w:eastAsia="en-US"/>
        </w:rPr>
      </w:pPr>
      <w:r w:rsidRPr="000009CC">
        <w:rPr>
          <w:rFonts w:eastAsia="Times New Roman" w:cs="Times New Roman"/>
          <w:szCs w:val="22"/>
          <w:lang w:val="en-US" w:eastAsia="en-US"/>
        </w:rPr>
        <w:t>B.P. 887</w:t>
      </w:r>
    </w:p>
    <w:p w14:paraId="7FDB4ADA" w14:textId="77777777" w:rsidR="00DA2D2B" w:rsidRDefault="00DA2D2B" w:rsidP="00DA2D2B">
      <w:pPr>
        <w:keepNext/>
        <w:tabs>
          <w:tab w:val="left" w:pos="2268"/>
        </w:tabs>
        <w:spacing w:line="260" w:lineRule="exact"/>
        <w:ind w:left="2268"/>
        <w:jc w:val="both"/>
        <w:rPr>
          <w:rFonts w:eastAsia="Times New Roman" w:cs="Times New Roman"/>
          <w:szCs w:val="22"/>
          <w:lang w:val="en-US" w:eastAsia="en-US"/>
        </w:rPr>
      </w:pPr>
      <w:r w:rsidRPr="000009CC">
        <w:rPr>
          <w:rFonts w:eastAsia="Times New Roman" w:cs="Times New Roman"/>
          <w:szCs w:val="22"/>
          <w:lang w:val="en-US" w:eastAsia="en-US"/>
        </w:rPr>
        <w:t>Yaoundé</w:t>
      </w:r>
    </w:p>
    <w:p w14:paraId="1AD399B0" w14:textId="77777777" w:rsidR="00DA2D2B" w:rsidRPr="00702198" w:rsidRDefault="00DA2D2B" w:rsidP="00DA2D2B">
      <w:pPr>
        <w:keepNext/>
        <w:tabs>
          <w:tab w:val="left" w:pos="2268"/>
        </w:tabs>
        <w:spacing w:line="260" w:lineRule="exact"/>
        <w:ind w:left="2268"/>
        <w:jc w:val="both"/>
        <w:rPr>
          <w:rFonts w:eastAsia="Times New Roman" w:cs="Times New Roman"/>
          <w:szCs w:val="22"/>
          <w:lang w:val="en-US" w:eastAsia="en-US"/>
        </w:rPr>
      </w:pPr>
      <w:r w:rsidRPr="00702198">
        <w:rPr>
          <w:rFonts w:eastAsia="Times New Roman" w:cs="Times New Roman"/>
          <w:szCs w:val="22"/>
          <w:lang w:val="en-US" w:eastAsia="en-US"/>
        </w:rPr>
        <w:t>Cameroun</w:t>
      </w:r>
    </w:p>
    <w:p w14:paraId="42BBBE98" w14:textId="77777777" w:rsidR="00DA2D2B" w:rsidRPr="006F0D89" w:rsidRDefault="00DA2D2B" w:rsidP="00DA2D2B">
      <w:pPr>
        <w:keepNext/>
        <w:tabs>
          <w:tab w:val="left" w:pos="2268"/>
        </w:tabs>
        <w:spacing w:line="260" w:lineRule="exact"/>
        <w:ind w:left="2268"/>
        <w:jc w:val="both"/>
        <w:rPr>
          <w:rFonts w:eastAsia="Times New Roman" w:cs="Times New Roman"/>
          <w:szCs w:val="22"/>
          <w:lang w:val="en-US" w:eastAsia="en-US"/>
        </w:rPr>
      </w:pPr>
      <w:r>
        <w:rPr>
          <w:rFonts w:eastAsia="Times New Roman" w:cs="Times New Roman"/>
          <w:szCs w:val="22"/>
          <w:lang w:val="en-US" w:eastAsia="en-US"/>
        </w:rPr>
        <w:t>Té</w:t>
      </w:r>
      <w:r w:rsidRPr="00702198">
        <w:rPr>
          <w:rFonts w:eastAsia="Times New Roman" w:cs="Times New Roman"/>
          <w:szCs w:val="22"/>
          <w:lang w:val="en-US" w:eastAsia="en-US"/>
        </w:rPr>
        <w:t>l : (237 2) 222 057 00</w:t>
      </w:r>
    </w:p>
    <w:p w14:paraId="378B95E6" w14:textId="77777777" w:rsidR="00DA2D2B" w:rsidRPr="00702198" w:rsidRDefault="00DA2D2B" w:rsidP="00DA2D2B">
      <w:pPr>
        <w:keepNext/>
        <w:tabs>
          <w:tab w:val="left" w:pos="2268"/>
        </w:tabs>
        <w:spacing w:line="260" w:lineRule="exact"/>
        <w:ind w:left="2268"/>
        <w:jc w:val="both"/>
        <w:rPr>
          <w:rFonts w:eastAsia="Times New Roman" w:cs="Times New Roman"/>
          <w:szCs w:val="22"/>
          <w:lang w:val="de-CH" w:eastAsia="en-US"/>
        </w:rPr>
      </w:pPr>
      <w:r w:rsidRPr="00702198">
        <w:rPr>
          <w:rFonts w:eastAsia="Times New Roman" w:cs="Times New Roman"/>
          <w:szCs w:val="22"/>
          <w:lang w:val="de-CH" w:eastAsia="en-US"/>
        </w:rPr>
        <w:t>8239 KN</w:t>
      </w:r>
    </w:p>
    <w:p w14:paraId="010279BE" w14:textId="77777777" w:rsidR="00DA2D2B" w:rsidRPr="00210265" w:rsidRDefault="00DA2D2B" w:rsidP="00DA2D2B">
      <w:pPr>
        <w:keepNext/>
        <w:tabs>
          <w:tab w:val="left" w:pos="2268"/>
        </w:tabs>
        <w:spacing w:line="260" w:lineRule="exact"/>
        <w:ind w:left="2268"/>
        <w:jc w:val="both"/>
        <w:rPr>
          <w:rFonts w:eastAsia="Times New Roman" w:cs="Times New Roman"/>
          <w:szCs w:val="22"/>
          <w:lang w:val="en-US" w:eastAsia="en-US"/>
        </w:rPr>
      </w:pPr>
      <w:r w:rsidRPr="000009CC">
        <w:rPr>
          <w:rFonts w:eastAsia="Times New Roman" w:cs="Times New Roman"/>
          <w:szCs w:val="22"/>
          <w:lang w:val="en-US" w:eastAsia="en-US"/>
        </w:rPr>
        <w:t xml:space="preserve">Mél : </w:t>
      </w:r>
      <w:hyperlink r:id="rId9" w:history="1">
        <w:r w:rsidRPr="000342EE">
          <w:rPr>
            <w:rStyle w:val="Hyperlink"/>
            <w:rFonts w:eastAsia="Times New Roman" w:cs="Times New Roman"/>
            <w:color w:val="auto"/>
            <w:szCs w:val="22"/>
            <w:lang w:val="en-US" w:eastAsia="en-US"/>
          </w:rPr>
          <w:t>oapi@oapi.int</w:t>
        </w:r>
      </w:hyperlink>
      <w:r w:rsidRPr="00210265">
        <w:rPr>
          <w:rStyle w:val="Hyperlink"/>
          <w:rFonts w:eastAsia="Times New Roman" w:cs="Times New Roman"/>
          <w:color w:val="auto"/>
          <w:szCs w:val="22"/>
          <w:u w:val="none"/>
          <w:lang w:val="en-US" w:eastAsia="en-US"/>
        </w:rPr>
        <w:t xml:space="preserve"> </w:t>
      </w:r>
      <w:r w:rsidRPr="00210265">
        <w:rPr>
          <w:rStyle w:val="Hyperlink"/>
          <w:rFonts w:eastAsia="Times New Roman" w:cs="Times New Roman"/>
          <w:color w:val="auto"/>
          <w:szCs w:val="22"/>
          <w:lang w:val="en-US" w:eastAsia="en-US"/>
        </w:rPr>
        <w:t xml:space="preserve">  </w:t>
      </w:r>
      <w:r w:rsidRPr="00210265">
        <w:rPr>
          <w:rFonts w:eastAsia="Times New Roman" w:cs="Times New Roman"/>
          <w:szCs w:val="22"/>
          <w:lang w:val="en-US" w:eastAsia="en-US"/>
        </w:rPr>
        <w:t xml:space="preserve"> </w:t>
      </w:r>
    </w:p>
    <w:p w14:paraId="570511B0" w14:textId="77777777" w:rsidR="00DA2D2B" w:rsidRPr="00210265" w:rsidRDefault="00DA2D2B" w:rsidP="00DA2D2B">
      <w:pPr>
        <w:keepNext/>
        <w:tabs>
          <w:tab w:val="left" w:pos="2268"/>
        </w:tabs>
        <w:spacing w:line="260" w:lineRule="exact"/>
        <w:ind w:left="2268"/>
        <w:jc w:val="both"/>
        <w:rPr>
          <w:rFonts w:eastAsia="Times New Roman" w:cs="Times New Roman"/>
          <w:szCs w:val="22"/>
          <w:lang w:val="en-US" w:eastAsia="en-US"/>
        </w:rPr>
      </w:pPr>
      <w:r w:rsidRPr="00210265">
        <w:rPr>
          <w:rFonts w:eastAsia="Times New Roman" w:cs="Times New Roman"/>
          <w:szCs w:val="22"/>
          <w:lang w:val="en-US" w:eastAsia="en-US"/>
        </w:rPr>
        <w:t xml:space="preserve">Site Web : </w:t>
      </w:r>
      <w:hyperlink r:id="rId10" w:history="1">
        <w:r w:rsidRPr="000342EE">
          <w:rPr>
            <w:rStyle w:val="Hyperlink"/>
            <w:rFonts w:eastAsia="Times New Roman" w:cs="Times New Roman"/>
            <w:color w:val="auto"/>
            <w:szCs w:val="22"/>
            <w:lang w:val="en-US" w:eastAsia="en-US"/>
          </w:rPr>
          <w:t>http://www.oapi.int/</w:t>
        </w:r>
      </w:hyperlink>
      <w:r w:rsidRPr="00210265">
        <w:rPr>
          <w:rStyle w:val="Hyperlink"/>
          <w:rFonts w:eastAsia="Times New Roman" w:cs="Times New Roman"/>
          <w:color w:val="auto"/>
          <w:szCs w:val="22"/>
          <w:u w:val="none"/>
          <w:lang w:val="en-US" w:eastAsia="en-US"/>
        </w:rPr>
        <w:t xml:space="preserve"> </w:t>
      </w:r>
    </w:p>
    <w:p w14:paraId="78847875" w14:textId="77777777" w:rsidR="00DA2D2B" w:rsidRPr="00210265" w:rsidRDefault="00DA2D2B" w:rsidP="00DA2D2B">
      <w:pPr>
        <w:keepNext/>
        <w:tabs>
          <w:tab w:val="left" w:pos="2268"/>
        </w:tabs>
        <w:spacing w:line="260" w:lineRule="exact"/>
        <w:ind w:left="2268"/>
        <w:jc w:val="both"/>
        <w:rPr>
          <w:rFonts w:eastAsia="Times New Roman" w:cs="Times New Roman"/>
          <w:szCs w:val="22"/>
          <w:lang w:val="en-US" w:eastAsia="en-US"/>
        </w:rPr>
      </w:pPr>
    </w:p>
    <w:p w14:paraId="0D0E1EE9" w14:textId="77777777" w:rsidR="00DA2D2B" w:rsidRPr="003536B2" w:rsidRDefault="00DA2D2B" w:rsidP="00DA2D2B">
      <w:pPr>
        <w:pStyle w:val="ONUMFS"/>
        <w:numPr>
          <w:ilvl w:val="0"/>
          <w:numId w:val="5"/>
        </w:numPr>
      </w:pPr>
      <w:r w:rsidRPr="00774130">
        <w:t>Conformément à la règle 4.3) du règlement d</w:t>
      </w:r>
      <w:r>
        <w:t>’</w:t>
      </w:r>
      <w:r w:rsidRPr="00774130">
        <w:t>exécution commun, l</w:t>
      </w:r>
      <w:r>
        <w:t>’</w:t>
      </w:r>
      <w:r w:rsidRPr="00774130">
        <w:t>administration compétente visée au paragraphe</w:t>
      </w:r>
      <w:r>
        <w:t> 4</w:t>
      </w:r>
      <w:r w:rsidRPr="00774130">
        <w:t xml:space="preserve"> communiquera les informations relatives aux procédures applicables sur son territoire concernant la contestation et l</w:t>
      </w:r>
      <w:r>
        <w:t>’</w:t>
      </w:r>
      <w:r w:rsidRPr="00774130">
        <w:t xml:space="preserve">application des droits sur les </w:t>
      </w:r>
      <w:r w:rsidRPr="00E14AF0">
        <w:t>appellations d’origine et les indications géographiques.  Ces informations seront publiées à l’adresse</w:t>
      </w:r>
      <w:r w:rsidRPr="000342EE">
        <w:rPr>
          <w:u w:val="single"/>
        </w:rPr>
        <w:t xml:space="preserve"> : </w:t>
      </w:r>
      <w:hyperlink r:id="rId11" w:history="1">
        <w:r w:rsidRPr="003536B2">
          <w:rPr>
            <w:rStyle w:val="Hyperlink"/>
            <w:color w:val="auto"/>
          </w:rPr>
          <w:t>https://www.wipo.int/lisbon/fr/applicable_procedures.html</w:t>
        </w:r>
      </w:hyperlink>
      <w:r w:rsidRPr="003536B2">
        <w:t>.</w:t>
      </w:r>
    </w:p>
    <w:p w14:paraId="71C4949A" w14:textId="77777777" w:rsidR="00DA2D2B" w:rsidRDefault="00DA2D2B" w:rsidP="00DA2D2B">
      <w:pPr>
        <w:pStyle w:val="ONUMFS"/>
        <w:numPr>
          <w:ilvl w:val="0"/>
          <w:numId w:val="5"/>
        </w:numPr>
        <w:spacing w:after="840"/>
      </w:pPr>
      <w:r>
        <w:t>L’Acte de Genève</w:t>
      </w:r>
      <w:r w:rsidRPr="00774130">
        <w:t xml:space="preserve"> e</w:t>
      </w:r>
      <w:r>
        <w:t>st entré</w:t>
      </w:r>
      <w:r w:rsidRPr="00774130">
        <w:t xml:space="preserve"> en vigueur </w:t>
      </w:r>
      <w:r>
        <w:t>à l’égard du Sénégal</w:t>
      </w:r>
      <w:r w:rsidRPr="00774130">
        <w:t xml:space="preserve"> </w:t>
      </w:r>
      <w:r>
        <w:t>le 5 décembre</w:t>
      </w:r>
      <w:r w:rsidRPr="00774130">
        <w:t> 20</w:t>
      </w:r>
      <w:r>
        <w:t>23.</w:t>
      </w:r>
      <w:r w:rsidRPr="00B861AD">
        <w:t xml:space="preserve"> </w:t>
      </w:r>
    </w:p>
    <w:bookmarkEnd w:id="1"/>
    <w:p w14:paraId="1D85CE7C" w14:textId="102E4BE6" w:rsidR="00DA2D2B" w:rsidRPr="00774130" w:rsidRDefault="00DA2D2B" w:rsidP="00DA2D2B">
      <w:pPr>
        <w:pStyle w:val="Endofdocument-Annex"/>
        <w:spacing w:before="0"/>
      </w:pPr>
      <w:r>
        <w:t xml:space="preserve">Le </w:t>
      </w:r>
      <w:r>
        <w:t>5</w:t>
      </w:r>
      <w:r w:rsidRPr="00774130">
        <w:t xml:space="preserve"> </w:t>
      </w:r>
      <w:r>
        <w:t>décembre</w:t>
      </w:r>
      <w:r w:rsidRPr="00774130">
        <w:t> 20</w:t>
      </w:r>
      <w:r>
        <w:t>23</w:t>
      </w:r>
    </w:p>
    <w:p w14:paraId="7B402D93" w14:textId="24B93B27" w:rsidR="007D5792" w:rsidRPr="00774130" w:rsidRDefault="007D5792" w:rsidP="00774130">
      <w:pPr>
        <w:pStyle w:val="Endofdocument-Annex"/>
      </w:pPr>
    </w:p>
    <w:sectPr w:rsidR="007D5792" w:rsidRPr="00774130" w:rsidSect="00A46727">
      <w:headerReference w:type="even" r:id="rId12"/>
      <w:headerReference w:type="default" r:id="rId13"/>
      <w:footerReference w:type="even" r:id="rId14"/>
      <w:footerReference w:type="default" r:id="rId15"/>
      <w:headerReference w:type="first" r:id="rId16"/>
      <w:footerReference w:type="first" r:id="rId17"/>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0D7E" w14:textId="77777777" w:rsidR="00064C94" w:rsidRDefault="00064C94">
      <w:r>
        <w:separator/>
      </w:r>
    </w:p>
  </w:endnote>
  <w:endnote w:type="continuationSeparator" w:id="0">
    <w:p w14:paraId="27953747" w14:textId="77777777" w:rsidR="00064C94" w:rsidRDefault="00064C94">
      <w:r>
        <w:separator/>
      </w:r>
    </w:p>
    <w:p w14:paraId="2276648E" w14:textId="77777777" w:rsidR="00064C94" w:rsidRPr="0013458A" w:rsidRDefault="00064C94">
      <w:pPr>
        <w:pStyle w:val="Footer"/>
        <w:spacing w:after="60"/>
        <w:rPr>
          <w:sz w:val="17"/>
          <w:lang w:val="en-US"/>
        </w:rPr>
      </w:pPr>
      <w:r w:rsidRPr="0013458A">
        <w:rPr>
          <w:sz w:val="17"/>
          <w:lang w:val="en-US"/>
        </w:rPr>
        <w:t>[Endnote continued from previous page]</w:t>
      </w:r>
    </w:p>
  </w:endnote>
  <w:endnote w:type="continuationNotice" w:id="1">
    <w:p w14:paraId="15100360" w14:textId="77777777" w:rsidR="00064C94" w:rsidRPr="0013458A" w:rsidRDefault="00064C94">
      <w:pPr>
        <w:spacing w:before="60"/>
        <w:jc w:val="right"/>
        <w:rPr>
          <w:sz w:val="17"/>
          <w:lang w:val="en-US"/>
        </w:rPr>
      </w:pPr>
      <w:r w:rsidRPr="0013458A">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sidRPr="00015C4C">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40EF" w14:textId="77777777" w:rsidR="00064C94" w:rsidRDefault="00064C94">
      <w:r>
        <w:separator/>
      </w:r>
    </w:p>
  </w:footnote>
  <w:footnote w:type="continuationSeparator" w:id="0">
    <w:p w14:paraId="7DA06633" w14:textId="77777777" w:rsidR="00064C94" w:rsidRDefault="00064C94">
      <w:r>
        <w:separator/>
      </w:r>
    </w:p>
    <w:p w14:paraId="0D7DB85B" w14:textId="77777777" w:rsidR="00064C94" w:rsidRPr="0013458A" w:rsidRDefault="00064C94">
      <w:pPr>
        <w:pStyle w:val="Footer"/>
        <w:spacing w:after="60"/>
        <w:rPr>
          <w:sz w:val="17"/>
          <w:lang w:val="en-US"/>
        </w:rPr>
      </w:pPr>
      <w:r w:rsidRPr="0013458A">
        <w:rPr>
          <w:sz w:val="17"/>
          <w:lang w:val="en-US"/>
        </w:rPr>
        <w:t>[Footnote continued from previous page]</w:t>
      </w:r>
    </w:p>
  </w:footnote>
  <w:footnote w:type="continuationNotice" w:id="1">
    <w:p w14:paraId="0D154EAB" w14:textId="77777777" w:rsidR="00064C94" w:rsidRPr="0013458A" w:rsidRDefault="00064C94">
      <w:pPr>
        <w:spacing w:before="60"/>
        <w:jc w:val="right"/>
        <w:rPr>
          <w:sz w:val="17"/>
          <w:lang w:val="en-US"/>
        </w:rPr>
      </w:pPr>
      <w:r w:rsidRPr="0013458A">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6D53" w14:textId="77777777" w:rsidR="000D3864" w:rsidRDefault="005D566A" w:rsidP="005D566A">
    <w:pPr>
      <w:jc w:val="right"/>
      <w:rPr>
        <w:color w:val="000000"/>
        <w:sz w:val="17"/>
      </w:rPr>
    </w:pPr>
    <w:bookmarkStart w:id="5" w:name="TITUS1HeaderEvenPages"/>
    <w:r>
      <w:rPr>
        <w:color w:val="000000"/>
        <w:sz w:val="17"/>
      </w:rPr>
      <w:t xml:space="preserve">  </w:t>
    </w:r>
  </w:p>
  <w:bookmarkEnd w:id="5"/>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rPr>
        <w:noProof/>
      </w:rPr>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rPr>
        <w:noProof/>
      </w:rPr>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64C94"/>
    <w:rsid w:val="00082378"/>
    <w:rsid w:val="000A5742"/>
    <w:rsid w:val="000B6D65"/>
    <w:rsid w:val="000C774D"/>
    <w:rsid w:val="000D3864"/>
    <w:rsid w:val="000D7AA9"/>
    <w:rsid w:val="000E072A"/>
    <w:rsid w:val="000F52A8"/>
    <w:rsid w:val="0010608E"/>
    <w:rsid w:val="00106BAE"/>
    <w:rsid w:val="0013458A"/>
    <w:rsid w:val="00150CF6"/>
    <w:rsid w:val="001600E5"/>
    <w:rsid w:val="0018309D"/>
    <w:rsid w:val="00191E44"/>
    <w:rsid w:val="001920D6"/>
    <w:rsid w:val="00197C7C"/>
    <w:rsid w:val="001A2E00"/>
    <w:rsid w:val="001B1DDA"/>
    <w:rsid w:val="001B534E"/>
    <w:rsid w:val="001B69E2"/>
    <w:rsid w:val="001C2975"/>
    <w:rsid w:val="001C7175"/>
    <w:rsid w:val="001E4857"/>
    <w:rsid w:val="001E5D18"/>
    <w:rsid w:val="001E647B"/>
    <w:rsid w:val="001F2C47"/>
    <w:rsid w:val="001F5A8E"/>
    <w:rsid w:val="00200976"/>
    <w:rsid w:val="00212F6B"/>
    <w:rsid w:val="00230DF4"/>
    <w:rsid w:val="00237A67"/>
    <w:rsid w:val="002542C1"/>
    <w:rsid w:val="00261D19"/>
    <w:rsid w:val="00264E42"/>
    <w:rsid w:val="002705C5"/>
    <w:rsid w:val="00275EA3"/>
    <w:rsid w:val="00291C02"/>
    <w:rsid w:val="0029704F"/>
    <w:rsid w:val="002A012E"/>
    <w:rsid w:val="002C69D9"/>
    <w:rsid w:val="002D6809"/>
    <w:rsid w:val="002D7E00"/>
    <w:rsid w:val="002E1745"/>
    <w:rsid w:val="002E48C8"/>
    <w:rsid w:val="002E5E82"/>
    <w:rsid w:val="00305A8F"/>
    <w:rsid w:val="00316F7A"/>
    <w:rsid w:val="00321300"/>
    <w:rsid w:val="0032621F"/>
    <w:rsid w:val="00343428"/>
    <w:rsid w:val="00345F13"/>
    <w:rsid w:val="003500BE"/>
    <w:rsid w:val="003555F4"/>
    <w:rsid w:val="003573D8"/>
    <w:rsid w:val="00361F8F"/>
    <w:rsid w:val="00377D89"/>
    <w:rsid w:val="00381D52"/>
    <w:rsid w:val="00384AB6"/>
    <w:rsid w:val="0038753D"/>
    <w:rsid w:val="003A032E"/>
    <w:rsid w:val="003A1368"/>
    <w:rsid w:val="003A4806"/>
    <w:rsid w:val="003A4DB2"/>
    <w:rsid w:val="003B2C0D"/>
    <w:rsid w:val="003B4808"/>
    <w:rsid w:val="003C4B01"/>
    <w:rsid w:val="003C75F2"/>
    <w:rsid w:val="003D0289"/>
    <w:rsid w:val="003D13C7"/>
    <w:rsid w:val="003D341E"/>
    <w:rsid w:val="003E4FB2"/>
    <w:rsid w:val="003F15E8"/>
    <w:rsid w:val="003F2264"/>
    <w:rsid w:val="003F2BCD"/>
    <w:rsid w:val="003F4553"/>
    <w:rsid w:val="003F73CD"/>
    <w:rsid w:val="0040765D"/>
    <w:rsid w:val="00424BEF"/>
    <w:rsid w:val="00436D9C"/>
    <w:rsid w:val="00436E71"/>
    <w:rsid w:val="00444D9B"/>
    <w:rsid w:val="00455C9D"/>
    <w:rsid w:val="00457669"/>
    <w:rsid w:val="004760B4"/>
    <w:rsid w:val="00481003"/>
    <w:rsid w:val="00487125"/>
    <w:rsid w:val="004C4F53"/>
    <w:rsid w:val="004D040D"/>
    <w:rsid w:val="004D38FC"/>
    <w:rsid w:val="004D579C"/>
    <w:rsid w:val="004D74A2"/>
    <w:rsid w:val="004F4110"/>
    <w:rsid w:val="004F5DAB"/>
    <w:rsid w:val="005029BB"/>
    <w:rsid w:val="00517500"/>
    <w:rsid w:val="00531395"/>
    <w:rsid w:val="0055139C"/>
    <w:rsid w:val="005712E6"/>
    <w:rsid w:val="00594394"/>
    <w:rsid w:val="005A739A"/>
    <w:rsid w:val="005B3167"/>
    <w:rsid w:val="005B4881"/>
    <w:rsid w:val="005B5CBA"/>
    <w:rsid w:val="005C050E"/>
    <w:rsid w:val="005C2889"/>
    <w:rsid w:val="005C6E31"/>
    <w:rsid w:val="005D566A"/>
    <w:rsid w:val="005E0C9B"/>
    <w:rsid w:val="005E3BC1"/>
    <w:rsid w:val="005E647E"/>
    <w:rsid w:val="00602E39"/>
    <w:rsid w:val="00606B9A"/>
    <w:rsid w:val="00613976"/>
    <w:rsid w:val="006210A3"/>
    <w:rsid w:val="00641EDA"/>
    <w:rsid w:val="00646A36"/>
    <w:rsid w:val="00663C08"/>
    <w:rsid w:val="00665CEB"/>
    <w:rsid w:val="00671957"/>
    <w:rsid w:val="006776ED"/>
    <w:rsid w:val="00683DEF"/>
    <w:rsid w:val="00692810"/>
    <w:rsid w:val="0069384C"/>
    <w:rsid w:val="00694945"/>
    <w:rsid w:val="006A731A"/>
    <w:rsid w:val="006B10E1"/>
    <w:rsid w:val="006B1C22"/>
    <w:rsid w:val="006C2BE9"/>
    <w:rsid w:val="006D0A46"/>
    <w:rsid w:val="006D384F"/>
    <w:rsid w:val="006D7C44"/>
    <w:rsid w:val="006E1406"/>
    <w:rsid w:val="006E734B"/>
    <w:rsid w:val="00702198"/>
    <w:rsid w:val="00702FCB"/>
    <w:rsid w:val="007161AF"/>
    <w:rsid w:val="0072286E"/>
    <w:rsid w:val="0072508E"/>
    <w:rsid w:val="00730F6A"/>
    <w:rsid w:val="007650B4"/>
    <w:rsid w:val="00765841"/>
    <w:rsid w:val="00774130"/>
    <w:rsid w:val="007921E8"/>
    <w:rsid w:val="007C0638"/>
    <w:rsid w:val="007D3C4E"/>
    <w:rsid w:val="007D47E6"/>
    <w:rsid w:val="007D5792"/>
    <w:rsid w:val="007D6437"/>
    <w:rsid w:val="007F0A7A"/>
    <w:rsid w:val="007F5046"/>
    <w:rsid w:val="00800A9B"/>
    <w:rsid w:val="008116BA"/>
    <w:rsid w:val="00831A26"/>
    <w:rsid w:val="0083486C"/>
    <w:rsid w:val="00842AB1"/>
    <w:rsid w:val="0084410A"/>
    <w:rsid w:val="0085328B"/>
    <w:rsid w:val="00856B5E"/>
    <w:rsid w:val="0086291A"/>
    <w:rsid w:val="00871A37"/>
    <w:rsid w:val="00885998"/>
    <w:rsid w:val="00886D3A"/>
    <w:rsid w:val="00887990"/>
    <w:rsid w:val="00891F02"/>
    <w:rsid w:val="00893B56"/>
    <w:rsid w:val="008A42FA"/>
    <w:rsid w:val="008C2F64"/>
    <w:rsid w:val="008D6245"/>
    <w:rsid w:val="008E183B"/>
    <w:rsid w:val="008F33F5"/>
    <w:rsid w:val="008F55E4"/>
    <w:rsid w:val="009046C6"/>
    <w:rsid w:val="00914C51"/>
    <w:rsid w:val="00915416"/>
    <w:rsid w:val="00916252"/>
    <w:rsid w:val="00922A50"/>
    <w:rsid w:val="009337CE"/>
    <w:rsid w:val="00953EDB"/>
    <w:rsid w:val="009646FA"/>
    <w:rsid w:val="0097265A"/>
    <w:rsid w:val="009958B7"/>
    <w:rsid w:val="009A3CD4"/>
    <w:rsid w:val="009A4966"/>
    <w:rsid w:val="009A6B40"/>
    <w:rsid w:val="009C024E"/>
    <w:rsid w:val="009C13E0"/>
    <w:rsid w:val="009C2AD1"/>
    <w:rsid w:val="009D2534"/>
    <w:rsid w:val="009D3DF8"/>
    <w:rsid w:val="009E0489"/>
    <w:rsid w:val="009E185D"/>
    <w:rsid w:val="009E3338"/>
    <w:rsid w:val="00A05F1E"/>
    <w:rsid w:val="00A0608E"/>
    <w:rsid w:val="00A200E5"/>
    <w:rsid w:val="00A441DB"/>
    <w:rsid w:val="00A46727"/>
    <w:rsid w:val="00A5573D"/>
    <w:rsid w:val="00A6014D"/>
    <w:rsid w:val="00A61211"/>
    <w:rsid w:val="00A63F09"/>
    <w:rsid w:val="00A72B6D"/>
    <w:rsid w:val="00A746A0"/>
    <w:rsid w:val="00A82614"/>
    <w:rsid w:val="00AC68C3"/>
    <w:rsid w:val="00AC6D89"/>
    <w:rsid w:val="00AD03FA"/>
    <w:rsid w:val="00AD34E9"/>
    <w:rsid w:val="00B00F73"/>
    <w:rsid w:val="00B02F2E"/>
    <w:rsid w:val="00B05311"/>
    <w:rsid w:val="00B06A0C"/>
    <w:rsid w:val="00B14807"/>
    <w:rsid w:val="00B246BF"/>
    <w:rsid w:val="00B25CDF"/>
    <w:rsid w:val="00B702C1"/>
    <w:rsid w:val="00B833E5"/>
    <w:rsid w:val="00B85527"/>
    <w:rsid w:val="00B94745"/>
    <w:rsid w:val="00BA0C38"/>
    <w:rsid w:val="00BB1EDC"/>
    <w:rsid w:val="00BB68A2"/>
    <w:rsid w:val="00BB750D"/>
    <w:rsid w:val="00BC34F6"/>
    <w:rsid w:val="00BC544A"/>
    <w:rsid w:val="00BD1AE0"/>
    <w:rsid w:val="00BE7D73"/>
    <w:rsid w:val="00BF5D1B"/>
    <w:rsid w:val="00BF7D2A"/>
    <w:rsid w:val="00C37291"/>
    <w:rsid w:val="00C5396E"/>
    <w:rsid w:val="00C61213"/>
    <w:rsid w:val="00C7431C"/>
    <w:rsid w:val="00C74AC2"/>
    <w:rsid w:val="00CA3902"/>
    <w:rsid w:val="00CC479A"/>
    <w:rsid w:val="00CD3C70"/>
    <w:rsid w:val="00CE4F7F"/>
    <w:rsid w:val="00D06BE2"/>
    <w:rsid w:val="00D07D28"/>
    <w:rsid w:val="00D21A15"/>
    <w:rsid w:val="00D55F36"/>
    <w:rsid w:val="00D61292"/>
    <w:rsid w:val="00D61452"/>
    <w:rsid w:val="00D645E5"/>
    <w:rsid w:val="00D91EF7"/>
    <w:rsid w:val="00DA2D2B"/>
    <w:rsid w:val="00DB0343"/>
    <w:rsid w:val="00DC5733"/>
    <w:rsid w:val="00DE5C8D"/>
    <w:rsid w:val="00E02550"/>
    <w:rsid w:val="00E11C88"/>
    <w:rsid w:val="00E17632"/>
    <w:rsid w:val="00E37455"/>
    <w:rsid w:val="00E4161C"/>
    <w:rsid w:val="00E4497F"/>
    <w:rsid w:val="00E47591"/>
    <w:rsid w:val="00E54EFB"/>
    <w:rsid w:val="00E77AA5"/>
    <w:rsid w:val="00E8230D"/>
    <w:rsid w:val="00E92BEC"/>
    <w:rsid w:val="00E950BD"/>
    <w:rsid w:val="00EA01D2"/>
    <w:rsid w:val="00EB3E9F"/>
    <w:rsid w:val="00EC39FE"/>
    <w:rsid w:val="00EE2556"/>
    <w:rsid w:val="00EE4D0F"/>
    <w:rsid w:val="00EE7293"/>
    <w:rsid w:val="00EF43B9"/>
    <w:rsid w:val="00F000AF"/>
    <w:rsid w:val="00F025C8"/>
    <w:rsid w:val="00F02659"/>
    <w:rsid w:val="00F15381"/>
    <w:rsid w:val="00F2087A"/>
    <w:rsid w:val="00F21C00"/>
    <w:rsid w:val="00F25ED6"/>
    <w:rsid w:val="00F275C6"/>
    <w:rsid w:val="00F322C9"/>
    <w:rsid w:val="00F534D4"/>
    <w:rsid w:val="00F648DE"/>
    <w:rsid w:val="00F76C94"/>
    <w:rsid w:val="00F770E2"/>
    <w:rsid w:val="00FA272A"/>
    <w:rsid w:val="00FB46BF"/>
    <w:rsid w:val="00FB4F2F"/>
    <w:rsid w:val="00FB6740"/>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val="fr-FR" w:eastAsia="zh-CN"/>
    </w:rPr>
  </w:style>
  <w:style w:type="paragraph" w:styleId="Heading1">
    <w:name w:val="heading 1"/>
    <w:basedOn w:val="Normal"/>
    <w:next w:val="Normal"/>
    <w:autoRedefine/>
    <w:qFormat/>
    <w:rsid w:val="00FB46BF"/>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fr-FR"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fr-FR"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rPr>
      <w:lang w:val="fr-CH"/>
    </w:r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fr-FR"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fr-FR"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fr-FR"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645E5"/>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fr/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api.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api@oapi.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3340</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3853</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2</cp:revision>
  <cp:lastPrinted>2023-02-24T09:09:00Z</cp:lastPrinted>
  <dcterms:created xsi:type="dcterms:W3CDTF">2023-12-06T15:45:00Z</dcterms:created>
  <dcterms:modified xsi:type="dcterms:W3CDTF">2023-12-06T15:45:00Z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