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94A5" w14:textId="500FE794" w:rsidR="00A62416" w:rsidRPr="00F165A4" w:rsidRDefault="00A62416" w:rsidP="00A62416">
      <w:pPr>
        <w:pStyle w:val="Header"/>
        <w:jc w:val="right"/>
        <w:rPr>
          <w:szCs w:val="22"/>
        </w:rPr>
      </w:pPr>
      <w:r>
        <w:t>IPC/CE/55/2</w:t>
      </w:r>
    </w:p>
    <w:p w14:paraId="7CDC2C3E" w14:textId="77777777" w:rsidR="00A62416" w:rsidRPr="00F165A4" w:rsidRDefault="00A62416" w:rsidP="00954B42">
      <w:pPr>
        <w:pStyle w:val="Header"/>
        <w:spacing w:after="480"/>
        <w:jc w:val="right"/>
        <w:rPr>
          <w:szCs w:val="22"/>
        </w:rPr>
      </w:pPr>
      <w:r>
        <w:t>ANNEXE II</w:t>
      </w:r>
    </w:p>
    <w:p w14:paraId="6AF690B8" w14:textId="704C399F" w:rsidR="001022B2" w:rsidRPr="00954B42" w:rsidRDefault="00A62416" w:rsidP="00954B42">
      <w:pPr>
        <w:pStyle w:val="Heading1"/>
        <w:spacing w:after="480"/>
      </w:pPr>
      <w:r>
        <w:t>Ordre du jour</w:t>
      </w:r>
    </w:p>
    <w:p w14:paraId="101AD869" w14:textId="77777777" w:rsidR="001022B2" w:rsidRPr="00E323F8" w:rsidRDefault="001022B2" w:rsidP="00F704FD">
      <w:pPr>
        <w:pStyle w:val="ONUMFS"/>
      </w:pPr>
      <w:r>
        <w:t>Ouverture de la session</w:t>
      </w:r>
    </w:p>
    <w:p w14:paraId="2CC7B9D6" w14:textId="5698A3A2" w:rsidR="00B66ECF" w:rsidRDefault="001022B2" w:rsidP="00F704FD">
      <w:pPr>
        <w:pStyle w:val="ONUMFS"/>
      </w:pPr>
      <w:r>
        <w:t>Élection d</w:t>
      </w:r>
      <w:r w:rsidR="00B66ECF">
        <w:t>’</w:t>
      </w:r>
      <w:r>
        <w:t>un président et de deux</w:t>
      </w:r>
      <w:r w:rsidR="00502811">
        <w:t> </w:t>
      </w:r>
      <w:r>
        <w:t>vice</w:t>
      </w:r>
      <w:r w:rsidR="00126FE7">
        <w:noBreakHyphen/>
      </w:r>
      <w:r>
        <w:t>présidents</w:t>
      </w:r>
    </w:p>
    <w:p w14:paraId="136298D5" w14:textId="45AFB1AE" w:rsidR="00F704FD" w:rsidRDefault="006E4238" w:rsidP="00F704FD">
      <w:pPr>
        <w:pStyle w:val="ONUMFS"/>
        <w:tabs>
          <w:tab w:val="clear" w:pos="567"/>
        </w:tabs>
        <w:ind w:left="567" w:hanging="567"/>
        <w:contextualSpacing/>
      </w:pPr>
      <w:r>
        <w:t>Rapport sur la vingt</w:t>
      </w:r>
      <w:r w:rsidR="00126FE7">
        <w:noBreakHyphen/>
      </w:r>
      <w:r>
        <w:t>six</w:t>
      </w:r>
      <w:r w:rsidR="00B66ECF">
        <w:t>ième session</w:t>
      </w:r>
      <w:r>
        <w:t xml:space="preserve"> du Groupe de travail (WG1) de l</w:t>
      </w:r>
      <w:r w:rsidR="00B66ECF">
        <w:t>’</w:t>
      </w:r>
      <w:r>
        <w:t>IP5 sur la</w:t>
      </w:r>
      <w:r w:rsidR="00954B42">
        <w:t xml:space="preserve"> </w:t>
      </w:r>
      <w:r>
        <w:t>classification</w:t>
      </w:r>
    </w:p>
    <w:p w14:paraId="742F07BD" w14:textId="42492238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>Rapport verbal présenté par l</w:t>
      </w:r>
      <w:r w:rsidR="00B66ECF">
        <w:t>’</w:t>
      </w:r>
      <w:r>
        <w:t>USPTO au nom des offices de l</w:t>
      </w:r>
      <w:r w:rsidR="00B66ECF">
        <w:t>’</w:t>
      </w:r>
      <w:r>
        <w:t>IP5.</w:t>
      </w:r>
    </w:p>
    <w:p w14:paraId="74F79086" w14:textId="62D81773" w:rsidR="00954B42" w:rsidRDefault="006E4238" w:rsidP="00F704FD">
      <w:pPr>
        <w:pStyle w:val="ONUMFS"/>
        <w:contextualSpacing/>
      </w:pPr>
      <w:r>
        <w:t>Rapport sur l</w:t>
      </w:r>
      <w:r w:rsidR="00B66ECF">
        <w:t>’</w:t>
      </w:r>
      <w:r>
        <w:t>état d</w:t>
      </w:r>
      <w:r w:rsidR="00B66ECF">
        <w:t>’</w:t>
      </w:r>
      <w:r>
        <w:t>avancement du programme de révision de la CIB</w:t>
      </w:r>
    </w:p>
    <w:p w14:paraId="4B48D0AD" w14:textId="6F8FA69C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>Voir le projet </w:t>
      </w:r>
      <w:hyperlink r:id="rId8" w:history="1">
        <w:r>
          <w:rPr>
            <w:rStyle w:val="Hyperlink"/>
          </w:rPr>
          <w:t>CE 462</w:t>
        </w:r>
      </w:hyperlink>
      <w:r>
        <w:t>.</w:t>
      </w:r>
    </w:p>
    <w:p w14:paraId="77DA75E5" w14:textId="3A815C16" w:rsidR="00954B42" w:rsidRDefault="006E4238" w:rsidP="00F704FD">
      <w:pPr>
        <w:pStyle w:val="ONUMFS"/>
        <w:contextualSpacing/>
      </w:pPr>
      <w:r>
        <w:t>Rapport du Groupe d</w:t>
      </w:r>
      <w:r w:rsidR="00B66ECF">
        <w:t>’</w:t>
      </w:r>
      <w:r>
        <w:t>experts sur la technologie des semi</w:t>
      </w:r>
      <w:r w:rsidR="00126FE7">
        <w:noBreakHyphen/>
      </w:r>
      <w:r>
        <w:t>conducteurs</w:t>
      </w:r>
    </w:p>
    <w:p w14:paraId="437A4FCB" w14:textId="50E4E2B7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 xml:space="preserve">Voir le projet </w:t>
      </w:r>
      <w:hyperlink r:id="rId9" w:history="1">
        <w:r>
          <w:rPr>
            <w:rStyle w:val="Hyperlink"/>
          </w:rPr>
          <w:t>CE 481</w:t>
        </w:r>
      </w:hyperlink>
      <w:r>
        <w:t>.</w:t>
      </w:r>
    </w:p>
    <w:p w14:paraId="1E335759" w14:textId="622EC1C6" w:rsidR="00954B42" w:rsidRDefault="006E4238" w:rsidP="00F704FD">
      <w:pPr>
        <w:pStyle w:val="ONUMFS"/>
        <w:contextualSpacing/>
      </w:pPr>
      <w:r>
        <w:t>Rapport sur l</w:t>
      </w:r>
      <w:r w:rsidR="00B66ECF">
        <w:t>’</w:t>
      </w:r>
      <w:r>
        <w:t>état d</w:t>
      </w:r>
      <w:r w:rsidR="00B66ECF">
        <w:t>’</w:t>
      </w:r>
      <w:r>
        <w:t>avancement des programmes de révision de la CPC et de la FI</w:t>
      </w:r>
    </w:p>
    <w:p w14:paraId="4653FB82" w14:textId="2179EF84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>Rapports de l</w:t>
      </w:r>
      <w:r w:rsidR="00B66ECF">
        <w:t>’</w:t>
      </w:r>
      <w:r>
        <w:t>OEB et de l</w:t>
      </w:r>
      <w:r w:rsidR="00B66ECF">
        <w:t>’</w:t>
      </w:r>
      <w:r>
        <w:t>USPTO sur la CPC et du JPO sur la FI.</w:t>
      </w:r>
    </w:p>
    <w:p w14:paraId="4A9DC6A4" w14:textId="16926915" w:rsidR="00954B42" w:rsidRDefault="006E4238" w:rsidP="00B66ECF">
      <w:pPr>
        <w:pStyle w:val="ONUMFS"/>
        <w:tabs>
          <w:tab w:val="clear" w:pos="567"/>
        </w:tabs>
        <w:ind w:left="567" w:hanging="567"/>
        <w:contextualSpacing/>
      </w:pPr>
      <w:r>
        <w:t>Modifications à apporter au Guide d</w:t>
      </w:r>
      <w:r w:rsidR="00B66ECF">
        <w:t>’</w:t>
      </w:r>
      <w:r>
        <w:t>utilisation de</w:t>
      </w:r>
      <w:r w:rsidR="00B66ECF">
        <w:t xml:space="preserve"> la CIB</w:t>
      </w:r>
      <w:r>
        <w:t xml:space="preserve"> et aux autres documents de base</w:t>
      </w:r>
      <w:r w:rsidR="00954B42">
        <w:t xml:space="preserve"> </w:t>
      </w:r>
      <w:r>
        <w:t>de</w:t>
      </w:r>
      <w:r w:rsidR="00B66ECF">
        <w:t xml:space="preserve"> la CIB</w:t>
      </w:r>
    </w:p>
    <w:p w14:paraId="1EE47F1F" w14:textId="67949826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10" w:history="1">
        <w:r>
          <w:rPr>
            <w:rStyle w:val="Hyperlink"/>
          </w:rPr>
          <w:t>CE 454</w:t>
        </w:r>
      </w:hyperlink>
      <w:r>
        <w:t xml:space="preserve"> et </w:t>
      </w:r>
      <w:hyperlink r:id="rId11" w:history="1">
        <w:r>
          <w:rPr>
            <w:rStyle w:val="Hyperlink"/>
          </w:rPr>
          <w:t>CE 455</w:t>
        </w:r>
      </w:hyperlink>
      <w:r>
        <w:t>.</w:t>
      </w:r>
    </w:p>
    <w:p w14:paraId="3EED9A62" w14:textId="4FD6C666" w:rsidR="006E4238" w:rsidRPr="0064055A" w:rsidRDefault="006E4238" w:rsidP="00F704FD">
      <w:pPr>
        <w:pStyle w:val="ONUMFS"/>
        <w:tabs>
          <w:tab w:val="clear" w:pos="567"/>
        </w:tabs>
        <w:ind w:left="567" w:hanging="567"/>
        <w:contextualSpacing/>
      </w:pPr>
      <w:r>
        <w:t>Intégration de nouvelles technologies émergentes dans les secteurs proposés de la Feuille de route pour la révision de la CIB</w:t>
      </w:r>
    </w:p>
    <w:p w14:paraId="3C487E70" w14:textId="77777777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 xml:space="preserve">Voir le projet </w:t>
      </w:r>
      <w:hyperlink r:id="rId12" w:history="1">
        <w:r>
          <w:rPr>
            <w:rStyle w:val="Hyperlink"/>
          </w:rPr>
          <w:t>CE 559</w:t>
        </w:r>
      </w:hyperlink>
      <w:r>
        <w:t>.</w:t>
      </w:r>
    </w:p>
    <w:p w14:paraId="15CA55C7" w14:textId="4D7729C5" w:rsidR="00954B42" w:rsidRDefault="006E4238" w:rsidP="00F704FD">
      <w:pPr>
        <w:pStyle w:val="ONUMFS"/>
        <w:tabs>
          <w:tab w:val="clear" w:pos="567"/>
        </w:tabs>
        <w:ind w:left="567" w:hanging="567"/>
        <w:contextualSpacing/>
      </w:pPr>
      <w:r>
        <w:t>Nécessité d</w:t>
      </w:r>
      <w:r w:rsidR="00B66ECF">
        <w:t>’</w:t>
      </w:r>
      <w:r>
        <w:t>un nouveau type de schéma d</w:t>
      </w:r>
      <w:r w:rsidR="00B66ECF">
        <w:t>’</w:t>
      </w:r>
      <w:r>
        <w:t>indexation ou de balisage universel couvrant les technologies transversales</w:t>
      </w:r>
    </w:p>
    <w:p w14:paraId="44276A8D" w14:textId="4DFA48DE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>Voir le projet </w:t>
      </w:r>
      <w:hyperlink r:id="rId13" w:history="1">
        <w:r>
          <w:rPr>
            <w:rStyle w:val="Hyperlink"/>
          </w:rPr>
          <w:t>CE 502</w:t>
        </w:r>
      </w:hyperlink>
      <w:r>
        <w:t>.</w:t>
      </w:r>
    </w:p>
    <w:p w14:paraId="4E54B0CC" w14:textId="2874842D" w:rsidR="00954B42" w:rsidRDefault="006E4238" w:rsidP="00F704FD">
      <w:pPr>
        <w:pStyle w:val="ONUMFS"/>
        <w:tabs>
          <w:tab w:val="clear" w:pos="567"/>
        </w:tabs>
        <w:ind w:left="567" w:hanging="567"/>
        <w:contextualSpacing/>
      </w:pPr>
      <w:r>
        <w:t>Reclassement de la CIB fondé sur l</w:t>
      </w:r>
      <w:r w:rsidR="00B66ECF">
        <w:t>’</w:t>
      </w:r>
      <w:r>
        <w:t>intelligence artificielle – un remplacement potentiel du “transfert par défaut”</w:t>
      </w:r>
    </w:p>
    <w:p w14:paraId="372F7139" w14:textId="28B54CEC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>Voir le projet </w:t>
      </w:r>
      <w:hyperlink r:id="rId14" w:history="1">
        <w:r>
          <w:rPr>
            <w:rStyle w:val="Hyperlink"/>
          </w:rPr>
          <w:t>CE 532</w:t>
        </w:r>
      </w:hyperlink>
      <w:r>
        <w:t>.</w:t>
      </w:r>
    </w:p>
    <w:p w14:paraId="2F898C35" w14:textId="77777777" w:rsidR="00954B42" w:rsidRDefault="006E4238" w:rsidP="00F704FD">
      <w:pPr>
        <w:pStyle w:val="ONUMFS"/>
        <w:contextualSpacing/>
      </w:pPr>
      <w:r>
        <w:t>Autres questions</w:t>
      </w:r>
    </w:p>
    <w:p w14:paraId="321774EB" w14:textId="75E6BA64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>Voir le projet </w:t>
      </w:r>
      <w:hyperlink r:id="rId15" w:history="1">
        <w:r>
          <w:rPr>
            <w:rStyle w:val="Hyperlink"/>
          </w:rPr>
          <w:t>CE 559</w:t>
        </w:r>
      </w:hyperlink>
      <w:r>
        <w:t>.</w:t>
      </w:r>
    </w:p>
    <w:p w14:paraId="5BE273A9" w14:textId="1FEC2462" w:rsidR="00954B42" w:rsidRDefault="006E4238" w:rsidP="00F704FD">
      <w:pPr>
        <w:pStyle w:val="ONUMFS"/>
        <w:contextualSpacing/>
      </w:pPr>
      <w:r>
        <w:t>Rapport sur les systèmes informatiques liés à</w:t>
      </w:r>
      <w:r w:rsidR="00B66ECF">
        <w:t xml:space="preserve"> la CIB</w:t>
      </w:r>
    </w:p>
    <w:p w14:paraId="48ED33B6" w14:textId="3953B8B9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 xml:space="preserve">Exposé du Bureau international et voir le projet </w:t>
      </w:r>
      <w:hyperlink r:id="rId16" w:history="1">
        <w:r>
          <w:rPr>
            <w:rStyle w:val="Hyperlink"/>
          </w:rPr>
          <w:t>CE 501</w:t>
        </w:r>
      </w:hyperlink>
      <w:r>
        <w:t>.</w:t>
      </w:r>
    </w:p>
    <w:p w14:paraId="16C7D483" w14:textId="1CB7F5E0" w:rsidR="00F704FD" w:rsidRDefault="006E4238" w:rsidP="00F704FD">
      <w:pPr>
        <w:pStyle w:val="ONUMFS"/>
        <w:tabs>
          <w:tab w:val="clear" w:pos="567"/>
        </w:tabs>
        <w:ind w:left="567" w:hanging="567"/>
        <w:contextualSpacing/>
      </w:pPr>
      <w:r>
        <w:t>Expérience des offices en matière de classement assisté par ordinateur (par exemple, fondé sur l</w:t>
      </w:r>
      <w:r w:rsidR="00B66ECF">
        <w:t>’</w:t>
      </w:r>
      <w:r>
        <w:t>intelligence artificielle)</w:t>
      </w:r>
    </w:p>
    <w:p w14:paraId="4EE5ACE0" w14:textId="08FAC0EC" w:rsidR="006E4238" w:rsidRPr="0064055A" w:rsidRDefault="006E4238" w:rsidP="00F704FD">
      <w:pPr>
        <w:pStyle w:val="ONUMFS"/>
        <w:numPr>
          <w:ilvl w:val="0"/>
          <w:numId w:val="0"/>
        </w:numPr>
        <w:ind w:left="1134"/>
      </w:pPr>
      <w:r>
        <w:t xml:space="preserve">Exposés des offices et voir le projet </w:t>
      </w:r>
      <w:hyperlink r:id="rId17" w:history="1">
        <w:r>
          <w:rPr>
            <w:rStyle w:val="Hyperlink"/>
          </w:rPr>
          <w:t>CE 524</w:t>
        </w:r>
      </w:hyperlink>
      <w:r>
        <w:t>.</w:t>
      </w:r>
    </w:p>
    <w:p w14:paraId="14ABCC81" w14:textId="7FC954D9" w:rsidR="0031733B" w:rsidRDefault="0031733B" w:rsidP="00F704FD">
      <w:pPr>
        <w:pStyle w:val="ONUMFS"/>
        <w:tabs>
          <w:tab w:val="clear" w:pos="567"/>
        </w:tabs>
        <w:ind w:left="567" w:hanging="567"/>
      </w:pPr>
      <w:r>
        <w:t>Prochaine session du comité d</w:t>
      </w:r>
      <w:r w:rsidR="00B66ECF">
        <w:t>’</w:t>
      </w:r>
      <w:r>
        <w:t>experts</w:t>
      </w:r>
    </w:p>
    <w:p w14:paraId="1DD12F6E" w14:textId="08EDB95D" w:rsidR="0031733B" w:rsidRDefault="0031733B" w:rsidP="00F704FD">
      <w:pPr>
        <w:pStyle w:val="ONUMFS"/>
        <w:tabs>
          <w:tab w:val="clear" w:pos="567"/>
        </w:tabs>
        <w:ind w:left="567" w:hanging="567"/>
      </w:pPr>
      <w:r>
        <w:t>Clôture de la session</w:t>
      </w:r>
    </w:p>
    <w:p w14:paraId="71F62786" w14:textId="57D49BCA" w:rsidR="00B65D5B" w:rsidRDefault="00B65D5B" w:rsidP="00F704FD">
      <w:pPr>
        <w:pStyle w:val="ONUMFS"/>
        <w:tabs>
          <w:tab w:val="clear" w:pos="567"/>
        </w:tabs>
        <w:ind w:left="567" w:hanging="567"/>
      </w:pPr>
      <w:r>
        <w:t>Adoption du rapport</w:t>
      </w:r>
    </w:p>
    <w:p w14:paraId="7D155C22" w14:textId="5F35FDFB" w:rsidR="003B04DF" w:rsidRPr="003B04DF" w:rsidRDefault="0031733B" w:rsidP="00954B42">
      <w:pPr>
        <w:pStyle w:val="Endofdocument-Annex"/>
        <w:spacing w:before="720" w:after="240"/>
      </w:pPr>
      <w:r>
        <w:t>[Fin de l</w:t>
      </w:r>
      <w:r w:rsidR="00B66ECF">
        <w:t>’</w:t>
      </w:r>
      <w:r>
        <w:t>annexe II et du document]</w:t>
      </w:r>
    </w:p>
    <w:sectPr w:rsidR="003B04DF" w:rsidRPr="003B04DF" w:rsidSect="00E773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B1AC" w14:textId="77777777" w:rsidR="001E0488" w:rsidRDefault="001E0488">
      <w:r>
        <w:separator/>
      </w:r>
    </w:p>
  </w:endnote>
  <w:endnote w:type="continuationSeparator" w:id="0">
    <w:p w14:paraId="791501AD" w14:textId="77777777" w:rsidR="001E0488" w:rsidRDefault="001E0488" w:rsidP="003B38C1">
      <w:r>
        <w:separator/>
      </w:r>
    </w:p>
    <w:p w14:paraId="35EE3DD6" w14:textId="77777777" w:rsidR="001E0488" w:rsidRPr="00954B42" w:rsidRDefault="001E0488" w:rsidP="003B38C1">
      <w:pPr>
        <w:spacing w:after="60"/>
        <w:rPr>
          <w:sz w:val="17"/>
          <w:lang w:val="en-US"/>
        </w:rPr>
      </w:pPr>
      <w:r w:rsidRPr="00954B42">
        <w:rPr>
          <w:sz w:val="17"/>
          <w:lang w:val="en-US"/>
        </w:rPr>
        <w:t>[Endnote continued from previous page]</w:t>
      </w:r>
    </w:p>
  </w:endnote>
  <w:endnote w:type="continuationNotice" w:id="1">
    <w:p w14:paraId="6475DDE7" w14:textId="77777777" w:rsidR="001E0488" w:rsidRPr="00954B42" w:rsidRDefault="001E0488" w:rsidP="003B38C1">
      <w:pPr>
        <w:spacing w:before="60"/>
        <w:jc w:val="right"/>
        <w:rPr>
          <w:sz w:val="17"/>
          <w:szCs w:val="17"/>
          <w:lang w:val="en-US"/>
        </w:rPr>
      </w:pPr>
      <w:r w:rsidRPr="00954B42">
        <w:rPr>
          <w:sz w:val="17"/>
          <w:szCs w:val="17"/>
          <w:lang w:val="en-US"/>
        </w:rPr>
        <w:t xml:space="preserve">[Endnote </w:t>
      </w:r>
      <w:proofErr w:type="gramStart"/>
      <w:r w:rsidRPr="00954B42">
        <w:rPr>
          <w:sz w:val="17"/>
          <w:szCs w:val="17"/>
          <w:lang w:val="en-US"/>
        </w:rPr>
        <w:t>continued on</w:t>
      </w:r>
      <w:proofErr w:type="gramEnd"/>
      <w:r w:rsidRPr="00954B42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ECCA" w14:textId="77777777" w:rsidR="00B65D5B" w:rsidRDefault="00B65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ED81" w14:textId="77777777" w:rsidR="00B65D5B" w:rsidRDefault="00B65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242A" w14:textId="77777777" w:rsidR="00B65D5B" w:rsidRDefault="00B65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8800" w14:textId="77777777" w:rsidR="001E0488" w:rsidRDefault="001E0488">
      <w:r>
        <w:separator/>
      </w:r>
    </w:p>
  </w:footnote>
  <w:footnote w:type="continuationSeparator" w:id="0">
    <w:p w14:paraId="51115D35" w14:textId="77777777" w:rsidR="001E0488" w:rsidRDefault="001E0488" w:rsidP="008B60B2">
      <w:r>
        <w:separator/>
      </w:r>
    </w:p>
    <w:p w14:paraId="22319598" w14:textId="77777777" w:rsidR="001E0488" w:rsidRPr="00954B42" w:rsidRDefault="001E0488" w:rsidP="008B60B2">
      <w:pPr>
        <w:spacing w:after="60"/>
        <w:rPr>
          <w:sz w:val="17"/>
          <w:szCs w:val="17"/>
          <w:lang w:val="en-US"/>
        </w:rPr>
      </w:pPr>
      <w:r w:rsidRPr="00954B4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C7FD188" w14:textId="77777777" w:rsidR="001E0488" w:rsidRPr="00954B42" w:rsidRDefault="001E0488" w:rsidP="008B60B2">
      <w:pPr>
        <w:spacing w:before="60"/>
        <w:jc w:val="right"/>
        <w:rPr>
          <w:sz w:val="17"/>
          <w:szCs w:val="17"/>
          <w:lang w:val="en-US"/>
        </w:rPr>
      </w:pPr>
      <w:r w:rsidRPr="00954B42">
        <w:rPr>
          <w:sz w:val="17"/>
          <w:szCs w:val="17"/>
          <w:lang w:val="en-US"/>
        </w:rPr>
        <w:t xml:space="preserve">[Footnote </w:t>
      </w:r>
      <w:proofErr w:type="gramStart"/>
      <w:r w:rsidRPr="00954B42">
        <w:rPr>
          <w:sz w:val="17"/>
          <w:szCs w:val="17"/>
          <w:lang w:val="en-US"/>
        </w:rPr>
        <w:t>continued on</w:t>
      </w:r>
      <w:proofErr w:type="gramEnd"/>
      <w:r w:rsidRPr="00954B42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DD2A" w14:textId="117A1BF2" w:rsidR="00E773D5" w:rsidRDefault="00E773D5" w:rsidP="00E773D5">
    <w:pPr>
      <w:jc w:val="right"/>
    </w:pPr>
    <w:r>
      <w:t>IPC/CE/54/1 Prov.2</w:t>
    </w:r>
  </w:p>
  <w:p w14:paraId="5211754A" w14:textId="77777777" w:rsidR="00E773D5" w:rsidRDefault="00E773D5" w:rsidP="00E773D5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A62416">
      <w:t>2</w:t>
    </w:r>
    <w:r>
      <w:fldChar w:fldCharType="end"/>
    </w:r>
  </w:p>
  <w:p w14:paraId="02CD7A58" w14:textId="77777777" w:rsidR="00E773D5" w:rsidRDefault="00E773D5" w:rsidP="00E773D5">
    <w:pPr>
      <w:jc w:val="right"/>
    </w:pPr>
  </w:p>
  <w:p w14:paraId="1FDB2902" w14:textId="77777777"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1A89" w14:textId="77777777" w:rsidR="00EC4E49" w:rsidRDefault="0049491F" w:rsidP="00477D6B">
    <w:pPr>
      <w:jc w:val="right"/>
    </w:pPr>
    <w:bookmarkStart w:id="0" w:name="Code2"/>
    <w:bookmarkEnd w:id="0"/>
    <w:r>
      <w:t>IPC/CE/53/</w:t>
    </w:r>
  </w:p>
  <w:p w14:paraId="7C22CD76" w14:textId="77777777" w:rsidR="00EC4E49" w:rsidRDefault="00EC4E49" w:rsidP="00477D6B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t>2</w:t>
    </w:r>
    <w:r>
      <w:fldChar w:fldCharType="end"/>
    </w:r>
  </w:p>
  <w:p w14:paraId="5E3123F2" w14:textId="77777777" w:rsidR="00EC4E49" w:rsidRDefault="00EC4E49" w:rsidP="00477D6B">
    <w:pPr>
      <w:jc w:val="right"/>
    </w:pPr>
  </w:p>
  <w:p w14:paraId="1E3CF354" w14:textId="77777777" w:rsidR="00133DE1" w:rsidRDefault="00133DE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6A8E" w14:textId="77777777" w:rsidR="00B65D5B" w:rsidRDefault="00B65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162576">
    <w:abstractNumId w:val="2"/>
  </w:num>
  <w:num w:numId="2" w16cid:durableId="52968477">
    <w:abstractNumId w:val="4"/>
  </w:num>
  <w:num w:numId="3" w16cid:durableId="281574373">
    <w:abstractNumId w:val="0"/>
  </w:num>
  <w:num w:numId="4" w16cid:durableId="2124840873">
    <w:abstractNumId w:val="5"/>
  </w:num>
  <w:num w:numId="5" w16cid:durableId="2073382188">
    <w:abstractNumId w:val="1"/>
  </w:num>
  <w:num w:numId="6" w16cid:durableId="1279335035">
    <w:abstractNumId w:val="3"/>
  </w:num>
  <w:num w:numId="7" w16cid:durableId="44570408">
    <w:abstractNumId w:val="1"/>
  </w:num>
  <w:num w:numId="8" w16cid:durableId="360782904">
    <w:abstractNumId w:val="1"/>
  </w:num>
  <w:num w:numId="9" w16cid:durableId="1461150796">
    <w:abstractNumId w:val="1"/>
  </w:num>
  <w:num w:numId="10" w16cid:durableId="1417827913">
    <w:abstractNumId w:val="1"/>
  </w:num>
  <w:num w:numId="11" w16cid:durableId="1822850241">
    <w:abstractNumId w:val="1"/>
  </w:num>
  <w:num w:numId="12" w16cid:durableId="1875771965">
    <w:abstractNumId w:val="1"/>
  </w:num>
  <w:num w:numId="13" w16cid:durableId="777338538">
    <w:abstractNumId w:val="1"/>
  </w:num>
  <w:num w:numId="14" w16cid:durableId="2016303075">
    <w:abstractNumId w:val="1"/>
  </w:num>
  <w:num w:numId="15" w16cid:durableId="981664870">
    <w:abstractNumId w:val="1"/>
  </w:num>
  <w:num w:numId="16" w16cid:durableId="63329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176E0"/>
    <w:rsid w:val="00122D81"/>
    <w:rsid w:val="00126C74"/>
    <w:rsid w:val="00126FE7"/>
    <w:rsid w:val="00133DE1"/>
    <w:rsid w:val="001362EE"/>
    <w:rsid w:val="00137BD6"/>
    <w:rsid w:val="00151663"/>
    <w:rsid w:val="001543B0"/>
    <w:rsid w:val="00172D0B"/>
    <w:rsid w:val="001770D6"/>
    <w:rsid w:val="001832A6"/>
    <w:rsid w:val="0019363A"/>
    <w:rsid w:val="001D29DD"/>
    <w:rsid w:val="001E0488"/>
    <w:rsid w:val="001E0AF6"/>
    <w:rsid w:val="001E61C3"/>
    <w:rsid w:val="0021217E"/>
    <w:rsid w:val="00222187"/>
    <w:rsid w:val="0023084B"/>
    <w:rsid w:val="0026342B"/>
    <w:rsid w:val="002634C4"/>
    <w:rsid w:val="002735C5"/>
    <w:rsid w:val="002743B9"/>
    <w:rsid w:val="002928D3"/>
    <w:rsid w:val="002A1E3B"/>
    <w:rsid w:val="002A5686"/>
    <w:rsid w:val="002B0358"/>
    <w:rsid w:val="002E00EA"/>
    <w:rsid w:val="002F1FE6"/>
    <w:rsid w:val="002F289E"/>
    <w:rsid w:val="002F4E68"/>
    <w:rsid w:val="002F55A3"/>
    <w:rsid w:val="003057E2"/>
    <w:rsid w:val="00312F7F"/>
    <w:rsid w:val="0031733B"/>
    <w:rsid w:val="0032670C"/>
    <w:rsid w:val="00332938"/>
    <w:rsid w:val="00361450"/>
    <w:rsid w:val="003637FA"/>
    <w:rsid w:val="00364E14"/>
    <w:rsid w:val="003673CF"/>
    <w:rsid w:val="003845C1"/>
    <w:rsid w:val="003902F3"/>
    <w:rsid w:val="00396652"/>
    <w:rsid w:val="00397447"/>
    <w:rsid w:val="003A316E"/>
    <w:rsid w:val="003A6F89"/>
    <w:rsid w:val="003B04DF"/>
    <w:rsid w:val="003B38C1"/>
    <w:rsid w:val="00413CE5"/>
    <w:rsid w:val="00421078"/>
    <w:rsid w:val="00423E3E"/>
    <w:rsid w:val="00427AF4"/>
    <w:rsid w:val="004647DA"/>
    <w:rsid w:val="00474062"/>
    <w:rsid w:val="0047790D"/>
    <w:rsid w:val="00477D6B"/>
    <w:rsid w:val="00487518"/>
    <w:rsid w:val="0049491F"/>
    <w:rsid w:val="004A4C79"/>
    <w:rsid w:val="004A77C8"/>
    <w:rsid w:val="004B550D"/>
    <w:rsid w:val="004D4FB5"/>
    <w:rsid w:val="004E1612"/>
    <w:rsid w:val="005019FF"/>
    <w:rsid w:val="00502811"/>
    <w:rsid w:val="0053057A"/>
    <w:rsid w:val="005356DF"/>
    <w:rsid w:val="005444FA"/>
    <w:rsid w:val="00560A29"/>
    <w:rsid w:val="005723D2"/>
    <w:rsid w:val="0058043F"/>
    <w:rsid w:val="0058424D"/>
    <w:rsid w:val="005C5CC4"/>
    <w:rsid w:val="005C6649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C5C"/>
    <w:rsid w:val="00683F43"/>
    <w:rsid w:val="00684C48"/>
    <w:rsid w:val="006C2BCE"/>
    <w:rsid w:val="006E4238"/>
    <w:rsid w:val="006F56F7"/>
    <w:rsid w:val="00705EEC"/>
    <w:rsid w:val="0072577C"/>
    <w:rsid w:val="0075483F"/>
    <w:rsid w:val="00761F5D"/>
    <w:rsid w:val="00763829"/>
    <w:rsid w:val="007D1613"/>
    <w:rsid w:val="007D5336"/>
    <w:rsid w:val="007E1F7C"/>
    <w:rsid w:val="007E4C0E"/>
    <w:rsid w:val="00816901"/>
    <w:rsid w:val="00833523"/>
    <w:rsid w:val="00841060"/>
    <w:rsid w:val="008477FC"/>
    <w:rsid w:val="0089268A"/>
    <w:rsid w:val="008A415C"/>
    <w:rsid w:val="008B2CC1"/>
    <w:rsid w:val="008B60B2"/>
    <w:rsid w:val="008D51CE"/>
    <w:rsid w:val="0090731E"/>
    <w:rsid w:val="00916EE2"/>
    <w:rsid w:val="009447D7"/>
    <w:rsid w:val="00944E45"/>
    <w:rsid w:val="00954B42"/>
    <w:rsid w:val="00962B38"/>
    <w:rsid w:val="00966A22"/>
    <w:rsid w:val="0096722F"/>
    <w:rsid w:val="00980843"/>
    <w:rsid w:val="00987389"/>
    <w:rsid w:val="009B509A"/>
    <w:rsid w:val="009E21F6"/>
    <w:rsid w:val="009E2791"/>
    <w:rsid w:val="009E3F6F"/>
    <w:rsid w:val="009E4EB7"/>
    <w:rsid w:val="009F499F"/>
    <w:rsid w:val="00A33CD2"/>
    <w:rsid w:val="00A42DAF"/>
    <w:rsid w:val="00A45695"/>
    <w:rsid w:val="00A45BD8"/>
    <w:rsid w:val="00A62416"/>
    <w:rsid w:val="00A85F8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65D5B"/>
    <w:rsid w:val="00B66ECF"/>
    <w:rsid w:val="00B767BC"/>
    <w:rsid w:val="00B8388F"/>
    <w:rsid w:val="00B953BF"/>
    <w:rsid w:val="00B9734B"/>
    <w:rsid w:val="00BA30E2"/>
    <w:rsid w:val="00BB2138"/>
    <w:rsid w:val="00BB7AEB"/>
    <w:rsid w:val="00C04B13"/>
    <w:rsid w:val="00C10FE3"/>
    <w:rsid w:val="00C11BFE"/>
    <w:rsid w:val="00C1427B"/>
    <w:rsid w:val="00C14884"/>
    <w:rsid w:val="00C25428"/>
    <w:rsid w:val="00C3111C"/>
    <w:rsid w:val="00C422CA"/>
    <w:rsid w:val="00C5068F"/>
    <w:rsid w:val="00C9595B"/>
    <w:rsid w:val="00CD04F1"/>
    <w:rsid w:val="00D45252"/>
    <w:rsid w:val="00D71B4D"/>
    <w:rsid w:val="00D773B9"/>
    <w:rsid w:val="00D93D55"/>
    <w:rsid w:val="00D974AC"/>
    <w:rsid w:val="00D977FB"/>
    <w:rsid w:val="00DA0A73"/>
    <w:rsid w:val="00DB2661"/>
    <w:rsid w:val="00DB7323"/>
    <w:rsid w:val="00E15015"/>
    <w:rsid w:val="00E335FE"/>
    <w:rsid w:val="00E51448"/>
    <w:rsid w:val="00E735DB"/>
    <w:rsid w:val="00E773D5"/>
    <w:rsid w:val="00EA732B"/>
    <w:rsid w:val="00EC43F6"/>
    <w:rsid w:val="00EC4E49"/>
    <w:rsid w:val="00ED77FB"/>
    <w:rsid w:val="00EE45FA"/>
    <w:rsid w:val="00F17203"/>
    <w:rsid w:val="00F66152"/>
    <w:rsid w:val="00F704FD"/>
    <w:rsid w:val="00F83C38"/>
    <w:rsid w:val="00F976CD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815ADD7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62416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A62416"/>
    <w:rPr>
      <w:rFonts w:ascii="Arial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B65D5B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fr/project/CE462" TargetMode="External"/><Relationship Id="rId13" Type="http://schemas.openxmlformats.org/officeDocument/2006/relationships/hyperlink" Target="https://www3.wipo.int/classifications/ipc/ipcef/public/fr/project/CE50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fr/project/CE559" TargetMode="External"/><Relationship Id="rId17" Type="http://schemas.openxmlformats.org/officeDocument/2006/relationships/hyperlink" Target="https://www3.wipo.int/classifications/ipc/ipcef/public/fr/project/CE5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fr/project/CE50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fr/project/CE45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fr/project/CE55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3.wipo.int/classifications/ipc/ipcef/public/fr/project/CE45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fr/project/CE481" TargetMode="External"/><Relationship Id="rId14" Type="http://schemas.openxmlformats.org/officeDocument/2006/relationships/hyperlink" Target="https://www3.wipo.int/classifications/ipc/ipcef/public/fr/project/CE53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C6E-84F4-4113-A2CF-29FA13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IPC/CE/55/2 - Annex II - Ordre du jour, 55e session, Comtié d'experts de la CIB</vt:lpstr>
    </vt:vector>
  </TitlesOfParts>
  <Company>WIPO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IPC/CE/55/2 - Annex II - Ordre du jour, 55e session, Comtié d'experts de la CIB</dc:title>
  <dc:subject>Annex II - Ordre du jour, 55e session, Comtié d'experts de la CIB (Union de l'IPC)</dc:subject>
  <dc:creator>WIPO</dc:creator>
  <cp:keywords>IPC, version française, ordre du jour</cp:keywords>
  <dc:description/>
  <cp:lastModifiedBy>SCHLESSINGER Caroline</cp:lastModifiedBy>
  <cp:revision>4</cp:revision>
  <cp:lastPrinted>2019-12-11T13:59:00Z</cp:lastPrinted>
  <dcterms:created xsi:type="dcterms:W3CDTF">2024-04-10T09:52:00Z</dcterms:created>
  <dcterms:modified xsi:type="dcterms:W3CDTF">2024-04-12T13:40:00Z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faa52fa7-dbcc-44a1-abe3-e600a29de75e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2024-03-20T14:00:27Z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db4dbf39-ae2d-4410-a4a1-46dfd4607463</vt:lpwstr>
  </property>
  <property fmtid="{D5CDD505-2E9C-101B-9397-08002B2CF9AE}" pid="14" name="MSIP_Label_20773ee6-353b-4fb9-a59d-0b94c8c67bea_ContentBits">
    <vt:lpwstr>0</vt:lpwstr>
  </property>
</Properties>
</file>