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16E" w:rsidRDefault="00AD1606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9E915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FD016E" w:rsidRDefault="00AD1606">
      <w:pPr>
        <w:bidi w:val="0"/>
        <w:rPr>
          <w:rFonts w:ascii="Arial Black" w:hAnsi="Arial Black"/>
          <w:caps/>
          <w:sz w:val="15"/>
          <w:szCs w:val="15"/>
          <w:rtl/>
          <w:lang w:val="fr-CH"/>
        </w:rPr>
      </w:pP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CWS/11/1</w:t>
      </w:r>
    </w:p>
    <w:p w:rsidR="00FD016E" w:rsidRDefault="00AD1606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الأصل: بالإنكليزية</w:t>
      </w:r>
    </w:p>
    <w:p w:rsidR="00FD016E" w:rsidRDefault="00AD160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 4</w:t>
      </w:r>
      <w:r>
        <w:rPr>
          <w:rFonts w:asciiTheme="minorHAnsi" w:hAnsiTheme="minorHAnsi"/>
          <w:b/>
          <w:bCs/>
          <w:caps/>
          <w:sz w:val="15"/>
          <w:szCs w:val="15"/>
          <w:rtl/>
        </w:rPr>
        <w:t xml:space="preserve"> </w:t>
      </w:r>
      <w:r>
        <w:rPr>
          <w:rFonts w:asciiTheme="minorHAnsi" w:hAnsiTheme="minorHAnsi" w:hint="cs"/>
          <w:b/>
          <w:bCs/>
          <w:caps/>
          <w:sz w:val="15"/>
          <w:szCs w:val="15"/>
          <w:rtl/>
        </w:rPr>
        <w:t xml:space="preserve">ديسمبر </w:t>
      </w:r>
      <w:r>
        <w:rPr>
          <w:rFonts w:asciiTheme="minorHAnsi" w:hAnsiTheme="minorHAnsi"/>
          <w:b/>
          <w:bCs/>
          <w:caps/>
          <w:sz w:val="15"/>
          <w:szCs w:val="15"/>
          <w:rtl/>
        </w:rPr>
        <w:t>2023</w:t>
      </w:r>
    </w:p>
    <w:bookmarkEnd w:id="2"/>
    <w:p w:rsidR="00FD016E" w:rsidRDefault="00AD1606">
      <w:pPr>
        <w:pStyle w:val="Heading1"/>
      </w:pPr>
      <w:r>
        <w:rPr>
          <w:rFonts w:hint="cs"/>
          <w:rtl/>
        </w:rPr>
        <w:t>اللجنة المعنية بمعايير الويبو</w:t>
      </w:r>
    </w:p>
    <w:p w:rsidR="00FD016E" w:rsidRDefault="00AD1606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الدورة الحادية عشرة</w:t>
      </w:r>
    </w:p>
    <w:p w:rsidR="00FD016E" w:rsidRDefault="00AD1606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جنيف، من 4 إلى 8 ديسمبر 2023</w:t>
      </w:r>
    </w:p>
    <w:p w:rsidR="00FD016E" w:rsidRDefault="00AD1606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3" w:name="TitleOfDoc"/>
      <w:r>
        <w:rPr>
          <w:rFonts w:asciiTheme="minorHAnsi" w:hAnsiTheme="minorHAnsi"/>
          <w:caps/>
          <w:sz w:val="24"/>
          <w:szCs w:val="24"/>
          <w:rtl/>
        </w:rPr>
        <w:t>جدول الأعمال</w:t>
      </w:r>
    </w:p>
    <w:p w:rsidR="00FD016E" w:rsidRDefault="00AD1606">
      <w:pPr>
        <w:spacing w:after="960"/>
        <w:rPr>
          <w:i/>
          <w:rtl/>
        </w:rPr>
      </w:pPr>
      <w:bookmarkStart w:id="4" w:name="Prepared"/>
      <w:bookmarkEnd w:id="3"/>
      <w:bookmarkEnd w:id="4"/>
      <w:r>
        <w:rPr>
          <w:rFonts w:hint="cs"/>
          <w:i/>
          <w:iCs/>
          <w:rtl/>
        </w:rPr>
        <w:t>وثيقة من إعداد الأمانة</w:t>
      </w:r>
    </w:p>
    <w:p w:rsidR="00FD016E" w:rsidRDefault="00AD1606">
      <w:pPr>
        <w:pStyle w:val="ONUMA"/>
        <w:rPr>
          <w:rtl/>
        </w:rPr>
      </w:pPr>
      <w:r>
        <w:rPr>
          <w:rFonts w:hint="cs"/>
          <w:rtl/>
        </w:rPr>
        <w:t>افتتاح الدورة الحادية عشرة</w:t>
      </w:r>
    </w:p>
    <w:p w:rsidR="00FD016E" w:rsidRDefault="00AD1606">
      <w:pPr>
        <w:pStyle w:val="ONUMA"/>
        <w:rPr>
          <w:rtl/>
        </w:rPr>
      </w:pPr>
      <w:r>
        <w:rPr>
          <w:rFonts w:hint="cs"/>
          <w:rtl/>
        </w:rPr>
        <w:t>انتخاب الرئيس ونائبيه</w:t>
      </w:r>
    </w:p>
    <w:p w:rsidR="00FD016E" w:rsidRDefault="00AD1606">
      <w:pPr>
        <w:pStyle w:val="ONUMA"/>
        <w:rPr>
          <w:rtl/>
        </w:rPr>
      </w:pPr>
      <w:r>
        <w:rPr>
          <w:rFonts w:hint="cs"/>
          <w:rtl/>
        </w:rPr>
        <w:t xml:space="preserve">اعتماد جدول </w:t>
      </w:r>
      <w:r>
        <w:rPr>
          <w:rFonts w:hint="cs"/>
          <w:rtl/>
        </w:rPr>
        <w:t>الأعمال</w:t>
      </w:r>
      <w:r>
        <w:rPr>
          <w:rtl/>
        </w:rPr>
        <w:br/>
      </w:r>
      <w:r>
        <w:rPr>
          <w:rFonts w:hint="cs"/>
          <w:rtl/>
        </w:rPr>
        <w:tab/>
      </w:r>
      <w:r>
        <w:rPr>
          <w:rFonts w:hint="cs"/>
          <w:rtl/>
        </w:rPr>
        <w:tab/>
        <w:t>انظر هذه الوثيقة.</w:t>
      </w:r>
    </w:p>
    <w:p w:rsidR="00FD016E" w:rsidRDefault="00AD1606">
      <w:pPr>
        <w:pStyle w:val="ONUMA"/>
        <w:rPr>
          <w:rtl/>
        </w:rPr>
      </w:pPr>
      <w:r>
        <w:rPr>
          <w:rFonts w:hint="cs"/>
          <w:rtl/>
        </w:rPr>
        <w:t>برنامج عمل لجنة المعايير</w:t>
      </w:r>
    </w:p>
    <w:p w:rsidR="00FD016E" w:rsidRDefault="00AD1606">
      <w:pPr>
        <w:pStyle w:val="ListParagraph"/>
        <w:spacing w:after="200"/>
      </w:pPr>
      <w:r>
        <w:rPr>
          <w:rtl/>
        </w:rPr>
        <w:t>برنامج عمل اللجنة المعنية بمعايير الويبو وقائمة مهامها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>
        <w:t>CWS/11/8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 xml:space="preserve">اقتراح مهمة جديدة بشأن تنفيذ معيار الويبو </w:t>
      </w:r>
      <w:r>
        <w:t>ST.37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1134"/>
      </w:pPr>
      <w:r>
        <w:rPr>
          <w:rtl/>
        </w:rPr>
        <w:t xml:space="preserve">انظر الوثيقة </w:t>
      </w:r>
      <w:r>
        <w:t>CWS/11/15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 xml:space="preserve">استبيان بشأن تحديد أولويات مهام اللجنة المعنية بمعايير </w:t>
      </w:r>
      <w:r>
        <w:rPr>
          <w:rFonts w:hint="cs"/>
          <w:rtl/>
        </w:rPr>
        <w:t>الويبو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>
        <w:t>CWS/11/6</w:t>
      </w:r>
    </w:p>
    <w:p w:rsidR="00FD016E" w:rsidRDefault="00AD1606">
      <w:pPr>
        <w:pStyle w:val="ONUMA"/>
        <w:rPr>
          <w:rtl/>
        </w:rPr>
      </w:pPr>
      <w:r>
        <w:rPr>
          <w:rFonts w:hint="cs"/>
          <w:rtl/>
        </w:rPr>
        <w:t>التقارير المرحلية لفرق العمل</w:t>
      </w:r>
    </w:p>
    <w:p w:rsidR="00FD016E" w:rsidRDefault="00AD1606">
      <w:pPr>
        <w:pStyle w:val="ListParagraph"/>
        <w:numPr>
          <w:ilvl w:val="0"/>
          <w:numId w:val="32"/>
        </w:numPr>
        <w:spacing w:after="200"/>
        <w:ind w:left="535" w:firstLine="0"/>
        <w:rPr>
          <w:rtl/>
        </w:rPr>
      </w:pPr>
      <w:r>
        <w:rPr>
          <w:rFonts w:hint="cs"/>
          <w:rtl/>
        </w:rPr>
        <w:t>تقرير فرقة العمل المعنية بالنماذج والصور ثلاثية الأبعاد (المهمة رقم 61)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>تقرير فرقة العمل المعنية بواجهات التطبيقات البرمجية (المهمتان رقم 56 و64)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lastRenderedPageBreak/>
        <w:t xml:space="preserve">انظر الوثيقة </w:t>
      </w:r>
      <w:r>
        <w:t>CWS/11/14</w:t>
      </w:r>
    </w:p>
    <w:p w:rsidR="00FD016E" w:rsidRDefault="00AD1606">
      <w:pPr>
        <w:pStyle w:val="ListParagraph"/>
        <w:spacing w:after="200"/>
        <w:rPr>
          <w:rtl/>
        </w:rPr>
      </w:pPr>
      <w:r>
        <w:rPr>
          <w:rFonts w:hint="cs"/>
          <w:rtl/>
        </w:rPr>
        <w:t>تقرير فرقة العمل المعنية بسلا</w:t>
      </w:r>
      <w:r>
        <w:rPr>
          <w:rFonts w:hint="cs"/>
          <w:rtl/>
        </w:rPr>
        <w:t>سل الكتل (المهمة رقم 59)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>تقرير فرقة العمل المعنية بتصاوير التصاميم (المهمة رقم 57)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>
        <w:t>CWS/11/4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>تقرير فرقة العمل المعنية بالتحول الرقمي (المهام رقم 62 و63 و65)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>
        <w:t>CWS/11/11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 xml:space="preserve">تقرير فرقة العمل المعنية باستراتيجية تكنولوجيا </w:t>
      </w:r>
      <w:r>
        <w:rPr>
          <w:rFonts w:hint="cs"/>
          <w:rtl/>
        </w:rPr>
        <w:t>المعلومات للمعايير (المهمة رقم 58)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>
        <w:t>CWS/11/21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>تقرير فرقة العمل المعنية بالوضع القانوني (المهمة رقم 47)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>
        <w:t>CWS/11/13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>تقرير فرقة العمل المعنية بتوحيد الأسماء (المهمة رقم 55)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>
        <w:t>CWS/11/22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>تقرير فرقة العمل المعنية بالجزء 7 (المه</w:t>
      </w:r>
      <w:r>
        <w:rPr>
          <w:rFonts w:hint="cs"/>
          <w:rtl/>
        </w:rPr>
        <w:t>مة رقم 50)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  <w:lang w:val="fr-CH"/>
        </w:rPr>
      </w:pPr>
      <w:r>
        <w:rPr>
          <w:rFonts w:hint="cs"/>
          <w:rtl/>
          <w:lang w:val="fr-CH"/>
        </w:rPr>
        <w:t xml:space="preserve">انظر الوثيقة </w:t>
      </w:r>
      <w:r>
        <w:rPr>
          <w:lang w:val="fr-CH"/>
        </w:rPr>
        <w:t>CWS/11/24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>تقرير فرقة العمل المعنية بنفاذ الجمهور إلى معلومات البراءات (المهمة رقم 52)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>
        <w:t>CWS/11/12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>تقرير فرقة العمل المعنية بقوائم التسلسل (المهمة رقم 44)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>
        <w:t>CWS/11/7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 xml:space="preserve">تقرير فرقة العمل </w:t>
      </w:r>
      <w:r>
        <w:t>XML4IP</w:t>
      </w:r>
      <w:r>
        <w:rPr>
          <w:rFonts w:hint="cs"/>
          <w:rtl/>
        </w:rPr>
        <w:t xml:space="preserve"> (المهمة رقم 41)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>
        <w:t>CWS/11/12</w:t>
      </w:r>
    </w:p>
    <w:p w:rsidR="00FD016E" w:rsidRDefault="00AD1606">
      <w:pPr>
        <w:pStyle w:val="ONUMA"/>
        <w:rPr>
          <w:rtl/>
        </w:rPr>
      </w:pPr>
      <w:r>
        <w:rPr>
          <w:rFonts w:hint="cs"/>
          <w:rtl/>
        </w:rPr>
        <w:t>وضع معايير الويبو</w:t>
      </w:r>
    </w:p>
    <w:p w:rsidR="00FD016E" w:rsidRDefault="00AD1606">
      <w:pPr>
        <w:pStyle w:val="ListParagraph"/>
        <w:numPr>
          <w:ilvl w:val="0"/>
          <w:numId w:val="33"/>
        </w:numPr>
        <w:spacing w:after="200"/>
        <w:ind w:left="1075" w:hanging="540"/>
      </w:pPr>
      <w:r>
        <w:rPr>
          <w:rFonts w:hint="cs"/>
          <w:rtl/>
        </w:rPr>
        <w:t>اقتراح معيار جديد للويبو بشأن نسق حزم البيانات من أجل التبادل الإلكتروني للوثائق ذات الأولوية والنسخ المصدقة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720" w:firstLine="355"/>
        <w:rPr>
          <w:rtl/>
        </w:rPr>
      </w:pPr>
      <w:r>
        <w:rPr>
          <w:rtl/>
        </w:rPr>
        <w:t xml:space="preserve">انظر الوثيقة </w:t>
      </w:r>
      <w:r>
        <w:t>CWS/11/20 Rev.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 xml:space="preserve">اقتراح مراجعة معيار الويبو </w:t>
      </w:r>
      <w:r>
        <w:t>ST.26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1134"/>
        <w:rPr>
          <w:rtl/>
        </w:rPr>
      </w:pPr>
      <w:r>
        <w:rPr>
          <w:rtl/>
        </w:rPr>
        <w:t xml:space="preserve">انظر الوثيقة </w:t>
      </w:r>
      <w:r>
        <w:t>CWS/11/3</w:t>
      </w:r>
    </w:p>
    <w:p w:rsidR="00FD016E" w:rsidRDefault="00AD1606">
      <w:pPr>
        <w:pStyle w:val="ListParagraph"/>
        <w:spacing w:after="200"/>
        <w:rPr>
          <w:rtl/>
        </w:rPr>
      </w:pPr>
      <w:r>
        <w:rPr>
          <w:rFonts w:hint="cs"/>
          <w:rtl/>
        </w:rPr>
        <w:t xml:space="preserve">اقتراح مراجعة معيار الويبو </w:t>
      </w:r>
      <w:r>
        <w:t>ST.61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1134"/>
      </w:pPr>
      <w:r>
        <w:rPr>
          <w:rtl/>
        </w:rPr>
        <w:t xml:space="preserve">انظر الوثيقة </w:t>
      </w:r>
      <w:r>
        <w:t>CWS/11/9</w:t>
      </w:r>
    </w:p>
    <w:p w:rsidR="00FD016E" w:rsidRDefault="00AD1606">
      <w:pPr>
        <w:pStyle w:val="ListParagraph"/>
        <w:spacing w:after="200"/>
        <w:rPr>
          <w:rtl/>
        </w:rPr>
      </w:pPr>
      <w:r>
        <w:rPr>
          <w:rFonts w:hint="cs"/>
          <w:rtl/>
        </w:rPr>
        <w:t xml:space="preserve">اقتراح مراجعة معيار الويبو </w:t>
      </w:r>
      <w:r>
        <w:t>ST.88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1134"/>
      </w:pPr>
      <w:r>
        <w:rPr>
          <w:rtl/>
        </w:rPr>
        <w:t xml:space="preserve">انظر الوثيقة </w:t>
      </w:r>
      <w:r>
        <w:t>CWS/11/5</w:t>
      </w:r>
    </w:p>
    <w:p w:rsidR="00FD016E" w:rsidRDefault="00AD1606">
      <w:pPr>
        <w:pStyle w:val="ListParagraph"/>
        <w:keepNext/>
        <w:spacing w:after="200"/>
      </w:pPr>
      <w:r>
        <w:rPr>
          <w:rFonts w:hint="cs"/>
          <w:rtl/>
        </w:rPr>
        <w:lastRenderedPageBreak/>
        <w:t xml:space="preserve">اقتراحات لتحسين البيانات الوصفية للمصنفات اليتيمة المشمولة بحق المؤلف في معيار الويبو </w:t>
      </w:r>
      <w:r>
        <w:t>ST.96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1134"/>
        <w:rPr>
          <w:rtl/>
        </w:rPr>
      </w:pPr>
      <w:r>
        <w:rPr>
          <w:rtl/>
        </w:rPr>
        <w:t xml:space="preserve">انظر الوثيقة </w:t>
      </w:r>
      <w:r>
        <w:t>CWS/11/19 Rev.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>المبادئ التوجيهية</w:t>
      </w:r>
      <w:r>
        <w:rPr>
          <w:rFonts w:hint="cs"/>
          <w:rtl/>
        </w:rPr>
        <w:t xml:space="preserve"> المقترحة بشأن تنقية بيانات الأسماء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>
        <w:t>CWS/11/23</w:t>
      </w:r>
    </w:p>
    <w:p w:rsidR="00FD016E" w:rsidRDefault="00AD1606">
      <w:pPr>
        <w:pStyle w:val="ONUMA"/>
        <w:rPr>
          <w:rtl/>
        </w:rPr>
      </w:pPr>
      <w:r>
        <w:rPr>
          <w:rFonts w:hint="cs"/>
          <w:rtl/>
        </w:rPr>
        <w:t xml:space="preserve">تنفيذ المكاتب لمعايير الويبو </w:t>
      </w:r>
      <w:r>
        <w:t>ST.26</w:t>
      </w:r>
    </w:p>
    <w:p w:rsidR="00FD016E" w:rsidRDefault="00AD1606">
      <w:pPr>
        <w:pStyle w:val="ListParagraph"/>
        <w:numPr>
          <w:ilvl w:val="0"/>
          <w:numId w:val="34"/>
        </w:numPr>
        <w:spacing w:after="200"/>
        <w:ind w:left="1075" w:hanging="540"/>
      </w:pPr>
      <w:r>
        <w:rPr>
          <w:rFonts w:hint="cs"/>
          <w:rtl/>
        </w:rPr>
        <w:t xml:space="preserve">معيار الويبو </w:t>
      </w:r>
      <w:r>
        <w:t>ST.26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 xml:space="preserve">معيار الويبو </w:t>
      </w:r>
      <w:r>
        <w:t>ST.37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 xml:space="preserve">معايير الويبو </w:t>
      </w:r>
      <w:r>
        <w:t>ST.27</w:t>
      </w:r>
      <w:r>
        <w:rPr>
          <w:rFonts w:hint="cs"/>
          <w:rtl/>
        </w:rPr>
        <w:t xml:space="preserve"> و</w:t>
      </w:r>
      <w:r>
        <w:t>ST.61</w:t>
      </w:r>
      <w:r>
        <w:rPr>
          <w:rFonts w:hint="cs"/>
          <w:rtl/>
        </w:rPr>
        <w:t xml:space="preserve"> و</w:t>
      </w:r>
      <w:r>
        <w:t>ST.87</w:t>
      </w:r>
      <w:r>
        <w:rPr>
          <w:rFonts w:hint="cs"/>
          <w:rtl/>
        </w:rPr>
        <w:t xml:space="preserve"> بشأن الوضع القانوني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 xml:space="preserve">معيار الويبو </w:t>
      </w:r>
      <w:r>
        <w:t>ST.90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 xml:space="preserve">معيار الويبو </w:t>
      </w:r>
      <w:r>
        <w:t>ST.91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 xml:space="preserve">معيار الويبو </w:t>
      </w:r>
      <w:r>
        <w:t>ST.96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>معايير الويبو</w:t>
      </w:r>
      <w:r>
        <w:rPr>
          <w:rFonts w:hint="cs"/>
          <w:rtl/>
        </w:rPr>
        <w:t xml:space="preserve"> الأخرى</w:t>
      </w:r>
    </w:p>
    <w:p w:rsidR="00FD016E" w:rsidRDefault="00AD1606">
      <w:pPr>
        <w:pStyle w:val="ONUMA"/>
        <w:rPr>
          <w:rtl/>
        </w:rPr>
      </w:pPr>
      <w:r>
        <w:rPr>
          <w:rFonts w:hint="cs"/>
          <w:rtl/>
        </w:rPr>
        <w:t>السياسات والأنشطة المتعلقة ببيانات الملكية الفكرية ونظام المعلومات وخدمات المعلومات</w:t>
      </w:r>
    </w:p>
    <w:p w:rsidR="00FD016E" w:rsidRDefault="00AD1606">
      <w:pPr>
        <w:pStyle w:val="ListParagraph"/>
        <w:numPr>
          <w:ilvl w:val="0"/>
          <w:numId w:val="36"/>
        </w:numPr>
        <w:spacing w:after="200"/>
        <w:ind w:left="985" w:hanging="450"/>
      </w:pPr>
      <w:r>
        <w:rPr>
          <w:rFonts w:hint="cs"/>
          <w:rtl/>
        </w:rPr>
        <w:t>استراتيجيات وسياسات مكاتب الملكية الفكرية بشأن تكنولوجيا المعلومات والاتصالات والتحول الرقمي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>توصيات بشأن تكنولوجيا المعلومات والاتصالات وإدارة الملكية الفكرية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tl/>
        </w:rPr>
        <w:t>انظر الوثيقة</w:t>
      </w:r>
      <w:r>
        <w:rPr>
          <w:rFonts w:hint="cs"/>
          <w:rtl/>
        </w:rPr>
        <w:t xml:space="preserve"> </w:t>
      </w:r>
      <w:r>
        <w:t>CWS/11/18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>معرّف الهوية العالمي للأشخاص الطبيعيين والمعنويين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625" w:firstLine="509"/>
        <w:rPr>
          <w:rtl/>
        </w:rPr>
      </w:pPr>
      <w:r>
        <w:rPr>
          <w:rFonts w:hint="cs"/>
          <w:rtl/>
        </w:rPr>
        <w:t xml:space="preserve">انظر الوثيقة </w:t>
      </w:r>
      <w:r>
        <w:t>CWS/11/17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>اقتراح وضع توصيات بشأن إطار لتبادل المعلومات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>
        <w:t>CWS/11/16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>اقتراح إنشاء منصة عالمية لتسهيل تبادل معلومات الملكية الفكرية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1134"/>
        <w:rPr>
          <w:rtl/>
          <w:lang w:val="fr-CH"/>
        </w:rPr>
      </w:pPr>
      <w:r>
        <w:rPr>
          <w:rFonts w:hint="cs"/>
          <w:rtl/>
        </w:rPr>
        <w:t xml:space="preserve">انظر الوثيقة </w:t>
      </w:r>
      <w:r>
        <w:t>CWS/11/25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 xml:space="preserve">اقتراح إعداد مسودة استبيان استقصائي بشأن تنفيذ معيار الويبو </w:t>
      </w:r>
      <w:r>
        <w:t>ST.91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1134"/>
        <w:rPr>
          <w:rtl/>
          <w:lang w:val="fr-CH"/>
        </w:rPr>
      </w:pPr>
      <w:r>
        <w:rPr>
          <w:rFonts w:hint="cs"/>
          <w:rtl/>
        </w:rPr>
        <w:t xml:space="preserve">انظر الوثيقة </w:t>
      </w:r>
      <w:r>
        <w:t>CWS/11/26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t>تقرير بشأن التقارير التقنية السنوية لعام 2022</w:t>
      </w:r>
    </w:p>
    <w:p w:rsidR="00FD016E" w:rsidRDefault="00AD1606">
      <w:pPr>
        <w:pStyle w:val="ONUMA"/>
        <w:rPr>
          <w:rtl/>
        </w:rPr>
      </w:pPr>
      <w:r>
        <w:rPr>
          <w:rFonts w:hint="cs"/>
          <w:rtl/>
        </w:rPr>
        <w:t>التعاون والدعم التقنيين</w:t>
      </w:r>
    </w:p>
    <w:p w:rsidR="00FD016E" w:rsidRDefault="00AD1606">
      <w:pPr>
        <w:pStyle w:val="ListParagraph"/>
        <w:numPr>
          <w:ilvl w:val="0"/>
          <w:numId w:val="37"/>
        </w:numPr>
        <w:spacing w:after="200"/>
        <w:ind w:left="1075" w:hanging="540"/>
      </w:pPr>
      <w:r>
        <w:rPr>
          <w:rFonts w:hint="cs"/>
          <w:rtl/>
        </w:rPr>
        <w:t>تقرير المكتب الدولي عن تقديم المشورة والمساعدة التقنيتين من أجل تكوين كفاءات مكاتب المل</w:t>
      </w:r>
      <w:r>
        <w:rPr>
          <w:rFonts w:hint="cs"/>
          <w:rtl/>
        </w:rPr>
        <w:t>كية الصناعية في إطار ولاية لجنة المعايير</w:t>
      </w:r>
    </w:p>
    <w:p w:rsidR="00FD016E" w:rsidRDefault="00AD1606">
      <w:pPr>
        <w:pStyle w:val="ListParagraph"/>
        <w:numPr>
          <w:ilvl w:val="0"/>
          <w:numId w:val="0"/>
        </w:numPr>
        <w:spacing w:after="200"/>
        <w:ind w:left="1075"/>
        <w:rPr>
          <w:rtl/>
        </w:rPr>
      </w:pPr>
      <w:r>
        <w:rPr>
          <w:rFonts w:hint="cs"/>
          <w:rtl/>
        </w:rPr>
        <w:t xml:space="preserve">انظر الوثيقة </w:t>
      </w:r>
      <w:r>
        <w:t>CWS/11/10</w:t>
      </w:r>
    </w:p>
    <w:p w:rsidR="00FD016E" w:rsidRDefault="00AD1606">
      <w:pPr>
        <w:pStyle w:val="ListParagraph"/>
        <w:spacing w:after="200"/>
        <w:rPr>
          <w:rtl/>
        </w:rPr>
      </w:pPr>
      <w:r>
        <w:rPr>
          <w:rFonts w:hint="cs"/>
          <w:rtl/>
        </w:rPr>
        <w:t>تطوير حلول مشتركة لتكنولوجيا المعلومات والاتصالات لأغراض استخدامها من قبل المكاتب</w:t>
      </w:r>
    </w:p>
    <w:p w:rsidR="00FD016E" w:rsidRDefault="00AD1606">
      <w:pPr>
        <w:pStyle w:val="ListParagraph"/>
        <w:spacing w:after="200"/>
      </w:pPr>
      <w:r>
        <w:rPr>
          <w:rFonts w:hint="cs"/>
          <w:rtl/>
        </w:rPr>
        <w:lastRenderedPageBreak/>
        <w:t>مشاريع تقنية تعاونية بين المكاتب</w:t>
      </w:r>
    </w:p>
    <w:p w:rsidR="00FD016E" w:rsidRDefault="00AD1606">
      <w:pPr>
        <w:pStyle w:val="ONUMA"/>
        <w:rPr>
          <w:rtl/>
        </w:rPr>
      </w:pPr>
      <w:r>
        <w:rPr>
          <w:rFonts w:hint="cs"/>
          <w:rtl/>
        </w:rPr>
        <w:t>ملخص الرئيس</w:t>
      </w:r>
    </w:p>
    <w:p w:rsidR="00FD016E" w:rsidRDefault="00AD1606">
      <w:pPr>
        <w:pStyle w:val="ONUMA"/>
        <w:rPr>
          <w:rtl/>
        </w:rPr>
      </w:pPr>
      <w:r>
        <w:rPr>
          <w:rFonts w:hint="cs"/>
          <w:rtl/>
        </w:rPr>
        <w:t>اختتام الدورة</w:t>
      </w:r>
    </w:p>
    <w:p w:rsidR="00FD016E" w:rsidRDefault="00AD1606">
      <w:pPr>
        <w:pStyle w:val="Endofdocument-Annex"/>
        <w:spacing w:before="480"/>
        <w:rPr>
          <w:rtl/>
        </w:rPr>
      </w:pPr>
      <w:r>
        <w:rPr>
          <w:rFonts w:hint="cs"/>
          <w:rtl/>
        </w:rPr>
        <w:t>[نهاية الوثيقة]</w:t>
      </w:r>
    </w:p>
    <w:sectPr w:rsidR="00FD01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016E" w:rsidRDefault="00AD1606">
      <w:r>
        <w:separator/>
      </w:r>
    </w:p>
  </w:endnote>
  <w:endnote w:type="continuationSeparator" w:id="0">
    <w:p w:rsidR="00FD016E" w:rsidRDefault="00AD1606">
      <w:r>
        <w:separator/>
      </w:r>
    </w:p>
    <w:p w:rsidR="00FD016E" w:rsidRDefault="00AD1606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D016E" w:rsidRDefault="00AD1606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1606" w:rsidRDefault="00AD1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1606" w:rsidRDefault="00AD16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1606" w:rsidRDefault="00AD1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016E" w:rsidRDefault="00AD1606">
      <w:r>
        <w:separator/>
      </w:r>
    </w:p>
  </w:footnote>
  <w:footnote w:type="continuationSeparator" w:id="0">
    <w:p w:rsidR="00FD016E" w:rsidRDefault="00AD1606">
      <w:r>
        <w:separator/>
      </w:r>
    </w:p>
    <w:p w:rsidR="00FD016E" w:rsidRDefault="00AD1606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FD016E" w:rsidRDefault="00AD1606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1606" w:rsidRDefault="00AD1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016E" w:rsidRDefault="00AD1606">
    <w:pPr>
      <w:bidi w:val="0"/>
      <w:rPr>
        <w:caps/>
        <w:rtl/>
        <w:lang w:val="fr-CH"/>
      </w:rPr>
    </w:pPr>
    <w:r>
      <w:rPr>
        <w:caps/>
      </w:rPr>
      <w:t>CWS/11/</w:t>
    </w:r>
    <w:r>
      <w:t>1</w:t>
    </w:r>
  </w:p>
  <w:p w:rsidR="00FD016E" w:rsidRDefault="00AD1606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FD016E" w:rsidRDefault="00FD016E">
    <w:pPr>
      <w:bidi w:val="0"/>
    </w:pPr>
  </w:p>
  <w:p w:rsidR="00FD016E" w:rsidRDefault="00FD016E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1606" w:rsidRDefault="00AD1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30C02"/>
    <w:multiLevelType w:val="hybridMultilevel"/>
    <w:tmpl w:val="9A46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13DC"/>
    <w:multiLevelType w:val="hybridMultilevel"/>
    <w:tmpl w:val="A56A7164"/>
    <w:lvl w:ilvl="0" w:tplc="6F3A76D6">
      <w:start w:val="1"/>
      <w:numFmt w:val="arabicAbjad"/>
      <w:pStyle w:val="ListParagraph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C735C3"/>
    <w:multiLevelType w:val="hybridMultilevel"/>
    <w:tmpl w:val="C220E612"/>
    <w:lvl w:ilvl="0" w:tplc="533824A8">
      <w:start w:val="1"/>
      <w:numFmt w:val="arabicAlpha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3" w15:restartNumberingAfterBreak="0">
    <w:nsid w:val="3F683FE3"/>
    <w:multiLevelType w:val="hybridMultilevel"/>
    <w:tmpl w:val="4EEE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0A73FF"/>
    <w:multiLevelType w:val="hybridMultilevel"/>
    <w:tmpl w:val="6378755A"/>
    <w:lvl w:ilvl="0" w:tplc="9E20BBF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C50665"/>
    <w:multiLevelType w:val="hybridMultilevel"/>
    <w:tmpl w:val="FDA0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6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B10E47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4A0617"/>
    <w:multiLevelType w:val="hybridMultilevel"/>
    <w:tmpl w:val="7FA8F634"/>
    <w:lvl w:ilvl="0" w:tplc="9E20BBF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71F1D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7582493">
    <w:abstractNumId w:val="5"/>
  </w:num>
  <w:num w:numId="2" w16cid:durableId="807668096">
    <w:abstractNumId w:val="16"/>
  </w:num>
  <w:num w:numId="3" w16cid:durableId="825827567">
    <w:abstractNumId w:val="0"/>
  </w:num>
  <w:num w:numId="4" w16cid:durableId="659308102">
    <w:abstractNumId w:val="19"/>
  </w:num>
  <w:num w:numId="5" w16cid:durableId="1362626303">
    <w:abstractNumId w:val="1"/>
  </w:num>
  <w:num w:numId="6" w16cid:durableId="1373653653">
    <w:abstractNumId w:val="8"/>
  </w:num>
  <w:num w:numId="7" w16cid:durableId="1196382263">
    <w:abstractNumId w:val="23"/>
  </w:num>
  <w:num w:numId="8" w16cid:durableId="1313370859">
    <w:abstractNumId w:val="12"/>
  </w:num>
  <w:num w:numId="9" w16cid:durableId="1015687957">
    <w:abstractNumId w:val="13"/>
  </w:num>
  <w:num w:numId="10" w16cid:durableId="1006664658">
    <w:abstractNumId w:val="17"/>
  </w:num>
  <w:num w:numId="11" w16cid:durableId="2135556194">
    <w:abstractNumId w:val="22"/>
  </w:num>
  <w:num w:numId="12" w16cid:durableId="362831109">
    <w:abstractNumId w:val="18"/>
  </w:num>
  <w:num w:numId="13" w16cid:durableId="1782869947">
    <w:abstractNumId w:val="24"/>
  </w:num>
  <w:num w:numId="14" w16cid:durableId="926504348">
    <w:abstractNumId w:val="6"/>
  </w:num>
  <w:num w:numId="15" w16cid:durableId="1123384781">
    <w:abstractNumId w:val="11"/>
  </w:num>
  <w:num w:numId="16" w16cid:durableId="1441488054">
    <w:abstractNumId w:val="2"/>
  </w:num>
  <w:num w:numId="17" w16cid:durableId="199972340">
    <w:abstractNumId w:val="14"/>
  </w:num>
  <w:num w:numId="18" w16cid:durableId="33963571">
    <w:abstractNumId w:val="20"/>
  </w:num>
  <w:num w:numId="19" w16cid:durableId="876510996">
    <w:abstractNumId w:val="7"/>
  </w:num>
  <w:num w:numId="20" w16cid:durableId="1071579768">
    <w:abstractNumId w:val="26"/>
  </w:num>
  <w:num w:numId="21" w16cid:durableId="225452847">
    <w:abstractNumId w:val="9"/>
  </w:num>
  <w:num w:numId="22" w16cid:durableId="2045714045">
    <w:abstractNumId w:val="27"/>
  </w:num>
  <w:num w:numId="23" w16cid:durableId="1693653883">
    <w:abstractNumId w:val="15"/>
  </w:num>
  <w:num w:numId="24" w16cid:durableId="1008600322">
    <w:abstractNumId w:val="21"/>
  </w:num>
  <w:num w:numId="25" w16cid:durableId="2004895576">
    <w:abstractNumId w:val="29"/>
  </w:num>
  <w:num w:numId="26" w16cid:durableId="1052922338">
    <w:abstractNumId w:val="3"/>
  </w:num>
  <w:num w:numId="27" w16cid:durableId="1735664186">
    <w:abstractNumId w:val="10"/>
  </w:num>
  <w:num w:numId="28" w16cid:durableId="755322252">
    <w:abstractNumId w:val="28"/>
  </w:num>
  <w:num w:numId="29" w16cid:durableId="656223356">
    <w:abstractNumId w:val="30"/>
  </w:num>
  <w:num w:numId="30" w16cid:durableId="1360811875">
    <w:abstractNumId w:val="4"/>
  </w:num>
  <w:num w:numId="31" w16cid:durableId="1160197118">
    <w:abstractNumId w:val="4"/>
    <w:lvlOverride w:ilvl="0">
      <w:startOverride w:val="1"/>
    </w:lvlOverride>
  </w:num>
  <w:num w:numId="32" w16cid:durableId="1368292492">
    <w:abstractNumId w:val="4"/>
    <w:lvlOverride w:ilvl="0">
      <w:startOverride w:val="1"/>
    </w:lvlOverride>
  </w:num>
  <w:num w:numId="33" w16cid:durableId="163790587">
    <w:abstractNumId w:val="4"/>
    <w:lvlOverride w:ilvl="0">
      <w:startOverride w:val="1"/>
    </w:lvlOverride>
  </w:num>
  <w:num w:numId="34" w16cid:durableId="1918587045">
    <w:abstractNumId w:val="4"/>
    <w:lvlOverride w:ilvl="0">
      <w:startOverride w:val="1"/>
    </w:lvlOverride>
  </w:num>
  <w:num w:numId="35" w16cid:durableId="543642949">
    <w:abstractNumId w:val="4"/>
    <w:lvlOverride w:ilvl="0">
      <w:startOverride w:val="1"/>
    </w:lvlOverride>
  </w:num>
  <w:num w:numId="36" w16cid:durableId="847984364">
    <w:abstractNumId w:val="4"/>
    <w:lvlOverride w:ilvl="0">
      <w:startOverride w:val="1"/>
    </w:lvlOverride>
  </w:num>
  <w:num w:numId="37" w16cid:durableId="1777407046">
    <w:abstractNumId w:val="4"/>
    <w:lvlOverride w:ilvl="0">
      <w:startOverride w:val="1"/>
    </w:lvlOverride>
  </w:num>
  <w:num w:numId="38" w16cid:durableId="20924645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16E"/>
    <w:rsid w:val="00AD1606"/>
    <w:rsid w:val="00FD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CC96AB2-A52A-4F62-A571-9E83052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  <w:szCs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BodyText"/>
    <w:uiPriority w:val="34"/>
    <w:qFormat/>
    <w:pPr>
      <w:numPr>
        <w:numId w:val="30"/>
      </w:numPr>
      <w:ind w:left="625" w:hanging="95"/>
    </w:pPr>
  </w:style>
  <w:style w:type="paragraph" w:customStyle="1" w:styleId="Endofdocument">
    <w:name w:val="End of document"/>
    <w:basedOn w:val="Normal"/>
    <w:pPr>
      <w:bidi w:val="0"/>
      <w:spacing w:line="260" w:lineRule="atLeast"/>
      <w:ind w:left="5534"/>
    </w:pPr>
    <w:rPr>
      <w:rFonts w:eastAsia="Times New Roman" w:cs="Times New Roman"/>
      <w:sz w:val="20"/>
      <w:szCs w:val="2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BF19-F204-4F88-B0C1-89933E9E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 PROV 2. (Arabic)</vt:lpstr>
    </vt:vector>
  </TitlesOfParts>
  <Company>WIPO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 (Arabic)</dc:title>
  <dc:creator>WIPO</dc:creator>
  <cp:keywords>FOR OFFICIAL USE ONLY</cp:keywords>
  <cp:lastModifiedBy>MOSTAJO Apolonia</cp:lastModifiedBy>
  <cp:revision>2</cp:revision>
  <cp:lastPrinted>2023-11-09T07:33:00Z</cp:lastPrinted>
  <dcterms:created xsi:type="dcterms:W3CDTF">2023-12-05T09:47:00Z</dcterms:created>
  <dcterms:modified xsi:type="dcterms:W3CDTF">2023-12-05T09:47:00Z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2023-10-03T09:42:48Z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985a1b2b-23de-4c91-afe2-d7cd76cc92a9</vt:lpwstr>
  </property>
  <property fmtid="{D5CDD505-2E9C-101B-9397-08002B2CF9AE}" pid="14" name="MSIP_Label_20773ee6-353b-4fb9-a59d-0b94c8c67bea_ContentBits">
    <vt:lpwstr>0</vt:lpwstr>
  </property>
</Properties>
</file>