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9089" w14:textId="77777777" w:rsidR="008B2CC1" w:rsidRPr="00FA1DD0" w:rsidRDefault="008B14EA" w:rsidP="008B14EA">
      <w:pPr>
        <w:spacing w:after="120"/>
        <w:jc w:val="right"/>
        <w:rPr>
          <w:lang w:val="es-419"/>
        </w:rPr>
      </w:pPr>
      <w:r w:rsidRPr="00FA1DD0">
        <w:rPr>
          <w:noProof/>
          <w:lang w:val="es-419" w:eastAsia="en-US"/>
        </w:rPr>
        <w:drawing>
          <wp:inline distT="0" distB="0" distL="0" distR="0" wp14:anchorId="39C9B0CA" wp14:editId="098FFAFF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FA1DD0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739CB24B" wp14:editId="5D70E726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CA5CA2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19F9DC0" w14:textId="639C0813" w:rsidR="008B2CC1" w:rsidRPr="00FA1DD0" w:rsidRDefault="0066216D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FA1DD0">
        <w:rPr>
          <w:rFonts w:ascii="Arial Black" w:hAnsi="Arial Black"/>
          <w:caps/>
          <w:sz w:val="15"/>
          <w:lang w:val="es-419"/>
        </w:rPr>
        <w:t>CWS/1</w:t>
      </w:r>
      <w:r w:rsidR="00CD5D91" w:rsidRPr="00FA1DD0">
        <w:rPr>
          <w:rFonts w:ascii="Arial Black" w:hAnsi="Arial Black"/>
          <w:caps/>
          <w:sz w:val="15"/>
          <w:lang w:val="es-419"/>
        </w:rPr>
        <w:t>1</w:t>
      </w:r>
      <w:r w:rsidRPr="00FA1DD0">
        <w:rPr>
          <w:rFonts w:ascii="Arial Black" w:hAnsi="Arial Black"/>
          <w:caps/>
          <w:sz w:val="15"/>
          <w:lang w:val="es-419"/>
        </w:rPr>
        <w:t>/</w:t>
      </w:r>
      <w:bookmarkStart w:id="0" w:name="Code"/>
      <w:bookmarkEnd w:id="0"/>
      <w:r w:rsidR="007A57FB" w:rsidRPr="00FA1DD0">
        <w:rPr>
          <w:rFonts w:ascii="Arial Black" w:hAnsi="Arial Black"/>
          <w:caps/>
          <w:sz w:val="15"/>
          <w:lang w:val="es-419"/>
        </w:rPr>
        <w:t>1</w:t>
      </w:r>
      <w:r w:rsidR="00476943" w:rsidRPr="00FA1DD0">
        <w:rPr>
          <w:rFonts w:ascii="Arial Black" w:hAnsi="Arial Black"/>
          <w:caps/>
          <w:sz w:val="15"/>
          <w:lang w:val="es-419"/>
        </w:rPr>
        <w:t>8</w:t>
      </w:r>
    </w:p>
    <w:p w14:paraId="1373C19E" w14:textId="77777777" w:rsidR="008B2CC1" w:rsidRPr="00FA1DD0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FA1DD0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476943" w:rsidRPr="00FA1DD0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5AD78F68" w14:textId="77777777" w:rsidR="008B2CC1" w:rsidRPr="00FA1DD0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FA1DD0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476943" w:rsidRPr="00FA1DD0">
        <w:rPr>
          <w:rFonts w:ascii="Arial Black" w:hAnsi="Arial Black"/>
          <w:caps/>
          <w:sz w:val="15"/>
          <w:lang w:val="es-419"/>
        </w:rPr>
        <w:t>2 de noviembre de 2023</w:t>
      </w:r>
    </w:p>
    <w:bookmarkEnd w:id="2"/>
    <w:p w14:paraId="1AA56DCA" w14:textId="77777777" w:rsidR="008B2CC1" w:rsidRPr="00FA1DD0" w:rsidRDefault="0066216D" w:rsidP="008B14EA">
      <w:pPr>
        <w:spacing w:after="600"/>
        <w:rPr>
          <w:b/>
          <w:sz w:val="28"/>
          <w:szCs w:val="28"/>
          <w:lang w:val="es-419"/>
        </w:rPr>
      </w:pPr>
      <w:r w:rsidRPr="00FA1DD0">
        <w:rPr>
          <w:b/>
          <w:sz w:val="28"/>
          <w:szCs w:val="28"/>
          <w:lang w:val="es-419"/>
        </w:rPr>
        <w:t>Comité de Normas Técnicas de la OMPI (CWS)</w:t>
      </w:r>
    </w:p>
    <w:p w14:paraId="57718C2A" w14:textId="77777777" w:rsidR="00511D0C" w:rsidRPr="00FA1DD0" w:rsidRDefault="00CD5D91" w:rsidP="00511D0C">
      <w:pPr>
        <w:rPr>
          <w:b/>
          <w:sz w:val="28"/>
          <w:szCs w:val="24"/>
          <w:lang w:val="es-419"/>
        </w:rPr>
      </w:pPr>
      <w:r w:rsidRPr="00FA1DD0">
        <w:rPr>
          <w:b/>
          <w:sz w:val="24"/>
          <w:lang w:val="es-419"/>
        </w:rPr>
        <w:t>Undécima sesión</w:t>
      </w:r>
    </w:p>
    <w:p w14:paraId="3A1B006C" w14:textId="77777777" w:rsidR="008B2CC1" w:rsidRPr="00FA1DD0" w:rsidRDefault="0066216D" w:rsidP="008B14EA">
      <w:pPr>
        <w:spacing w:after="720"/>
        <w:rPr>
          <w:b/>
          <w:sz w:val="28"/>
          <w:szCs w:val="24"/>
          <w:lang w:val="es-419"/>
        </w:rPr>
      </w:pPr>
      <w:r w:rsidRPr="00FA1DD0">
        <w:rPr>
          <w:b/>
          <w:sz w:val="24"/>
          <w:lang w:val="es-419"/>
        </w:rPr>
        <w:t xml:space="preserve">Ginebra, </w:t>
      </w:r>
      <w:r w:rsidR="00CD5D91" w:rsidRPr="00FA1DD0">
        <w:rPr>
          <w:b/>
          <w:sz w:val="24"/>
          <w:lang w:val="es-419"/>
        </w:rPr>
        <w:t>4</w:t>
      </w:r>
      <w:r w:rsidRPr="00FA1DD0">
        <w:rPr>
          <w:b/>
          <w:sz w:val="24"/>
          <w:lang w:val="es-419"/>
        </w:rPr>
        <w:t xml:space="preserve"> </w:t>
      </w:r>
      <w:r w:rsidR="00E64585" w:rsidRPr="00FA1DD0">
        <w:rPr>
          <w:b/>
          <w:sz w:val="24"/>
          <w:lang w:val="es-419"/>
        </w:rPr>
        <w:t>a</w:t>
      </w:r>
      <w:r w:rsidRPr="00FA1DD0">
        <w:rPr>
          <w:b/>
          <w:sz w:val="24"/>
          <w:lang w:val="es-419"/>
        </w:rPr>
        <w:t xml:space="preserve"> </w:t>
      </w:r>
      <w:r w:rsidR="00CD5D91" w:rsidRPr="00FA1DD0">
        <w:rPr>
          <w:b/>
          <w:sz w:val="24"/>
          <w:lang w:val="es-419"/>
        </w:rPr>
        <w:t>8</w:t>
      </w:r>
      <w:r w:rsidRPr="00FA1DD0">
        <w:rPr>
          <w:b/>
          <w:sz w:val="24"/>
          <w:lang w:val="es-419"/>
        </w:rPr>
        <w:t xml:space="preserve"> de </w:t>
      </w:r>
      <w:r w:rsidR="00CD5D91" w:rsidRPr="00FA1DD0">
        <w:rPr>
          <w:b/>
          <w:sz w:val="24"/>
          <w:lang w:val="es-419"/>
        </w:rPr>
        <w:t>diciembre</w:t>
      </w:r>
      <w:r w:rsidRPr="00FA1DD0">
        <w:rPr>
          <w:b/>
          <w:sz w:val="24"/>
          <w:lang w:val="es-419"/>
        </w:rPr>
        <w:t xml:space="preserve"> de 202</w:t>
      </w:r>
      <w:r w:rsidR="00CD5D91" w:rsidRPr="00FA1DD0">
        <w:rPr>
          <w:b/>
          <w:sz w:val="24"/>
          <w:lang w:val="es-419"/>
        </w:rPr>
        <w:t>3</w:t>
      </w:r>
    </w:p>
    <w:p w14:paraId="38EC0EEB" w14:textId="0AB15298" w:rsidR="008B2CC1" w:rsidRPr="00FA1DD0" w:rsidRDefault="00476943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FA1DD0">
        <w:rPr>
          <w:caps/>
          <w:sz w:val="24"/>
          <w:lang w:val="es-419"/>
        </w:rPr>
        <w:t>Recomendaciones sobre TIC y administración de la PI</w:t>
      </w:r>
    </w:p>
    <w:p w14:paraId="5305257C" w14:textId="1E669223" w:rsidR="008B2CC1" w:rsidRPr="00FA1DD0" w:rsidRDefault="00476943" w:rsidP="008B14EA">
      <w:pPr>
        <w:spacing w:after="960"/>
        <w:rPr>
          <w:i/>
          <w:lang w:val="es-419"/>
        </w:rPr>
      </w:pPr>
      <w:bookmarkStart w:id="4" w:name="Prepared"/>
      <w:bookmarkEnd w:id="3"/>
      <w:r w:rsidRPr="00FA1DD0">
        <w:rPr>
          <w:i/>
          <w:lang w:val="es-419"/>
        </w:rPr>
        <w:t>Documento preparado por la Oficina Internacional</w:t>
      </w:r>
    </w:p>
    <w:bookmarkEnd w:id="4"/>
    <w:p w14:paraId="4EA03DF3" w14:textId="77777777" w:rsidR="00476943" w:rsidRPr="00FA1DD0" w:rsidRDefault="00476943" w:rsidP="00476943">
      <w:pPr>
        <w:pStyle w:val="Heading2"/>
        <w:rPr>
          <w:lang w:val="es-419"/>
        </w:rPr>
      </w:pPr>
      <w:r w:rsidRPr="00FA1DD0">
        <w:rPr>
          <w:lang w:val="es-419"/>
        </w:rPr>
        <w:t>Resumen</w:t>
      </w:r>
    </w:p>
    <w:p w14:paraId="747560E6" w14:textId="5DAD347B" w:rsidR="00476943" w:rsidRPr="00FA1DD0" w:rsidRDefault="00476943" w:rsidP="00476943">
      <w:pPr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El Equipo Técnico de Estrategia de TIC para las Normas Técnicas presenta un conjunto de recomendaciones sobre las tecnologías de la información y la comunicación (TIC) y la administración de la propiedad intelectual (PI) para su examen por el Comité de Normas Técnicas de la OMPI (CWS).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Deberían examinarse esas recomendaciones para su aplicación por las oficinas de PI.</w:t>
      </w:r>
    </w:p>
    <w:p w14:paraId="56135EA6" w14:textId="77777777" w:rsidR="00476943" w:rsidRPr="00FA1DD0" w:rsidRDefault="00476943" w:rsidP="00476943">
      <w:pPr>
        <w:pStyle w:val="Heading2"/>
        <w:rPr>
          <w:lang w:val="es-419"/>
        </w:rPr>
      </w:pPr>
      <w:r w:rsidRPr="00FA1DD0">
        <w:rPr>
          <w:lang w:val="es-419"/>
        </w:rPr>
        <w:t>Antecedentes</w:t>
      </w:r>
    </w:p>
    <w:p w14:paraId="4022F353" w14:textId="04232E96" w:rsidR="00476943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En su sexta sesión, celebrada en 2019, el CWS tomó nota de las “40 recomendaciones” preparadas en la Reunión sobre Estrategias de TIC e Inteligencia Artificial, que la Oficina Internacional convocó para respaldar el intercambio de opiniones y experiencias en la esfera de las TIC y la gestión del trabajo, en pos de la eficacia de la administración de las oficinas de PI</w:t>
      </w:r>
      <w:r w:rsidR="009E738E" w:rsidRPr="00FA1DD0">
        <w:rPr>
          <w:lang w:val="es-419"/>
        </w:rPr>
        <w:t> </w:t>
      </w:r>
      <w:r w:rsidRPr="00FA1DD0">
        <w:rPr>
          <w:lang w:val="es-419"/>
        </w:rPr>
        <w:t xml:space="preserve">(OPI). El CWS tomó nota del análisis de las 40 recomendaciones de la Secretaría y de su pertinencia a las actividades que lleva a cabo; las recomendaciones se categorizaron en tres grupos, según se indica a continuación (véase el Anexo del </w:t>
      </w:r>
      <w:r w:rsidR="009E738E" w:rsidRPr="00FA1DD0">
        <w:rPr>
          <w:lang w:val="es-419"/>
        </w:rPr>
        <w:t>documento</w:t>
      </w:r>
      <w:r w:rsidRPr="00FA1DD0">
        <w:rPr>
          <w:lang w:val="es-419"/>
        </w:rPr>
        <w:t xml:space="preserve"> CWS/6/3</w:t>
      </w:r>
      <w:r w:rsidRPr="00FA1DD0">
        <w:rPr>
          <w:rStyle w:val="Hyperlink"/>
          <w:color w:val="000000" w:themeColor="text1"/>
          <w:lang w:val="es-419"/>
        </w:rPr>
        <w:t>)</w:t>
      </w:r>
      <w:r w:rsidRPr="00FA1DD0">
        <w:rPr>
          <w:lang w:val="es-419"/>
        </w:rPr>
        <w:t>:</w:t>
      </w:r>
    </w:p>
    <w:p w14:paraId="17DD9C02" w14:textId="593B3EB3" w:rsidR="00476943" w:rsidRPr="00FA1DD0" w:rsidRDefault="009E738E" w:rsidP="007A57FB">
      <w:pPr>
        <w:pStyle w:val="ONUME"/>
        <w:numPr>
          <w:ilvl w:val="0"/>
          <w:numId w:val="11"/>
        </w:numPr>
        <w:spacing w:after="120"/>
        <w:ind w:left="567" w:firstLine="0"/>
        <w:rPr>
          <w:lang w:val="es-419"/>
        </w:rPr>
      </w:pPr>
      <w:r w:rsidRPr="00FA1DD0">
        <w:rPr>
          <w:lang w:val="es-419"/>
        </w:rPr>
        <w:t xml:space="preserve">grupo </w:t>
      </w:r>
      <w:r w:rsidR="00476943" w:rsidRPr="00FA1DD0">
        <w:rPr>
          <w:lang w:val="es-419"/>
        </w:rPr>
        <w:t>1: recomendaciones relacionadas con tareas del CWS existentes o</w:t>
      </w:r>
      <w:r w:rsidR="009003E7" w:rsidRPr="00FA1DD0">
        <w:rPr>
          <w:lang w:val="es-419"/>
        </w:rPr>
        <w:t xml:space="preserve"> </w:t>
      </w:r>
      <w:r w:rsidR="00476943" w:rsidRPr="00FA1DD0">
        <w:rPr>
          <w:lang w:val="es-419"/>
        </w:rPr>
        <w:t>con las nuevas tareas que se propone establecer en la sexta sesión del Comité;</w:t>
      </w:r>
    </w:p>
    <w:p w14:paraId="2BB6BEF0" w14:textId="21C2F7E0" w:rsidR="00476943" w:rsidRPr="00FA1DD0" w:rsidRDefault="009E738E" w:rsidP="007A57FB">
      <w:pPr>
        <w:pStyle w:val="ONUME"/>
        <w:numPr>
          <w:ilvl w:val="0"/>
          <w:numId w:val="11"/>
        </w:numPr>
        <w:spacing w:after="120"/>
        <w:ind w:left="567" w:firstLine="0"/>
        <w:rPr>
          <w:lang w:val="es-419"/>
        </w:rPr>
      </w:pPr>
      <w:r w:rsidRPr="00FA1DD0">
        <w:rPr>
          <w:lang w:val="es-419"/>
        </w:rPr>
        <w:t xml:space="preserve">grupo </w:t>
      </w:r>
      <w:r w:rsidR="00476943" w:rsidRPr="00FA1DD0">
        <w:rPr>
          <w:lang w:val="es-419"/>
        </w:rPr>
        <w:t>2: recomendaciones que no están directamente relacionadas con ninguna de las</w:t>
      </w:r>
      <w:r w:rsidR="009003E7" w:rsidRPr="00FA1DD0">
        <w:rPr>
          <w:lang w:val="es-419"/>
        </w:rPr>
        <w:t xml:space="preserve"> </w:t>
      </w:r>
      <w:r w:rsidR="00476943" w:rsidRPr="00FA1DD0">
        <w:rPr>
          <w:lang w:val="es-419"/>
        </w:rPr>
        <w:t>tareas del CWS actuales o propuestas, pero que parecen ser pertinentes a la actividad que el Comité podría llevar a cabo en el futuro; y</w:t>
      </w:r>
    </w:p>
    <w:p w14:paraId="1CC7B83C" w14:textId="16401576" w:rsidR="00476943" w:rsidRPr="00FA1DD0" w:rsidRDefault="009E738E" w:rsidP="007A57FB">
      <w:pPr>
        <w:pStyle w:val="ONUME"/>
        <w:numPr>
          <w:ilvl w:val="0"/>
          <w:numId w:val="11"/>
        </w:numPr>
        <w:spacing w:after="120"/>
        <w:ind w:left="567" w:firstLine="0"/>
        <w:rPr>
          <w:lang w:val="es-419"/>
        </w:rPr>
      </w:pPr>
      <w:r w:rsidRPr="00FA1DD0">
        <w:rPr>
          <w:lang w:val="es-419"/>
        </w:rPr>
        <w:t xml:space="preserve">grupo </w:t>
      </w:r>
      <w:r w:rsidR="00476943" w:rsidRPr="00FA1DD0">
        <w:rPr>
          <w:lang w:val="es-419"/>
        </w:rPr>
        <w:t>3: recomendaciones que no parecen ser pertinentes a la actividad del CWS en</w:t>
      </w:r>
      <w:r w:rsidR="009003E7" w:rsidRPr="00FA1DD0">
        <w:rPr>
          <w:lang w:val="es-419"/>
        </w:rPr>
        <w:t xml:space="preserve"> </w:t>
      </w:r>
      <w:r w:rsidR="00476943" w:rsidRPr="00FA1DD0">
        <w:rPr>
          <w:lang w:val="es-419"/>
        </w:rPr>
        <w:t>el momento de la celebración de la sexta sesión del CWS ni en un futuro próximo.</w:t>
      </w:r>
    </w:p>
    <w:p w14:paraId="34F38E5E" w14:textId="77777777" w:rsidR="00476943" w:rsidRPr="00FA1DD0" w:rsidRDefault="00476943" w:rsidP="007A57FB">
      <w:pPr>
        <w:spacing w:after="220"/>
        <w:rPr>
          <w:lang w:val="es-419"/>
        </w:rPr>
      </w:pPr>
      <w:r w:rsidRPr="00FA1DD0">
        <w:rPr>
          <w:lang w:val="es-419"/>
        </w:rPr>
        <w:lastRenderedPageBreak/>
        <w:t>(Véanse también los párrafos 4 a 9 del documento CWS/6/3.)</w:t>
      </w:r>
    </w:p>
    <w:p w14:paraId="7EA98B4E" w14:textId="77777777" w:rsidR="00476943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En su sexta sesión, el CWS creó la Tarea N.º 58 y estableció el Equipo Técnico de la estrategia de TIC para las normas técnicas, designando a la Oficina Internacional responsable del Equipo Técnico (véanse los párrafos 17 a 24 del documento CWS/6/34).</w:t>
      </w:r>
    </w:p>
    <w:p w14:paraId="519FCD56" w14:textId="77777777" w:rsidR="009E738E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El Equipo Técnico de la estrategia de TIC para las normas técnicas ha analizado la pertinencia de esas 40 recomendaciones para las actividades del CWS y la prioridad de las recomendaciones, teniendo en cuenta los resultados de las dos encuestas llevadas a cabo en el Equipo Técnico y entre los miembros del CWS.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En el documento CWS/11/21 figuran más detalles sobre las actividades del Equipo Técnico relacionadas con las 40 recomendaciones.</w:t>
      </w:r>
    </w:p>
    <w:p w14:paraId="6F24E7D4" w14:textId="36EA327E" w:rsidR="00476943" w:rsidRPr="00FA1DD0" w:rsidRDefault="00476943" w:rsidP="00476943">
      <w:pPr>
        <w:pStyle w:val="Heading2"/>
        <w:rPr>
          <w:lang w:val="es-419"/>
        </w:rPr>
      </w:pPr>
      <w:r w:rsidRPr="00FA1DD0">
        <w:rPr>
          <w:lang w:val="es-419"/>
        </w:rPr>
        <w:t>Recomendaciones propuestas</w:t>
      </w:r>
    </w:p>
    <w:p w14:paraId="75DE9FCE" w14:textId="517CD7DC" w:rsidR="00476943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 xml:space="preserve">En su décima sesión, el CWS adoptó el documento sobre sus </w:t>
      </w:r>
      <w:hyperlink r:id="rId8" w:history="1">
        <w:r w:rsidRPr="00FA1DD0">
          <w:rPr>
            <w:rStyle w:val="Hyperlink"/>
            <w:color w:val="000000" w:themeColor="text1"/>
            <w:lang w:val="es-419"/>
          </w:rPr>
          <w:t>Cuestiones de organización y reglamento especial</w:t>
        </w:r>
      </w:hyperlink>
      <w:r w:rsidRPr="00FA1DD0">
        <w:rPr>
          <w:lang w:val="es-419"/>
        </w:rPr>
        <w:t xml:space="preserve"> en el que se detalla el mandato del CWS:</w:t>
      </w:r>
    </w:p>
    <w:p w14:paraId="78A5A256" w14:textId="72E75F89" w:rsidR="00476943" w:rsidRPr="00FA1DD0" w:rsidRDefault="00476943" w:rsidP="00476943">
      <w:pPr>
        <w:spacing w:after="220"/>
        <w:ind w:left="567"/>
        <w:rPr>
          <w:i/>
          <w:iCs/>
          <w:lang w:val="es-419"/>
        </w:rPr>
      </w:pPr>
      <w:r w:rsidRPr="00FA1DD0">
        <w:rPr>
          <w:i/>
          <w:lang w:val="es-419"/>
        </w:rPr>
        <w:t>“9. El mandato del CWS será proporcionar un foro para adoptar nuevas normas de la OMPI, o normas revisadas, así como políticas, recomendaciones y declaraciones de principio, relacionadas con información en materia de propiedad intelectual, cuestiones relacionadas con los sistemas mundiales de información, servicios de información sobre el sistema mundial y la divulgación y documentación relativas a esos datos, que podrían ser promulgadas o sometidas a la Asamblea General de la OMPI para su examen o aprobación.</w:t>
      </w:r>
      <w:r w:rsidR="00B06FDC" w:rsidRPr="00FA1DD0">
        <w:rPr>
          <w:i/>
          <w:lang w:val="es-419"/>
        </w:rPr>
        <w:t>”</w:t>
      </w:r>
    </w:p>
    <w:p w14:paraId="0551AADE" w14:textId="77B007D3" w:rsidR="00476943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El Equipo Técnico examinó las 40 recomendaciones a la luz del mandato del CWS antes mencionado, en particular, las recomendaciones categorizadas en el grupo 3, y señaló que las 11 recomendaciones categorizadas en el grupo 3 parecen ser pertinentes, a la luz de la descripción que figura más arriba.</w:t>
      </w:r>
      <w:r w:rsidR="009E738E" w:rsidRPr="00FA1DD0">
        <w:rPr>
          <w:lang w:val="es-419"/>
        </w:rPr>
        <w:t xml:space="preserve"> T</w:t>
      </w:r>
      <w:r w:rsidRPr="00FA1DD0">
        <w:rPr>
          <w:lang w:val="es-419"/>
        </w:rPr>
        <w:t>ambién tomó nota de los resultados de la encuesta, de los que se desprendió que las OPI concedían mayor prioridad a varias recomendaciones del grupo</w:t>
      </w:r>
      <w:r w:rsidR="00821332" w:rsidRPr="00FA1DD0">
        <w:rPr>
          <w:lang w:val="es-419"/>
        </w:rPr>
        <w:t> </w:t>
      </w:r>
      <w:r w:rsidRPr="00FA1DD0">
        <w:rPr>
          <w:lang w:val="es-419"/>
        </w:rPr>
        <w:t>3 en relación con las del grupo 1 (véase el párrafo 7 del documento CWS/9/2).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Por lo tanto, el Equipo Técnico acordó reclasificar el agrupamiento de las 40 recomendaciones, ya que todas ellas parecen pertinentes a las actividades del CWS, a la luz del mandato de este último.</w:t>
      </w:r>
    </w:p>
    <w:p w14:paraId="2914B03C" w14:textId="77777777" w:rsidR="00476943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Además, el Equipo Técnico también examinó la manera de mejorar su formulación de propuestas sobre recomendaciones y acordó que se examinaran los siguientes puntos:</w:t>
      </w:r>
    </w:p>
    <w:p w14:paraId="19B9C05F" w14:textId="368E4132" w:rsidR="00476943" w:rsidRPr="00FA1DD0" w:rsidRDefault="00821332" w:rsidP="00476943">
      <w:pPr>
        <w:pStyle w:val="ListParagraph"/>
        <w:numPr>
          <w:ilvl w:val="0"/>
          <w:numId w:val="10"/>
        </w:numPr>
        <w:spacing w:after="240"/>
        <w:rPr>
          <w:lang w:val="es-419"/>
        </w:rPr>
      </w:pPr>
      <w:r w:rsidRPr="00FA1DD0">
        <w:rPr>
          <w:lang w:val="es-419"/>
        </w:rPr>
        <w:t xml:space="preserve">el </w:t>
      </w:r>
      <w:r w:rsidR="00476943" w:rsidRPr="00FA1DD0">
        <w:rPr>
          <w:lang w:val="es-419"/>
        </w:rPr>
        <w:t>Equipo Técnico consideró la inclusión de algunas recomendaciones nuevas tras analizar los debates recientes mantenidos por las OPI en diversos foros, y que se compartieron con el Equipo Técnico:</w:t>
      </w:r>
      <w:r w:rsidR="009E738E" w:rsidRPr="00FA1DD0">
        <w:rPr>
          <w:lang w:val="es-419"/>
        </w:rPr>
        <w:t xml:space="preserve"> </w:t>
      </w:r>
      <w:r w:rsidR="00476943" w:rsidRPr="00FA1DD0">
        <w:rPr>
          <w:lang w:val="es-419"/>
        </w:rPr>
        <w:t>han pasado cinco años desde que se propusieron las 40 recomendaciones y se considera que algunas de ellas ya no son válidas;</w:t>
      </w:r>
    </w:p>
    <w:p w14:paraId="0615B66F" w14:textId="77777777" w:rsidR="00476943" w:rsidRPr="00FA1DD0" w:rsidRDefault="00476943" w:rsidP="00476943">
      <w:pPr>
        <w:pStyle w:val="ListParagraph"/>
        <w:spacing w:after="240"/>
        <w:rPr>
          <w:lang w:val="es-419"/>
        </w:rPr>
      </w:pPr>
    </w:p>
    <w:p w14:paraId="0A048377" w14:textId="3E3344C2" w:rsidR="00476943" w:rsidRPr="00FA1DD0" w:rsidRDefault="00821332" w:rsidP="00476943">
      <w:pPr>
        <w:pStyle w:val="ListParagraph"/>
        <w:numPr>
          <w:ilvl w:val="0"/>
          <w:numId w:val="10"/>
        </w:numPr>
        <w:spacing w:before="240" w:after="240"/>
        <w:rPr>
          <w:lang w:val="es-419"/>
        </w:rPr>
      </w:pPr>
      <w:r w:rsidRPr="00FA1DD0">
        <w:rPr>
          <w:lang w:val="es-419"/>
        </w:rPr>
        <w:t xml:space="preserve">algunos </w:t>
      </w:r>
      <w:r w:rsidR="00476943" w:rsidRPr="00FA1DD0">
        <w:rPr>
          <w:lang w:val="es-419"/>
        </w:rPr>
        <w:t xml:space="preserve">miembros del </w:t>
      </w:r>
      <w:r w:rsidR="009E738E" w:rsidRPr="00FA1DD0">
        <w:rPr>
          <w:lang w:val="es-419"/>
        </w:rPr>
        <w:t>Equipo Técnico</w:t>
      </w:r>
      <w:r w:rsidR="00476943" w:rsidRPr="00FA1DD0">
        <w:rPr>
          <w:lang w:val="es-419"/>
        </w:rPr>
        <w:t xml:space="preserve"> sugirieron generalizar las recomendaciones para que sean más genéricas: algunas recomendaciones tratan de un aspecto o una solución específicos como recomendación, mientras que otras son sugerencias más generales;</w:t>
      </w:r>
    </w:p>
    <w:p w14:paraId="7A95339B" w14:textId="77777777" w:rsidR="009E738E" w:rsidRPr="00FA1DD0" w:rsidRDefault="009E738E" w:rsidP="00476943">
      <w:pPr>
        <w:pStyle w:val="ListParagraph"/>
        <w:spacing w:before="240" w:after="240"/>
        <w:rPr>
          <w:lang w:val="es-419"/>
        </w:rPr>
      </w:pPr>
    </w:p>
    <w:p w14:paraId="6B4144FA" w14:textId="5CED35AF" w:rsidR="00476943" w:rsidRPr="00FA1DD0" w:rsidRDefault="00821332" w:rsidP="00476943">
      <w:pPr>
        <w:pStyle w:val="ListParagraph"/>
        <w:numPr>
          <w:ilvl w:val="0"/>
          <w:numId w:val="10"/>
        </w:numPr>
        <w:spacing w:after="240"/>
        <w:rPr>
          <w:lang w:val="es-419"/>
        </w:rPr>
      </w:pPr>
      <w:r w:rsidRPr="00FA1DD0">
        <w:rPr>
          <w:lang w:val="es-419"/>
        </w:rPr>
        <w:t xml:space="preserve">el </w:t>
      </w:r>
      <w:r w:rsidR="00476943" w:rsidRPr="00FA1DD0">
        <w:rPr>
          <w:lang w:val="es-419"/>
        </w:rPr>
        <w:t>Equipo Técnico consideró también que es importante que algunas recomendaciones sean más explícitas o claras para que las oficinas de PI puedan interpretarlas de la misma manera a la hora de aplicarlas: algunas recomendaciones no están formuladas con mucha claridad; y</w:t>
      </w:r>
    </w:p>
    <w:p w14:paraId="420020FC" w14:textId="77777777" w:rsidR="00476943" w:rsidRPr="00FA1DD0" w:rsidRDefault="00476943" w:rsidP="00476943">
      <w:pPr>
        <w:pStyle w:val="ListParagraph"/>
        <w:spacing w:after="240"/>
        <w:rPr>
          <w:lang w:val="es-419"/>
        </w:rPr>
      </w:pPr>
    </w:p>
    <w:p w14:paraId="7628E811" w14:textId="398B782E" w:rsidR="00B06FDC" w:rsidRPr="00FA1DD0" w:rsidRDefault="00821332" w:rsidP="00B06FDC">
      <w:pPr>
        <w:pStyle w:val="ListParagraph"/>
        <w:numPr>
          <w:ilvl w:val="0"/>
          <w:numId w:val="10"/>
        </w:numPr>
        <w:spacing w:after="220"/>
        <w:contextualSpacing w:val="0"/>
        <w:rPr>
          <w:lang w:val="es-419"/>
        </w:rPr>
      </w:pPr>
      <w:r w:rsidRPr="00FA1DD0">
        <w:rPr>
          <w:lang w:val="es-419"/>
        </w:rPr>
        <w:t xml:space="preserve">algunos </w:t>
      </w:r>
      <w:r w:rsidR="00476943" w:rsidRPr="00FA1DD0">
        <w:rPr>
          <w:lang w:val="es-419"/>
        </w:rPr>
        <w:t>miembros del Equipo Técnico sugirieron reducir el número de recomendaciones para que las OPI puedan centrarse en su aplicación en un plazo sugerido; además, algunas de las recomendaciones ya se han aplicado o llevado a cabo.</w:t>
      </w:r>
    </w:p>
    <w:p w14:paraId="465B351B" w14:textId="30B4AF4D" w:rsidR="00476943" w:rsidRPr="00FA1DD0" w:rsidRDefault="00C45B52" w:rsidP="00FA1DD0">
      <w:pPr>
        <w:keepNext/>
        <w:spacing w:after="220"/>
        <w:rPr>
          <w:lang w:val="es-419"/>
        </w:rPr>
      </w:pPr>
      <w:r w:rsidRPr="00FA1DD0">
        <w:rPr>
          <w:lang w:val="es-419"/>
        </w:rPr>
        <w:lastRenderedPageBreak/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</w:r>
      <w:r w:rsidR="00476943" w:rsidRPr="00FA1DD0">
        <w:rPr>
          <w:lang w:val="es-419"/>
        </w:rPr>
        <w:t>El Equipo Técnico da por concluidas cuatro recomendaciones, cuyo texto original se reproduce a continuación:</w:t>
      </w:r>
    </w:p>
    <w:p w14:paraId="34113170" w14:textId="77777777" w:rsidR="00476943" w:rsidRPr="00FA1DD0" w:rsidRDefault="00476943" w:rsidP="00FA1DD0">
      <w:pPr>
        <w:pStyle w:val="ListParagraph"/>
        <w:keepNext/>
        <w:numPr>
          <w:ilvl w:val="0"/>
          <w:numId w:val="9"/>
        </w:numPr>
        <w:spacing w:after="220"/>
        <w:rPr>
          <w:lang w:val="es-419"/>
        </w:rPr>
      </w:pPr>
      <w:r w:rsidRPr="00FA1DD0">
        <w:rPr>
          <w:u w:val="single"/>
          <w:lang w:val="es-419"/>
        </w:rPr>
        <w:t>“R17</w:t>
      </w:r>
      <w:r w:rsidRPr="00FA1DD0">
        <w:rPr>
          <w:lang w:val="es-419"/>
        </w:rPr>
        <w:t>: La labor de preparación de las especificaciones para los informes de búsqueda y examen con arreglo a la Norma ST.96 de la OMPI no debería limitarse a adaptar la Norma ST.36 a las expectativas de la Norma ST.96, sino que debería analizarse si las estructuras facilitan la reutilización de los datos entre las fases de búsqueda y examen, tanto en el seno de una Oficina de PI como entre distintas Oficinas de PI (concluida).</w:t>
      </w:r>
    </w:p>
    <w:p w14:paraId="12A26D5B" w14:textId="77777777" w:rsidR="00476943" w:rsidRPr="00FA1DD0" w:rsidRDefault="00476943" w:rsidP="00476943">
      <w:pPr>
        <w:pStyle w:val="ListParagraph"/>
        <w:spacing w:after="220"/>
        <w:rPr>
          <w:lang w:val="es-419"/>
        </w:rPr>
      </w:pPr>
    </w:p>
    <w:p w14:paraId="7C4A0376" w14:textId="77777777" w:rsidR="00476943" w:rsidRPr="00FA1DD0" w:rsidRDefault="00476943" w:rsidP="00476943">
      <w:pPr>
        <w:pStyle w:val="ListParagraph"/>
        <w:numPr>
          <w:ilvl w:val="0"/>
          <w:numId w:val="9"/>
        </w:numPr>
        <w:spacing w:after="220"/>
        <w:rPr>
          <w:lang w:val="es-419"/>
        </w:rPr>
      </w:pPr>
      <w:r w:rsidRPr="00FA1DD0">
        <w:rPr>
          <w:u w:val="single"/>
          <w:lang w:val="es-419"/>
        </w:rPr>
        <w:t>R23</w:t>
      </w:r>
      <w:r w:rsidRPr="00FA1DD0">
        <w:rPr>
          <w:lang w:val="es-419"/>
        </w:rPr>
        <w:t>: Se alienta a las Oficinas de PI a que proporcionen a la Oficina Internacional su fichero de referencia o el enlace al sitio web donde se encuentra. (concluida);</w:t>
      </w:r>
    </w:p>
    <w:p w14:paraId="3E73CA0B" w14:textId="77777777" w:rsidR="00476943" w:rsidRPr="00FA1DD0" w:rsidRDefault="00476943" w:rsidP="00476943">
      <w:pPr>
        <w:pStyle w:val="ListParagraph"/>
        <w:spacing w:after="220"/>
        <w:rPr>
          <w:lang w:val="es-419"/>
        </w:rPr>
      </w:pPr>
    </w:p>
    <w:p w14:paraId="7B1ACB5A" w14:textId="77777777" w:rsidR="00476943" w:rsidRPr="00FA1DD0" w:rsidRDefault="00476943" w:rsidP="00476943">
      <w:pPr>
        <w:pStyle w:val="ListParagraph"/>
        <w:numPr>
          <w:ilvl w:val="0"/>
          <w:numId w:val="9"/>
        </w:numPr>
        <w:spacing w:after="220"/>
        <w:rPr>
          <w:lang w:val="es-419"/>
        </w:rPr>
      </w:pPr>
      <w:r w:rsidRPr="00FA1DD0">
        <w:rPr>
          <w:u w:val="single"/>
          <w:lang w:val="es-419"/>
        </w:rPr>
        <w:t>R32</w:t>
      </w:r>
      <w:r w:rsidRPr="00FA1DD0">
        <w:rPr>
          <w:lang w:val="es-419"/>
        </w:rPr>
        <w:t>: La calidad de los intercambios entre las Oficinas de PI y con la Oficina Internacional mejoraría si las Oficinas de PI adoptaran la Norma ST.96 de la OMPI para los componentes XML relativos al Sistema de La Haya (concluida);</w:t>
      </w:r>
    </w:p>
    <w:p w14:paraId="4DF84736" w14:textId="77777777" w:rsidR="00476943" w:rsidRPr="00FA1DD0" w:rsidRDefault="00476943" w:rsidP="00476943">
      <w:pPr>
        <w:pStyle w:val="ListParagraph"/>
        <w:spacing w:after="220"/>
        <w:rPr>
          <w:lang w:val="es-419"/>
        </w:rPr>
      </w:pPr>
    </w:p>
    <w:p w14:paraId="48D0C4D9" w14:textId="77777777" w:rsidR="00476943" w:rsidRPr="00FA1DD0" w:rsidRDefault="00476943" w:rsidP="00476943">
      <w:pPr>
        <w:pStyle w:val="ListParagraph"/>
        <w:numPr>
          <w:ilvl w:val="0"/>
          <w:numId w:val="9"/>
        </w:numPr>
        <w:spacing w:after="220"/>
        <w:rPr>
          <w:lang w:val="es-419"/>
        </w:rPr>
      </w:pPr>
      <w:r w:rsidRPr="00FA1DD0">
        <w:rPr>
          <w:u w:val="single"/>
          <w:lang w:val="es-419"/>
        </w:rPr>
        <w:t>R33</w:t>
      </w:r>
      <w:r w:rsidRPr="00FA1DD0">
        <w:rPr>
          <w:lang w:val="es-419"/>
        </w:rPr>
        <w:t>: Es necesario considerar las cuestiones técnicas relacionadas con la admisibilidad de las imágenes en movimiento, junto con los preparativos relativos a la integridad de la transmisión y el almacenamiento, así como de la publicación y el intercambio de datos (concluida, véanse la Norma ST.91 y la Norma ST.69 - marcas multimedia).”</w:t>
      </w:r>
    </w:p>
    <w:p w14:paraId="4980DE0B" w14:textId="5E6BEEA5" w:rsidR="009E738E" w:rsidRPr="00FA1DD0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El Equipo Técnico propone el nuevo conjunto de recomendaciones sobre las TIC y la administración de la PI, que se reproduce en el Anexo del presente documento.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Hay</w:t>
      </w:r>
      <w:r w:rsidR="00821332" w:rsidRPr="00FA1DD0">
        <w:rPr>
          <w:lang w:val="es-419"/>
        </w:rPr>
        <w:t> </w:t>
      </w:r>
      <w:r w:rsidRPr="00FA1DD0">
        <w:rPr>
          <w:lang w:val="es-419"/>
        </w:rPr>
        <w:t>10 recomendaciones con sus correspondientes medidas recomendadas.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También se facilitan, a título informativo, las recomendaciones correspondientes de la lista anterior de 40 recomendaciones.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El Equipo Técnico solicita que el CWS examine el nuevo conjunto de</w:t>
      </w:r>
      <w:r w:rsidR="00821332" w:rsidRPr="00FA1DD0">
        <w:rPr>
          <w:lang w:val="es-419"/>
        </w:rPr>
        <w:t> </w:t>
      </w:r>
      <w:r w:rsidRPr="00FA1DD0">
        <w:rPr>
          <w:lang w:val="es-419"/>
        </w:rPr>
        <w:t>10 recomendaciones y sus medidas recomendadas y considere un calendario para su aplicación.</w:t>
      </w:r>
    </w:p>
    <w:p w14:paraId="15928F8F" w14:textId="292F29FF" w:rsidR="009E738E" w:rsidRDefault="00476943" w:rsidP="00476943">
      <w:pPr>
        <w:spacing w:after="220"/>
        <w:rPr>
          <w:lang w:val="es-419"/>
        </w:rPr>
      </w:pPr>
      <w:r w:rsidRPr="00FA1DD0">
        <w:rPr>
          <w:lang w:val="es-419"/>
        </w:rPr>
        <w:fldChar w:fldCharType="begin"/>
      </w:r>
      <w:r w:rsidRPr="00FA1DD0">
        <w:rPr>
          <w:lang w:val="es-419"/>
        </w:rPr>
        <w:instrText xml:space="preserve"> AUTONUM  </w:instrText>
      </w:r>
      <w:r w:rsidRPr="00FA1DD0">
        <w:rPr>
          <w:lang w:val="es-419"/>
        </w:rPr>
        <w:fldChar w:fldCharType="end"/>
      </w:r>
      <w:r w:rsidRPr="00FA1DD0">
        <w:rPr>
          <w:lang w:val="es-419"/>
        </w:rPr>
        <w:tab/>
        <w:t>El Equipo Técnico también sugiere que el CWS solicite a la Secretaría que emita una circular invitando a sus miembros a formular comentarios sobre estas nuevas recomendaciones propuestas, detalladas en el Anexo del presente documento, después de la presente sesión.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El Equipo Técnico analizará las respuestas de los miembros del CWS y, en la próxima sesión del</w:t>
      </w:r>
      <w:r w:rsidR="00821332" w:rsidRPr="00FA1DD0">
        <w:rPr>
          <w:lang w:val="es-419"/>
        </w:rPr>
        <w:t> </w:t>
      </w:r>
      <w:r w:rsidRPr="00FA1DD0">
        <w:rPr>
          <w:lang w:val="es-419"/>
        </w:rPr>
        <w:t>CWS, informará de los resultados extraídos.</w:t>
      </w:r>
      <w:r w:rsidR="009E738E" w:rsidRPr="00FA1DD0">
        <w:rPr>
          <w:lang w:val="es-419"/>
        </w:rPr>
        <w:t xml:space="preserve"> </w:t>
      </w:r>
      <w:r w:rsidRPr="00FA1DD0">
        <w:rPr>
          <w:lang w:val="es-419"/>
        </w:rPr>
        <w:t>Esa información también se utilizará para mejorar el conjunto de recomendaciones.</w:t>
      </w:r>
    </w:p>
    <w:p w14:paraId="116AE7D8" w14:textId="4D4CF287" w:rsidR="007E0FA7" w:rsidRDefault="007E0FA7" w:rsidP="00476943">
      <w:pPr>
        <w:spacing w:after="220"/>
        <w:rPr>
          <w:lang w:val="es-419"/>
        </w:rPr>
      </w:pPr>
    </w:p>
    <w:p w14:paraId="1C011391" w14:textId="70585214" w:rsidR="007E0FA7" w:rsidRDefault="007E0FA7" w:rsidP="00476943">
      <w:pPr>
        <w:spacing w:after="220"/>
        <w:rPr>
          <w:lang w:val="es-419"/>
        </w:rPr>
      </w:pPr>
    </w:p>
    <w:p w14:paraId="0751B025" w14:textId="63DF3E0D" w:rsidR="007E0FA7" w:rsidRDefault="007E0FA7" w:rsidP="00476943">
      <w:pPr>
        <w:spacing w:after="220"/>
        <w:rPr>
          <w:lang w:val="es-419"/>
        </w:rPr>
      </w:pPr>
    </w:p>
    <w:p w14:paraId="065C64EC" w14:textId="2198704D" w:rsidR="007E0FA7" w:rsidRDefault="007E0FA7" w:rsidP="00476943">
      <w:pPr>
        <w:spacing w:after="220"/>
        <w:rPr>
          <w:lang w:val="es-419"/>
        </w:rPr>
      </w:pPr>
    </w:p>
    <w:p w14:paraId="70190725" w14:textId="0B341A18" w:rsidR="007E0FA7" w:rsidRDefault="007E0FA7" w:rsidP="00476943">
      <w:pPr>
        <w:spacing w:after="220"/>
        <w:rPr>
          <w:lang w:val="es-419"/>
        </w:rPr>
      </w:pPr>
    </w:p>
    <w:p w14:paraId="68D9C3BD" w14:textId="05370C45" w:rsidR="007E0FA7" w:rsidRDefault="007E0FA7" w:rsidP="00476943">
      <w:pPr>
        <w:spacing w:after="220"/>
        <w:rPr>
          <w:lang w:val="es-419"/>
        </w:rPr>
      </w:pPr>
    </w:p>
    <w:p w14:paraId="2BDE680B" w14:textId="0E4A3196" w:rsidR="007E0FA7" w:rsidRDefault="007E0FA7" w:rsidP="00476943">
      <w:pPr>
        <w:spacing w:after="220"/>
        <w:rPr>
          <w:lang w:val="es-419"/>
        </w:rPr>
      </w:pPr>
    </w:p>
    <w:p w14:paraId="4F5CF4D3" w14:textId="3C29185F" w:rsidR="007E0FA7" w:rsidRDefault="007E0FA7" w:rsidP="00476943">
      <w:pPr>
        <w:spacing w:after="220"/>
        <w:rPr>
          <w:lang w:val="es-419"/>
        </w:rPr>
      </w:pPr>
    </w:p>
    <w:p w14:paraId="0F98C690" w14:textId="730631D0" w:rsidR="007E0FA7" w:rsidRDefault="007E0FA7" w:rsidP="00476943">
      <w:pPr>
        <w:spacing w:after="220"/>
        <w:rPr>
          <w:lang w:val="es-419"/>
        </w:rPr>
      </w:pPr>
    </w:p>
    <w:p w14:paraId="4FB1FEE9" w14:textId="7A8CFE58" w:rsidR="007E0FA7" w:rsidRDefault="007E0FA7" w:rsidP="00476943">
      <w:pPr>
        <w:spacing w:after="220"/>
        <w:rPr>
          <w:lang w:val="es-419"/>
        </w:rPr>
      </w:pPr>
    </w:p>
    <w:p w14:paraId="49088F2C" w14:textId="77777777" w:rsidR="007E0FA7" w:rsidRPr="00FA1DD0" w:rsidRDefault="007E0FA7" w:rsidP="00476943">
      <w:pPr>
        <w:spacing w:after="220"/>
        <w:rPr>
          <w:lang w:val="es-419"/>
        </w:rPr>
      </w:pPr>
    </w:p>
    <w:p w14:paraId="0A439ED9" w14:textId="77777777" w:rsidR="00476943" w:rsidRPr="00FA1DD0" w:rsidRDefault="00476943" w:rsidP="00FA1DD0">
      <w:pPr>
        <w:pStyle w:val="ONUME"/>
        <w:numPr>
          <w:ilvl w:val="0"/>
          <w:numId w:val="0"/>
        </w:numPr>
        <w:ind w:left="5534"/>
        <w:rPr>
          <w:lang w:val="es-419"/>
        </w:rPr>
      </w:pPr>
      <w:r w:rsidRPr="00FA1DD0">
        <w:rPr>
          <w:i/>
          <w:lang w:val="es-419"/>
        </w:rPr>
        <w:lastRenderedPageBreak/>
        <w:fldChar w:fldCharType="begin"/>
      </w:r>
      <w:r w:rsidRPr="00FA1DD0">
        <w:rPr>
          <w:i/>
          <w:lang w:val="es-419"/>
        </w:rPr>
        <w:instrText xml:space="preserve"> AUTONUM  </w:instrText>
      </w:r>
      <w:r w:rsidRPr="00FA1DD0">
        <w:rPr>
          <w:i/>
          <w:lang w:val="es-419"/>
        </w:rPr>
        <w:fldChar w:fldCharType="end"/>
      </w:r>
      <w:r w:rsidRPr="00FA1DD0">
        <w:rPr>
          <w:i/>
          <w:lang w:val="es-419"/>
        </w:rPr>
        <w:tab/>
        <w:t>Se invita al CWS a:</w:t>
      </w:r>
    </w:p>
    <w:p w14:paraId="5E365270" w14:textId="77777777" w:rsidR="009E738E" w:rsidRPr="00FA1DD0" w:rsidRDefault="00476943" w:rsidP="00FA1DD0">
      <w:pPr>
        <w:pStyle w:val="ONUME"/>
        <w:numPr>
          <w:ilvl w:val="1"/>
          <w:numId w:val="7"/>
        </w:numPr>
        <w:tabs>
          <w:tab w:val="num" w:pos="6101"/>
        </w:tabs>
        <w:ind w:left="5534" w:firstLine="561"/>
        <w:rPr>
          <w:i/>
          <w:lang w:val="es-419"/>
        </w:rPr>
      </w:pPr>
      <w:r w:rsidRPr="00FA1DD0">
        <w:rPr>
          <w:i/>
          <w:lang w:val="es-419"/>
        </w:rPr>
        <w:t>tomar nota del contenido del presente documento y de su Anexo;</w:t>
      </w:r>
    </w:p>
    <w:p w14:paraId="0B936565" w14:textId="329A22D0" w:rsidR="00476943" w:rsidRPr="00FA1DD0" w:rsidRDefault="00476943" w:rsidP="00476943">
      <w:pPr>
        <w:pStyle w:val="ONUME"/>
        <w:numPr>
          <w:ilvl w:val="1"/>
          <w:numId w:val="7"/>
        </w:numPr>
        <w:tabs>
          <w:tab w:val="num" w:pos="6101"/>
        </w:tabs>
        <w:spacing w:before="240" w:after="0"/>
        <w:ind w:left="5530" w:firstLine="562"/>
        <w:rPr>
          <w:i/>
          <w:lang w:val="es-419"/>
        </w:rPr>
      </w:pPr>
      <w:r w:rsidRPr="00FA1DD0">
        <w:rPr>
          <w:i/>
          <w:lang w:val="es-419"/>
        </w:rPr>
        <w:t>examinar las recomendaciones sobre las TIC y la administración de la PI, que se reproducen en el Anexo del presente documento y a las que se hace referencia en los apartados 6 a 9, y formular comentarios al respecto; y</w:t>
      </w:r>
    </w:p>
    <w:p w14:paraId="30A58B5D" w14:textId="13F28C57" w:rsidR="00476943" w:rsidRPr="00FA1DD0" w:rsidRDefault="00C45B52" w:rsidP="00C45B52">
      <w:pPr>
        <w:pStyle w:val="ONUME"/>
        <w:numPr>
          <w:ilvl w:val="1"/>
          <w:numId w:val="7"/>
        </w:numPr>
        <w:tabs>
          <w:tab w:val="num" w:pos="6101"/>
        </w:tabs>
        <w:spacing w:before="240" w:after="480"/>
        <w:ind w:left="5530" w:firstLine="562"/>
        <w:rPr>
          <w:i/>
          <w:lang w:val="es-419"/>
        </w:rPr>
      </w:pPr>
      <w:r w:rsidRPr="00FA1DD0">
        <w:rPr>
          <w:i/>
          <w:lang w:val="es-419"/>
        </w:rPr>
        <w:t>solicitar</w:t>
      </w:r>
      <w:r w:rsidR="00476943" w:rsidRPr="00FA1DD0">
        <w:rPr>
          <w:i/>
          <w:lang w:val="es-419"/>
        </w:rPr>
        <w:t xml:space="preserve"> a la Secretaría que emita una circular invitando a sus miembros a formular comentarios acerca de las Recomendaciones propuestas sobre las TIC y la administración de la PI y al Equipo Técnico de Estrategia de TIC para las Normas Técnicas que informe sobre los resultados de las respuestas, según se propone en el párrafo 10, más arriba.</w:t>
      </w:r>
    </w:p>
    <w:p w14:paraId="077BF744" w14:textId="0C129684" w:rsidR="00152CEA" w:rsidRPr="00FA1DD0" w:rsidRDefault="00476943" w:rsidP="00C45B52">
      <w:pPr>
        <w:pStyle w:val="Endofdocument"/>
        <w:rPr>
          <w:lang w:val="es-419"/>
        </w:rPr>
      </w:pPr>
      <w:r w:rsidRPr="00FA1DD0">
        <w:rPr>
          <w:lang w:val="es-419"/>
        </w:rPr>
        <w:t>[Sigue el Anexo]</w:t>
      </w:r>
    </w:p>
    <w:sectPr w:rsidR="00152CEA" w:rsidRPr="00FA1DD0" w:rsidSect="00476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062C1" w14:textId="77777777" w:rsidR="00476943" w:rsidRDefault="00476943">
      <w:r>
        <w:separator/>
      </w:r>
    </w:p>
  </w:endnote>
  <w:endnote w:type="continuationSeparator" w:id="0">
    <w:p w14:paraId="26F47B8F" w14:textId="77777777" w:rsidR="00476943" w:rsidRPr="009D30E6" w:rsidRDefault="004769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C34E269" w14:textId="77777777" w:rsidR="00476943" w:rsidRPr="007E663E" w:rsidRDefault="004769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D82F136" w14:textId="77777777" w:rsidR="00476943" w:rsidRPr="007E663E" w:rsidRDefault="0047694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E00A" w14:textId="77777777" w:rsidR="007E0FA7" w:rsidRDefault="007E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AE34" w14:textId="77777777" w:rsidR="007E0FA7" w:rsidRDefault="007E0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5440" w14:textId="77777777" w:rsidR="007E0FA7" w:rsidRDefault="007E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CA76" w14:textId="77777777" w:rsidR="00476943" w:rsidRDefault="00476943">
      <w:r>
        <w:separator/>
      </w:r>
    </w:p>
  </w:footnote>
  <w:footnote w:type="continuationSeparator" w:id="0">
    <w:p w14:paraId="723C1259" w14:textId="77777777" w:rsidR="00476943" w:rsidRPr="009D30E6" w:rsidRDefault="004769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598DA3F" w14:textId="77777777" w:rsidR="00476943" w:rsidRPr="007E663E" w:rsidRDefault="004769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CC11E7F" w14:textId="77777777" w:rsidR="00476943" w:rsidRPr="007E663E" w:rsidRDefault="0047694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62F6" w14:textId="77777777" w:rsidR="007E0FA7" w:rsidRDefault="007E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3B40" w14:textId="4F1F98F2" w:rsidR="00F84474" w:rsidRDefault="00476943" w:rsidP="00477D6B">
    <w:pPr>
      <w:jc w:val="right"/>
    </w:pPr>
    <w:bookmarkStart w:id="5" w:name="Code2"/>
    <w:bookmarkEnd w:id="5"/>
    <w:r>
      <w:t>CWS/11/</w:t>
    </w:r>
    <w:r w:rsidR="00FA1DD0">
      <w:t>1</w:t>
    </w:r>
    <w:r>
      <w:t>8</w:t>
    </w:r>
  </w:p>
  <w:p w14:paraId="2A45AF76" w14:textId="77777777"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C55D5">
      <w:rPr>
        <w:noProof/>
      </w:rPr>
      <w:t>1</w:t>
    </w:r>
    <w:r>
      <w:fldChar w:fldCharType="end"/>
    </w:r>
  </w:p>
  <w:p w14:paraId="4E6917F6" w14:textId="77777777" w:rsidR="00F84474" w:rsidRDefault="00F84474" w:rsidP="00477D6B">
    <w:pPr>
      <w:jc w:val="right"/>
    </w:pPr>
  </w:p>
  <w:p w14:paraId="30C906E5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D5F3" w14:textId="77777777" w:rsidR="007E0FA7" w:rsidRDefault="007E0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1173EF"/>
    <w:multiLevelType w:val="hybridMultilevel"/>
    <w:tmpl w:val="BC3E2E1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2E73562"/>
    <w:multiLevelType w:val="hybridMultilevel"/>
    <w:tmpl w:val="FC586208"/>
    <w:lvl w:ilvl="0" w:tplc="E0104EA8">
      <w:start w:val="1"/>
      <w:numFmt w:val="lowerLetter"/>
      <w:lvlText w:val="%1)"/>
      <w:lvlJc w:val="left"/>
      <w:pPr>
        <w:ind w:left="1147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24A460FC"/>
    <w:multiLevelType w:val="hybridMultilevel"/>
    <w:tmpl w:val="C59ED63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0C77"/>
    <w:multiLevelType w:val="multilevel"/>
    <w:tmpl w:val="A464232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D542E3"/>
    <w:multiLevelType w:val="multilevel"/>
    <w:tmpl w:val="7E16A5B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ind w:left="1282" w:hanging="36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782E4A9C"/>
    <w:multiLevelType w:val="hybridMultilevel"/>
    <w:tmpl w:val="E83CEB1E"/>
    <w:lvl w:ilvl="0" w:tplc="040A0017">
      <w:start w:val="1"/>
      <w:numFmt w:val="lowerLetter"/>
      <w:lvlText w:val="%1)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num w:numId="1" w16cid:durableId="1703945256">
    <w:abstractNumId w:val="3"/>
  </w:num>
  <w:num w:numId="2" w16cid:durableId="1953240137">
    <w:abstractNumId w:val="8"/>
  </w:num>
  <w:num w:numId="3" w16cid:durableId="1482884013">
    <w:abstractNumId w:val="0"/>
  </w:num>
  <w:num w:numId="4" w16cid:durableId="147482543">
    <w:abstractNumId w:val="9"/>
  </w:num>
  <w:num w:numId="5" w16cid:durableId="2101438900">
    <w:abstractNumId w:val="1"/>
  </w:num>
  <w:num w:numId="6" w16cid:durableId="1501385099">
    <w:abstractNumId w:val="4"/>
  </w:num>
  <w:num w:numId="7" w16cid:durableId="602955464">
    <w:abstractNumId w:val="10"/>
  </w:num>
  <w:num w:numId="8" w16cid:durableId="1545828498">
    <w:abstractNumId w:val="7"/>
  </w:num>
  <w:num w:numId="9" w16cid:durableId="1401637341">
    <w:abstractNumId w:val="2"/>
  </w:num>
  <w:num w:numId="10" w16cid:durableId="1841431318">
    <w:abstractNumId w:val="6"/>
  </w:num>
  <w:num w:numId="11" w16cid:durableId="573586558">
    <w:abstractNumId w:val="11"/>
  </w:num>
  <w:num w:numId="12" w16cid:durableId="1745638635">
    <w:abstractNumId w:val="5"/>
  </w:num>
  <w:num w:numId="13" w16cid:durableId="477772078">
    <w:abstractNumId w:val="1"/>
  </w:num>
  <w:num w:numId="14" w16cid:durableId="1259218942">
    <w:abstractNumId w:val="1"/>
  </w:num>
  <w:num w:numId="15" w16cid:durableId="558370326">
    <w:abstractNumId w:val="1"/>
  </w:num>
  <w:num w:numId="16" w16cid:durableId="60234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43"/>
    <w:rsid w:val="000E3BB3"/>
    <w:rsid w:val="000F5E56"/>
    <w:rsid w:val="00101EC8"/>
    <w:rsid w:val="00110D0F"/>
    <w:rsid w:val="001362EE"/>
    <w:rsid w:val="00152CEA"/>
    <w:rsid w:val="001832A6"/>
    <w:rsid w:val="001C4DD3"/>
    <w:rsid w:val="001C55D5"/>
    <w:rsid w:val="001D50D1"/>
    <w:rsid w:val="002634C4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6943"/>
    <w:rsid w:val="00477D6B"/>
    <w:rsid w:val="004A6C37"/>
    <w:rsid w:val="004F7418"/>
    <w:rsid w:val="00511D0C"/>
    <w:rsid w:val="00523E82"/>
    <w:rsid w:val="0055013B"/>
    <w:rsid w:val="0056224D"/>
    <w:rsid w:val="00571B99"/>
    <w:rsid w:val="005D64EC"/>
    <w:rsid w:val="00605827"/>
    <w:rsid w:val="0066216D"/>
    <w:rsid w:val="00664847"/>
    <w:rsid w:val="00675021"/>
    <w:rsid w:val="006A06C6"/>
    <w:rsid w:val="007A57FB"/>
    <w:rsid w:val="007E0FA7"/>
    <w:rsid w:val="007E63AC"/>
    <w:rsid w:val="007E663E"/>
    <w:rsid w:val="00815082"/>
    <w:rsid w:val="00821332"/>
    <w:rsid w:val="00843582"/>
    <w:rsid w:val="00884791"/>
    <w:rsid w:val="008B14EA"/>
    <w:rsid w:val="008B2CC1"/>
    <w:rsid w:val="009003E7"/>
    <w:rsid w:val="0090731E"/>
    <w:rsid w:val="00966A22"/>
    <w:rsid w:val="00972F03"/>
    <w:rsid w:val="009A0C8B"/>
    <w:rsid w:val="009B6241"/>
    <w:rsid w:val="009E738E"/>
    <w:rsid w:val="00A16FC0"/>
    <w:rsid w:val="00A32C9E"/>
    <w:rsid w:val="00A7453D"/>
    <w:rsid w:val="00AB613D"/>
    <w:rsid w:val="00B06FDC"/>
    <w:rsid w:val="00B65A0A"/>
    <w:rsid w:val="00B72D36"/>
    <w:rsid w:val="00BA063E"/>
    <w:rsid w:val="00BC4164"/>
    <w:rsid w:val="00BD2DCC"/>
    <w:rsid w:val="00BE1A8C"/>
    <w:rsid w:val="00C06472"/>
    <w:rsid w:val="00C45B52"/>
    <w:rsid w:val="00C659D4"/>
    <w:rsid w:val="00C90559"/>
    <w:rsid w:val="00CD5D91"/>
    <w:rsid w:val="00D36B79"/>
    <w:rsid w:val="00D40CF0"/>
    <w:rsid w:val="00D56C7C"/>
    <w:rsid w:val="00D71B4D"/>
    <w:rsid w:val="00D90289"/>
    <w:rsid w:val="00D93D55"/>
    <w:rsid w:val="00E45C84"/>
    <w:rsid w:val="00E504E5"/>
    <w:rsid w:val="00E64585"/>
    <w:rsid w:val="00E73ABF"/>
    <w:rsid w:val="00EB7A3E"/>
    <w:rsid w:val="00EC401A"/>
    <w:rsid w:val="00EF530A"/>
    <w:rsid w:val="00EF6622"/>
    <w:rsid w:val="00F55408"/>
    <w:rsid w:val="00F66152"/>
    <w:rsid w:val="00F80845"/>
    <w:rsid w:val="00F84474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0438D"/>
  <w15:docId w15:val="{38C518A4-EE6F-41D4-8EB0-2F788575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47694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Hyperlink">
    <w:name w:val="Hyperlink"/>
    <w:uiPriority w:val="99"/>
    <w:unhideWhenUsed/>
    <w:rsid w:val="00476943"/>
    <w:rPr>
      <w:color w:val="0000FF"/>
      <w:u w:val="single"/>
    </w:rPr>
  </w:style>
  <w:style w:type="paragraph" w:customStyle="1" w:styleId="Endofdocument">
    <w:name w:val="End of document"/>
    <w:basedOn w:val="Normal"/>
    <w:rsid w:val="00476943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basedOn w:val="DefaultParagraphFont"/>
    <w:link w:val="ONUME"/>
    <w:rsid w:val="00476943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47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ws/es/cws-rules-procedur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CWS_11  (S)</Template>
  <TotalTime>1</TotalTime>
  <Pages>4</Pages>
  <Words>1341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CWS/11/18</vt:lpstr>
    </vt:vector>
  </TitlesOfParts>
  <Company>WIPO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CWS/11/18</dc:title>
  <dc:subject/>
  <dc:creator>WIPO</dc:creator>
  <cp:keywords>CWS/11, Spanish version</cp:keywords>
  <cp:lastModifiedBy>MOSTAJO Apolonia</cp:lastModifiedBy>
  <cp:revision>2</cp:revision>
  <dcterms:created xsi:type="dcterms:W3CDTF">2023-11-06T14:52:00Z</dcterms:created>
  <dcterms:modified xsi:type="dcterms:W3CDTF">2023-11-06T14:52:00Z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2023-11-06T12:31:13Z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bd3e4c0a-15cc-4afc-a590-8e702b31a80d</vt:lpwstr>
  </property>
  <property fmtid="{D5CDD505-2E9C-101B-9397-08002B2CF9AE}" pid="14" name="MSIP_Label_20773ee6-353b-4fb9-a59d-0b94c8c67bea_ContentBits">
    <vt:lpwstr>0</vt:lpwstr>
  </property>
</Properties>
</file>