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1E6E" w14:textId="77777777" w:rsidR="008B2CC1" w:rsidRPr="0040540C" w:rsidRDefault="0040540C" w:rsidP="00533626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039611FA" wp14:editId="2F3C5C78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54F0F" w14:textId="77777777" w:rsidR="00B1090C" w:rsidRDefault="00533626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CWS/11</w:t>
      </w:r>
      <w:bookmarkStart w:id="0" w:name="Code"/>
      <w:bookmarkEnd w:id="0"/>
      <w:r w:rsidR="00A7116D">
        <w:rPr>
          <w:rFonts w:ascii="Arial Black" w:hAnsi="Arial Black"/>
          <w:caps/>
          <w:sz w:val="15"/>
        </w:rPr>
        <w:t>/10</w:t>
      </w:r>
    </w:p>
    <w:p w14:paraId="7B66B7E8" w14:textId="77777777"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9506DB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A7116D">
        <w:rPr>
          <w:rFonts w:ascii="Arial Black" w:hAnsi="Arial Black"/>
          <w:caps/>
          <w:sz w:val="15"/>
        </w:rPr>
        <w:t>anglais</w:t>
      </w:r>
    </w:p>
    <w:bookmarkEnd w:id="1"/>
    <w:p w14:paraId="2EAA27BC" w14:textId="77777777"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9506DB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A7116D">
        <w:rPr>
          <w:rFonts w:ascii="Arial Black" w:hAnsi="Arial Black"/>
          <w:caps/>
          <w:sz w:val="15"/>
        </w:rPr>
        <w:t>1</w:t>
      </w:r>
      <w:r w:rsidR="009506DB">
        <w:rPr>
          <w:rFonts w:ascii="Arial Black" w:hAnsi="Arial Black"/>
          <w:caps/>
          <w:sz w:val="15"/>
        </w:rPr>
        <w:t>3 octobre 20</w:t>
      </w:r>
      <w:r w:rsidR="00A7116D">
        <w:rPr>
          <w:rFonts w:ascii="Arial Black" w:hAnsi="Arial Black"/>
          <w:caps/>
          <w:sz w:val="15"/>
        </w:rPr>
        <w:t>23</w:t>
      </w:r>
    </w:p>
    <w:bookmarkEnd w:id="2"/>
    <w:p w14:paraId="50C312DD" w14:textId="77777777" w:rsidR="00533626" w:rsidRPr="00197881" w:rsidRDefault="00533626" w:rsidP="00533626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9506DB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66B791A2" w14:textId="77777777" w:rsidR="00A7116D" w:rsidRPr="00846CF6" w:rsidRDefault="00A7116D" w:rsidP="00A7116D">
      <w:pPr>
        <w:outlineLvl w:val="1"/>
        <w:rPr>
          <w:b/>
          <w:sz w:val="24"/>
          <w:szCs w:val="24"/>
        </w:rPr>
      </w:pPr>
      <w:bookmarkStart w:id="3" w:name="TitleOfDoc"/>
      <w:r>
        <w:rPr>
          <w:b/>
          <w:sz w:val="24"/>
        </w:rPr>
        <w:t>Onz</w:t>
      </w:r>
      <w:r w:rsidR="009506DB">
        <w:rPr>
          <w:b/>
          <w:sz w:val="24"/>
        </w:rPr>
        <w:t>ième session</w:t>
      </w:r>
    </w:p>
    <w:p w14:paraId="2B5ADC87" w14:textId="77777777" w:rsidR="00A7116D" w:rsidRDefault="00A7116D" w:rsidP="00A7116D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Genève, 4 – 8 décembre 2023</w:t>
      </w:r>
    </w:p>
    <w:p w14:paraId="57CAF75D" w14:textId="77777777" w:rsidR="008B2CC1" w:rsidRPr="00A7116D" w:rsidRDefault="00A7116D" w:rsidP="00B1090C">
      <w:pPr>
        <w:spacing w:after="360"/>
        <w:rPr>
          <w:caps/>
          <w:sz w:val="24"/>
        </w:rPr>
      </w:pPr>
      <w:r w:rsidRPr="00A7116D">
        <w:rPr>
          <w:caps/>
          <w:sz w:val="24"/>
        </w:rPr>
        <w:t>Rapport présenté par le Bureau international sur la prestation de services consultatifs et d</w:t>
      </w:r>
      <w:r w:rsidR="009506DB">
        <w:rPr>
          <w:caps/>
          <w:sz w:val="24"/>
        </w:rPr>
        <w:t>’</w:t>
      </w:r>
      <w:r w:rsidRPr="00A7116D">
        <w:rPr>
          <w:caps/>
          <w:sz w:val="24"/>
        </w:rPr>
        <w:t>assistance technique aux fins du renforcement des capacités des offices de propriété industrielle en rapport avec le mandat</w:t>
      </w:r>
      <w:r w:rsidR="009506DB" w:rsidRPr="00A7116D">
        <w:rPr>
          <w:caps/>
          <w:sz w:val="24"/>
        </w:rPr>
        <w:t xml:space="preserve"> du</w:t>
      </w:r>
      <w:r w:rsidR="009506DB">
        <w:rPr>
          <w:caps/>
          <w:sz w:val="24"/>
        </w:rPr>
        <w:t> </w:t>
      </w:r>
      <w:r w:rsidR="009506DB" w:rsidRPr="00A7116D">
        <w:rPr>
          <w:caps/>
          <w:sz w:val="24"/>
        </w:rPr>
        <w:t>CWS</w:t>
      </w:r>
    </w:p>
    <w:p w14:paraId="2080A033" w14:textId="77777777" w:rsidR="008B2CC1" w:rsidRPr="008B2CC1" w:rsidRDefault="00A7116D" w:rsidP="00726A01">
      <w:pPr>
        <w:spacing w:after="96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Bureau international</w:t>
      </w:r>
    </w:p>
    <w:p w14:paraId="018E9036" w14:textId="77777777" w:rsidR="00A7116D" w:rsidRPr="00B82EC7" w:rsidRDefault="00A7116D" w:rsidP="00B82EC7">
      <w:pPr>
        <w:pStyle w:val="Heading2"/>
      </w:pPr>
      <w:r w:rsidRPr="00B82EC7">
        <w:t>I</w:t>
      </w:r>
      <w:r w:rsidR="00B82EC7" w:rsidRPr="00B82EC7">
        <w:t>ntroduction</w:t>
      </w:r>
    </w:p>
    <w:p w14:paraId="553F0643" w14:textId="77777777" w:rsidR="009506DB" w:rsidRDefault="00A7116D" w:rsidP="00B82EC7">
      <w:pPr>
        <w:pStyle w:val="ONUMFS"/>
        <w:rPr>
          <w:color w:val="000000" w:themeColor="text1"/>
        </w:rPr>
      </w:pPr>
      <w:r>
        <w:t>Le présent rapport vise à mettre en œuvre la décision prise par l</w:t>
      </w:r>
      <w:r w:rsidR="009506DB">
        <w:t>’</w:t>
      </w:r>
      <w:r>
        <w:t xml:space="preserve">Assemblée générale </w:t>
      </w:r>
      <w:r w:rsidR="009506DB">
        <w:t>en 2011</w:t>
      </w:r>
      <w:r>
        <w:t xml:space="preserve"> eu égard au mandat du Comité des normes de l</w:t>
      </w:r>
      <w:r w:rsidR="009506DB">
        <w:t>’</w:t>
      </w:r>
      <w:r>
        <w:t xml:space="preserve">OMPI (CWS) et à la soumission régulière de rapports écrits sur le détail des activités menées </w:t>
      </w:r>
      <w:r w:rsidR="009506DB">
        <w:t>en 2022</w:t>
      </w:r>
      <w:r>
        <w:t xml:space="preserve"> dans le cadre desquelles le Secrétariat ou le Bureau international de l</w:t>
      </w:r>
      <w:r w:rsidR="009506DB">
        <w:t>’</w:t>
      </w:r>
      <w:r>
        <w:t>OMPI s</w:t>
      </w:r>
      <w:r w:rsidR="009506DB">
        <w:t>’</w:t>
      </w:r>
      <w:r>
        <w:t>est efforcé “de fournir des services consultatifs et d</w:t>
      </w:r>
      <w:r w:rsidR="009506DB">
        <w:t>’</w:t>
      </w:r>
      <w:r>
        <w:t>assistance technique aux fins du renforcement des capacités aux offices de propriété intellectuelle en entreprenant des projets relatifs à la diffusion de l</w:t>
      </w:r>
      <w:r w:rsidR="009506DB">
        <w:t>’</w:t>
      </w:r>
      <w:r>
        <w:t xml:space="preserve">information en matière de normes de propriété intellectuelle” (voir le </w:t>
      </w:r>
      <w:r w:rsidR="009506DB">
        <w:t>paragraphe 1</w:t>
      </w:r>
      <w:r>
        <w:t xml:space="preserve">90 du </w:t>
      </w:r>
      <w:proofErr w:type="gramStart"/>
      <w:r>
        <w:t>document</w:t>
      </w:r>
      <w:proofErr w:type="gramEnd"/>
      <w:r w:rsidR="004F6A84">
        <w:t> </w:t>
      </w:r>
      <w:r>
        <w:t>WO/GA/40/19).  La liste complète de ces activités figure dans la base de données relative à l</w:t>
      </w:r>
      <w:r w:rsidR="009506DB">
        <w:t>’</w:t>
      </w:r>
      <w:r>
        <w:t>assistance technique (</w:t>
      </w:r>
      <w:hyperlink r:id="rId9" w:history="1">
        <w:r>
          <w:rPr>
            <w:rStyle w:val="Hyperlink"/>
            <w:color w:val="000000" w:themeColor="text1"/>
          </w:rPr>
          <w:t>www.wipo.int/tad</w:t>
        </w:r>
      </w:hyperlink>
      <w:r>
        <w:t>).</w:t>
      </w:r>
    </w:p>
    <w:p w14:paraId="6DE01D58" w14:textId="77777777" w:rsidR="00A7116D" w:rsidRPr="00A6078A" w:rsidRDefault="00B82EC7" w:rsidP="00B82EC7">
      <w:pPr>
        <w:pStyle w:val="ONUMFS"/>
      </w:pPr>
      <w:r>
        <w:t>L</w:t>
      </w:r>
      <w:r w:rsidR="00A7116D">
        <w:t>es normes de l</w:t>
      </w:r>
      <w:r w:rsidR="009506DB">
        <w:t>’</w:t>
      </w:r>
      <w:r w:rsidR="00A7116D">
        <w:t>OMPI étant appliquées dans divers systèmes et outils logi</w:t>
      </w:r>
      <w:r w:rsidR="004F6A84">
        <w:t>ci</w:t>
      </w:r>
      <w:r w:rsidR="00A7116D">
        <w:t>els de l</w:t>
      </w:r>
      <w:r w:rsidR="009506DB">
        <w:t>’</w:t>
      </w:r>
      <w:r w:rsidR="00A7116D">
        <w:t>Organisation, tels que les Solutions opérationnelles de l</w:t>
      </w:r>
      <w:r w:rsidR="009506DB">
        <w:t>’</w:t>
      </w:r>
      <w:r w:rsidR="00A7116D">
        <w:t>OMPI à l</w:t>
      </w:r>
      <w:r w:rsidR="009506DB">
        <w:t>’</w:t>
      </w:r>
      <w:r w:rsidR="00A7116D">
        <w:t xml:space="preserve">intention des offices de propriété intellectuelle ou WIPO </w:t>
      </w:r>
      <w:proofErr w:type="spellStart"/>
      <w:r w:rsidR="00A7116D">
        <w:t>Sequence</w:t>
      </w:r>
      <w:proofErr w:type="spellEnd"/>
      <w:r w:rsidR="00A7116D">
        <w:t>, les activités indiquées ci</w:t>
      </w:r>
      <w:r>
        <w:noBreakHyphen/>
      </w:r>
      <w:r w:rsidR="00A7116D">
        <w:t>après portent aussi implicitement sur la diffusion d</w:t>
      </w:r>
      <w:r w:rsidR="009506DB">
        <w:t>’</w:t>
      </w:r>
      <w:r w:rsidR="00A7116D">
        <w:t>informations pertinentes en matière de normes de propriété intellectuelle.</w:t>
      </w:r>
    </w:p>
    <w:p w14:paraId="49D29894" w14:textId="77777777" w:rsidR="00A7116D" w:rsidRPr="00B82EC7" w:rsidRDefault="00B82EC7" w:rsidP="00B82EC7">
      <w:pPr>
        <w:pStyle w:val="Heading2"/>
      </w:pPr>
      <w:r w:rsidRPr="00B82EC7">
        <w:lastRenderedPageBreak/>
        <w:t>Formation à l’utilisation des normes de l’OMPI et services consultatifs connexes</w:t>
      </w:r>
    </w:p>
    <w:p w14:paraId="2F3436EA" w14:textId="77777777" w:rsidR="00A7116D" w:rsidRDefault="009506DB" w:rsidP="00B82EC7">
      <w:pPr>
        <w:pStyle w:val="ONUMFS"/>
      </w:pPr>
      <w:r>
        <w:t>En 2022</w:t>
      </w:r>
      <w:r w:rsidR="00A7116D">
        <w:t>, le Bureau international a fourni des services consultatifs aux offices de propriété industrielle afin d</w:t>
      </w:r>
      <w:r>
        <w:t>’</w:t>
      </w:r>
      <w:r w:rsidR="00A7116D">
        <w:t>aider ces derniers et leurs utilisateurs à utiliser les normes de l</w:t>
      </w:r>
      <w:r>
        <w:t>’</w:t>
      </w:r>
      <w:r w:rsidR="00A7116D">
        <w:t>OMPI, cela au moyen de courriers électroniques et lors de conférences en ligne.</w:t>
      </w:r>
    </w:p>
    <w:p w14:paraId="012B7DFD" w14:textId="77777777" w:rsidR="009506DB" w:rsidRDefault="00A7116D" w:rsidP="00B82EC7">
      <w:pPr>
        <w:pStyle w:val="ONUMFS"/>
        <w:rPr>
          <w:color w:val="000000" w:themeColor="text1"/>
        </w:rPr>
      </w:pPr>
      <w:r>
        <w:t>Le Bureau international a reçu une série de demandes d</w:t>
      </w:r>
      <w:r w:rsidR="009506DB">
        <w:t>’</w:t>
      </w:r>
      <w:r>
        <w:t xml:space="preserve">assistance technique et de formation </w:t>
      </w:r>
      <w:r w:rsidR="009506DB">
        <w:t>en 2022</w:t>
      </w:r>
      <w:r>
        <w:t>, concernant l</w:t>
      </w:r>
      <w:r w:rsidR="009506DB">
        <w:t>’</w:t>
      </w:r>
      <w:r>
        <w:t>utilisation de WIPO </w:t>
      </w:r>
      <w:proofErr w:type="spellStart"/>
      <w:r>
        <w:t>Sequence</w:t>
      </w:r>
      <w:proofErr w:type="spellEnd"/>
      <w:r>
        <w:t>, dans des langues autres que l</w:t>
      </w:r>
      <w:r w:rsidR="009506DB">
        <w:t>’</w:t>
      </w:r>
      <w:r>
        <w:t>angla</w:t>
      </w:r>
      <w:r w:rsidR="004F6A84">
        <w:t>is.  En</w:t>
      </w:r>
      <w:r>
        <w:t xml:space="preserve"> réponse, le Bureau </w:t>
      </w:r>
      <w:r w:rsidR="004F6A84">
        <w:t>i</w:t>
      </w:r>
      <w:r>
        <w:t>nternational a accueilli une formation, en collaboration avec des experts mis à disposition par les offices de propriété intellectuelle, dans les neuf autres langues de publication</w:t>
      </w:r>
      <w:r w:rsidR="009506DB">
        <w:t xml:space="preserve"> du </w:t>
      </w:r>
      <w:r w:rsidR="004F6A84">
        <w:t>PCT.  Un</w:t>
      </w:r>
      <w:r>
        <w:t>e formation à l</w:t>
      </w:r>
      <w:r w:rsidR="009506DB">
        <w:t>’</w:t>
      </w:r>
      <w:r>
        <w:t xml:space="preserve">utilisation de WIPO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Validator</w:t>
      </w:r>
      <w:proofErr w:type="spellEnd"/>
      <w:r>
        <w:t xml:space="preserve"> a également été proposée en espagnol à la demande de l</w:t>
      </w:r>
      <w:r w:rsidR="009506DB">
        <w:t>’</w:t>
      </w:r>
      <w:r>
        <w:t>Office de la propriété intellectuelle de la République dominicaine (ONAPI).  On trouvera de plus amples informations sur les formations ou les webinaires relatifs à l</w:t>
      </w:r>
      <w:r w:rsidR="009506DB">
        <w:t>’</w:t>
      </w:r>
      <w:r>
        <w:t>utilisation des normes de l</w:t>
      </w:r>
      <w:r w:rsidR="009506DB">
        <w:t>’</w:t>
      </w:r>
      <w:r>
        <w:t>OMPI sur le site Web, à l</w:t>
      </w:r>
      <w:r w:rsidR="009506DB">
        <w:t>’</w:t>
      </w:r>
      <w:r>
        <w:t xml:space="preserve">adresse </w:t>
      </w:r>
      <w:r w:rsidR="00B82EC7">
        <w:t xml:space="preserve">suivante : </w:t>
      </w:r>
      <w:hyperlink r:id="rId10" w:history="1">
        <w:r>
          <w:rPr>
            <w:rStyle w:val="Hyperlink"/>
            <w:color w:val="000000" w:themeColor="text1"/>
          </w:rPr>
          <w:t>https://www.wipo.int/cws/fr/trainings.html</w:t>
        </w:r>
      </w:hyperlink>
      <w:r>
        <w:t>.</w:t>
      </w:r>
    </w:p>
    <w:p w14:paraId="7C8CF141" w14:textId="77777777" w:rsidR="009506DB" w:rsidRDefault="00B82EC7" w:rsidP="00B82EC7">
      <w:pPr>
        <w:pStyle w:val="ONUMFS"/>
      </w:pPr>
      <w:r>
        <w:t>P</w:t>
      </w:r>
      <w:r w:rsidR="00A7116D">
        <w:t>our continuer d</w:t>
      </w:r>
      <w:r w:rsidR="009506DB">
        <w:t>’</w:t>
      </w:r>
      <w:r w:rsidR="00A7116D">
        <w:t>aider les offices de propriété intellectuelle et les déposants à mettre en œuvre la norme ST.26 de l</w:t>
      </w:r>
      <w:r w:rsidR="009506DB">
        <w:t>’</w:t>
      </w:r>
      <w:r w:rsidR="00A7116D">
        <w:t>OMPI, le Bureau international a continué d</w:t>
      </w:r>
      <w:r w:rsidR="009506DB">
        <w:t>’</w:t>
      </w:r>
      <w:r w:rsidR="00A7116D">
        <w:t>améliorer la suite logicielle WIPO </w:t>
      </w:r>
      <w:proofErr w:type="spellStart"/>
      <w:r w:rsidR="00A7116D">
        <w:t>Sequence</w:t>
      </w:r>
      <w:proofErr w:type="spellEnd"/>
      <w:r w:rsidR="00A7116D">
        <w:t>, en étroite collaboration avec les offices de propriété intellectuel</w:t>
      </w:r>
      <w:r w:rsidR="004F6A84">
        <w:t>le.  L’o</w:t>
      </w:r>
      <w:r w:rsidR="00A7116D">
        <w:t xml:space="preserve">bjectif du projet de développement mené au cours du premier semestre </w:t>
      </w:r>
      <w:r w:rsidR="009506DB">
        <w:t>de 2022</w:t>
      </w:r>
      <w:r w:rsidR="00A7116D">
        <w:t xml:space="preserve"> était de proposer aux utilisateurs un produit minimum viable, pour une date d</w:t>
      </w:r>
      <w:r w:rsidR="009506DB">
        <w:t>’</w:t>
      </w:r>
      <w:r w:rsidR="00A7116D">
        <w:t>entrée en vigueur fixée au</w:t>
      </w:r>
      <w:r w:rsidR="009506DB">
        <w:t xml:space="preserve"> 1</w:t>
      </w:r>
      <w:r w:rsidR="009506DB" w:rsidRPr="009506DB">
        <w:rPr>
          <w:vertAlign w:val="superscript"/>
        </w:rPr>
        <w:t>er</w:t>
      </w:r>
      <w:r w:rsidR="009506DB">
        <w:t> juillet 20</w:t>
      </w:r>
      <w:r w:rsidR="00A7116D">
        <w:t>22.  Ce projet a été mis en œuvre avec succès à la mi</w:t>
      </w:r>
      <w:r>
        <w:noBreakHyphen/>
      </w:r>
      <w:r w:rsidR="009506DB">
        <w:t>juin 20</w:t>
      </w:r>
      <w:r w:rsidR="00A7116D">
        <w:t xml:space="preserve">22.  Des informations plus détaillées sur le logiciel, </w:t>
      </w:r>
      <w:r w:rsidR="009506DB">
        <w:t>y compris</w:t>
      </w:r>
      <w:r w:rsidR="00A7116D">
        <w:t xml:space="preserve"> les derniers téléchargements et le Manuel de l</w:t>
      </w:r>
      <w:r w:rsidR="009506DB">
        <w:t>’</w:t>
      </w:r>
      <w:r w:rsidR="00A7116D">
        <w:t>utilisateur, peuvent être obtenues sur le site</w:t>
      </w:r>
      <w:r w:rsidR="00D522AE">
        <w:t> </w:t>
      </w:r>
      <w:r w:rsidR="00A7116D">
        <w:t>Web de l</w:t>
      </w:r>
      <w:r w:rsidR="009506DB">
        <w:t>’</w:t>
      </w:r>
      <w:r w:rsidR="00A7116D">
        <w:t>OMPI, à l</w:t>
      </w:r>
      <w:r w:rsidR="009506DB">
        <w:t>’</w:t>
      </w:r>
      <w:r w:rsidR="00A7116D">
        <w:t xml:space="preserve">adresse </w:t>
      </w:r>
      <w:r>
        <w:t xml:space="preserve">suivante : </w:t>
      </w:r>
      <w:hyperlink r:id="rId11" w:history="1">
        <w:r w:rsidR="00A7116D">
          <w:rPr>
            <w:rStyle w:val="Hyperlink"/>
            <w:color w:val="000000" w:themeColor="text1"/>
          </w:rPr>
          <w:t>https://www.wipo.int/standards/fr/sequence/index.html</w:t>
        </w:r>
      </w:hyperlink>
      <w:r w:rsidR="00A7116D">
        <w:t>.</w:t>
      </w:r>
    </w:p>
    <w:p w14:paraId="46103A1C" w14:textId="77777777" w:rsidR="00A7116D" w:rsidRDefault="00A7116D" w:rsidP="00B82EC7">
      <w:pPr>
        <w:pStyle w:val="ONUMFS"/>
      </w:pPr>
      <w:r>
        <w:t xml:space="preserve">Le Bureau international a également mis en place une </w:t>
      </w:r>
      <w:hyperlink r:id="rId12" w:history="1">
        <w:r>
          <w:rPr>
            <w:rStyle w:val="Hyperlink"/>
            <w:color w:val="000000" w:themeColor="text1"/>
          </w:rPr>
          <w:t xml:space="preserve">base de connaissances de WIPO </w:t>
        </w:r>
        <w:proofErr w:type="spellStart"/>
        <w:r>
          <w:rPr>
            <w:rStyle w:val="Hyperlink"/>
            <w:color w:val="000000" w:themeColor="text1"/>
          </w:rPr>
          <w:t>Sequence</w:t>
        </w:r>
        <w:proofErr w:type="spellEnd"/>
        <w:r>
          <w:rPr>
            <w:rStyle w:val="Hyperlink"/>
            <w:color w:val="000000" w:themeColor="text1"/>
          </w:rPr>
          <w:t xml:space="preserve"> et de la norme</w:t>
        </w:r>
        <w:r w:rsidR="004F6A84">
          <w:rPr>
            <w:rStyle w:val="Hyperlink"/>
            <w:color w:val="000000" w:themeColor="text1"/>
          </w:rPr>
          <w:t> </w:t>
        </w:r>
        <w:r>
          <w:rPr>
            <w:rStyle w:val="Hyperlink"/>
            <w:color w:val="000000" w:themeColor="text1"/>
          </w:rPr>
          <w:t>ST.26</w:t>
        </w:r>
      </w:hyperlink>
      <w:r>
        <w:rPr>
          <w:color w:val="000000" w:themeColor="text1"/>
        </w:rPr>
        <w:t xml:space="preserve">, </w:t>
      </w:r>
      <w:r>
        <w:t xml:space="preserve">qui contient les questions posées par les utilisateurs de WIPO </w:t>
      </w:r>
      <w:proofErr w:type="spellStart"/>
      <w:r>
        <w:t>Sequence</w:t>
      </w:r>
      <w:proofErr w:type="spellEnd"/>
      <w:r>
        <w:t xml:space="preserve"> et de la norme</w:t>
      </w:r>
      <w:r w:rsidR="00D522AE">
        <w:t> </w:t>
      </w:r>
      <w:r>
        <w:t>ST.26 de l</w:t>
      </w:r>
      <w:r w:rsidR="009506DB">
        <w:t>’</w:t>
      </w:r>
      <w:r>
        <w:t>OMPI, ainsi que les réponses qui y ont été apporté</w:t>
      </w:r>
      <w:r w:rsidR="004F6A84">
        <w:t>es.  Le</w:t>
      </w:r>
      <w:r>
        <w:t>s problèmes qui ont été signalés pour</w:t>
      </w:r>
      <w:r w:rsidR="009506DB">
        <w:t xml:space="preserve"> la WIP</w:t>
      </w:r>
      <w:r>
        <w:t xml:space="preserve">O </w:t>
      </w:r>
      <w:proofErr w:type="spellStart"/>
      <w:r>
        <w:t>Sequence</w:t>
      </w:r>
      <w:proofErr w:type="spellEnd"/>
      <w:r>
        <w:t xml:space="preserve"> sont également publiés dans cette base de connaissanc</w:t>
      </w:r>
      <w:r w:rsidR="004F6A84">
        <w:t>es.  En</w:t>
      </w:r>
      <w:r>
        <w:t>fin, le Bureau international a également mis en œuvre un modèle d</w:t>
      </w:r>
      <w:r w:rsidR="009506DB">
        <w:t>’</w:t>
      </w:r>
      <w:r>
        <w:t>assistance à trois</w:t>
      </w:r>
      <w:r w:rsidR="00D522AE">
        <w:t> </w:t>
      </w:r>
      <w:r>
        <w:t>niveaux pour gérer les demandes d</w:t>
      </w:r>
      <w:r w:rsidR="009506DB">
        <w:t>’</w:t>
      </w:r>
      <w:r>
        <w:t xml:space="preserve">assistance, et a établi une </w:t>
      </w:r>
      <w:hyperlink r:id="rId13" w:history="1">
        <w:r>
          <w:rPr>
            <w:rStyle w:val="Hyperlink"/>
            <w:color w:val="000000" w:themeColor="text1"/>
          </w:rPr>
          <w:t>liste de diffusion</w:t>
        </w:r>
      </w:hyperlink>
      <w:r>
        <w:t xml:space="preserve"> pour les utilisateurs de WIPO </w:t>
      </w:r>
      <w:proofErr w:type="spellStart"/>
      <w:r>
        <w:t>Sequence</w:t>
      </w:r>
      <w:proofErr w:type="spellEnd"/>
      <w:r>
        <w:t>, au moyen de laquelle des informations importantes concernant les problèmes et les dates de sortie sont communiquées.</w:t>
      </w:r>
    </w:p>
    <w:p w14:paraId="5F885295" w14:textId="20AD65CB" w:rsidR="00461057" w:rsidRDefault="00A7116D" w:rsidP="00461057">
      <w:pPr>
        <w:pStyle w:val="ONUMFS"/>
      </w:pPr>
      <w:r>
        <w:t>Le Secrétariat continue de s</w:t>
      </w:r>
      <w:r w:rsidR="009506DB">
        <w:t>’</w:t>
      </w:r>
      <w:r>
        <w:t>engager à fournir une assistance technique et à dispenser des formations concernant les normes de l</w:t>
      </w:r>
      <w:r w:rsidR="009506DB">
        <w:t>’</w:t>
      </w:r>
      <w:r>
        <w:t>OMPI à la demande, en fonction de la disponibilité des ressources.</w:t>
      </w:r>
      <w:r w:rsidR="00461057">
        <w:br/>
      </w:r>
    </w:p>
    <w:p w14:paraId="0F3FE128" w14:textId="699E4EE4" w:rsidR="00461057" w:rsidRDefault="00461057" w:rsidP="00461057">
      <w:r>
        <w:br w:type="page"/>
      </w:r>
    </w:p>
    <w:p w14:paraId="392F0670" w14:textId="77777777" w:rsidR="00A7116D" w:rsidRPr="00B82EC7" w:rsidRDefault="00B82EC7" w:rsidP="00B82EC7">
      <w:pPr>
        <w:pStyle w:val="Heading2"/>
      </w:pPr>
      <w:r w:rsidRPr="00B82EC7">
        <w:lastRenderedPageBreak/>
        <w:t>Assistance technique aux fins du renforcement des infrastructures des institutions de propriété industrielle utilisant les normes de l</w:t>
      </w:r>
      <w:r w:rsidR="009506DB" w:rsidRPr="00B82EC7">
        <w:t>’</w:t>
      </w:r>
      <w:r w:rsidR="00A7116D" w:rsidRPr="00B82EC7">
        <w:t>OMPI</w:t>
      </w:r>
    </w:p>
    <w:p w14:paraId="5C16CFA0" w14:textId="77777777" w:rsidR="00A7116D" w:rsidRPr="00A6078A" w:rsidRDefault="00A7116D" w:rsidP="00B82EC7">
      <w:pPr>
        <w:pStyle w:val="ONUMFS"/>
      </w:pPr>
      <w:r>
        <w:t>Le programme de l</w:t>
      </w:r>
      <w:r w:rsidR="009506DB">
        <w:t>’</w:t>
      </w:r>
      <w:r>
        <w:t>OMPI de Solutions opérationnelles à l</w:t>
      </w:r>
      <w:r w:rsidR="009506DB">
        <w:t>’</w:t>
      </w:r>
      <w:r>
        <w:t>intention des offices de propriété intellectuelle a pour objectif de renforcer les systèmes de traitement et les infrastructures techniques des offices de propriété industrielle nationaux et régionaux afin qu</w:t>
      </w:r>
      <w:r w:rsidR="009506DB">
        <w:t>’</w:t>
      </w:r>
      <w:r>
        <w:t>ils puissent assurer des services offrant un meilleur rapport coût/efficacité et de plus grande qualité à leurs parties prenant</w:t>
      </w:r>
      <w:r w:rsidR="004F6A84">
        <w:t>es.  L’a</w:t>
      </w:r>
      <w:r>
        <w:t>ssistance fournie est conforme aux recommandations du Plan d</w:t>
      </w:r>
      <w:r w:rsidR="009506DB">
        <w:t>’</w:t>
      </w:r>
      <w:r>
        <w:t>action pour le développement visant à renforcer les infrastructures institutionnelles et techniques des offices et d</w:t>
      </w:r>
      <w:r w:rsidR="009506DB">
        <w:t>’</w:t>
      </w:r>
      <w:r>
        <w:t>autres institutions de propriété industriel</w:t>
      </w:r>
      <w:r w:rsidR="004F6A84">
        <w:t>le.  Le</w:t>
      </w:r>
      <w:r>
        <w:t>s services comprennent notamment la fourniture de conseils techniques, l</w:t>
      </w:r>
      <w:r w:rsidR="009506DB">
        <w:t>’</w:t>
      </w:r>
      <w:r>
        <w:t>évaluation des besoins opérationnels, la définition de la portée et la planification des projets, l</w:t>
      </w:r>
      <w:r w:rsidR="009506DB">
        <w:t>’</w:t>
      </w:r>
      <w:r>
        <w:t>analyse du processus opérationnel, le développement et le déploiement continus des solutions opérationnelles spécialement adaptées à l</w:t>
      </w:r>
      <w:r w:rsidR="009506DB">
        <w:t>’</w:t>
      </w:r>
      <w:r>
        <w:t>administration des droits de propriété intellectuelle et à l</w:t>
      </w:r>
      <w:r w:rsidR="009506DB">
        <w:t>’</w:t>
      </w:r>
      <w:r>
        <w:t>échange des documents de priorité et des résultats des recherches et des examens, l</w:t>
      </w:r>
      <w:r w:rsidR="009506DB">
        <w:t>’</w:t>
      </w:r>
      <w:r>
        <w:t>établissement de bases de données sur la propriété intellectuelle, l</w:t>
      </w:r>
      <w:r w:rsidR="009506DB">
        <w:t>’</w:t>
      </w:r>
      <w:r>
        <w:t>assistance à la numérisation des dossiers de propriété intellectuelle et à la préparation des données pour la publication en ligne et l</w:t>
      </w:r>
      <w:r w:rsidR="009506DB">
        <w:t>’</w:t>
      </w:r>
      <w:r>
        <w:t>échange électronique des données, la formation et le transfert de connaissances au personnel des institutions de propriété industrielle, et l</w:t>
      </w:r>
      <w:r w:rsidR="009506DB">
        <w:t>’</w:t>
      </w:r>
      <w:r>
        <w:t>appui aux systèmes fournis par l</w:t>
      </w:r>
      <w:r w:rsidR="009506DB">
        <w:t>’</w:t>
      </w:r>
      <w:r>
        <w:t>O</w:t>
      </w:r>
      <w:r w:rsidR="004F6A84">
        <w:t>MPI.  Le</w:t>
      </w:r>
      <w:r>
        <w:t xml:space="preserve"> cas échéant, l</w:t>
      </w:r>
      <w:r w:rsidR="009506DB">
        <w:t>’</w:t>
      </w:r>
      <w:r>
        <w:t>assistance porte sur les normes de l</w:t>
      </w:r>
      <w:r w:rsidR="009506DB">
        <w:t>’</w:t>
      </w:r>
      <w:r>
        <w:t>OMPI sur les données et l</w:t>
      </w:r>
      <w:r w:rsidR="009506DB">
        <w:t>’</w:t>
      </w:r>
      <w:r>
        <w:t>information en matière de propriété intellectuel</w:t>
      </w:r>
      <w:r w:rsidR="004F6A84">
        <w:t>le.  Le</w:t>
      </w:r>
      <w:r>
        <w:t>s formations sur le terrain ou virtuelles, le parrainage et les ateliers régionaux de formation représentent une partie significative des activités et jouent un rôle essentiel dans l</w:t>
      </w:r>
      <w:r w:rsidR="009506DB">
        <w:t>’</w:t>
      </w:r>
      <w:r>
        <w:t>obtention des résultats escomptés.</w:t>
      </w:r>
    </w:p>
    <w:p w14:paraId="72281E44" w14:textId="68062C84" w:rsidR="00461057" w:rsidRDefault="00A7116D" w:rsidP="00B82EC7">
      <w:pPr>
        <w:pStyle w:val="ONUMFS"/>
        <w:rPr>
          <w:rStyle w:val="Hyperlink"/>
          <w:color w:val="000000" w:themeColor="text1"/>
          <w:u w:val="none"/>
        </w:rPr>
      </w:pPr>
      <w:r>
        <w:t xml:space="preserve">À la fin </w:t>
      </w:r>
      <w:r w:rsidR="009506DB">
        <w:t>de 2021</w:t>
      </w:r>
      <w:r>
        <w:t>, 91</w:t>
      </w:r>
      <w:r w:rsidR="004F6A84">
        <w:t> </w:t>
      </w:r>
      <w:r>
        <w:t>offices de propriété intellectuelle de pays en développement de toutes les régions utilisaient activement les Solutions opérationnelles de l</w:t>
      </w:r>
      <w:r w:rsidR="009506DB">
        <w:t>’</w:t>
      </w:r>
      <w:r>
        <w:t>OMPI à l</w:t>
      </w:r>
      <w:r w:rsidR="009506DB">
        <w:t>’</w:t>
      </w:r>
      <w:r>
        <w:t>intention des offices de propriété intellectuelle pour l</w:t>
      </w:r>
      <w:r w:rsidR="009506DB">
        <w:t>’</w:t>
      </w:r>
      <w:r>
        <w:t>administration de leurs droits de propriété intellectuelle, dans lesquelles les normes de l</w:t>
      </w:r>
      <w:r w:rsidR="009506DB">
        <w:t>’</w:t>
      </w:r>
      <w:r>
        <w:t>OMPI sont intégré</w:t>
      </w:r>
      <w:r w:rsidR="004F6A84">
        <w:t>es.  Ci</w:t>
      </w:r>
      <w:r>
        <w:t>nquante</w:t>
      </w:r>
      <w:r w:rsidR="00B82EC7">
        <w:noBreakHyphen/>
      </w:r>
      <w:r>
        <w:t>cinq offices de propriété intellectuelle participaient à l</w:t>
      </w:r>
      <w:r w:rsidR="009506DB">
        <w:t>’</w:t>
      </w:r>
      <w:r>
        <w:t>une des plateformes d</w:t>
      </w:r>
      <w:r w:rsidR="009506DB">
        <w:t>’</w:t>
      </w:r>
      <w:r>
        <w:t>échange en ligne proposées par l</w:t>
      </w:r>
      <w:r w:rsidR="009506DB">
        <w:t>’</w:t>
      </w:r>
      <w:r>
        <w:t>OMPI (au système d</w:t>
      </w:r>
      <w:r w:rsidR="009506DB">
        <w:t>’</w:t>
      </w:r>
      <w:r>
        <w:t>accès centralisé aux résultats de la recherche et de l</w:t>
      </w:r>
      <w:r w:rsidR="009506DB">
        <w:t>’</w:t>
      </w:r>
      <w:r>
        <w:t>examen et au service d</w:t>
      </w:r>
      <w:r w:rsidR="009506DB">
        <w:t>’</w:t>
      </w:r>
      <w:r>
        <w:t>accès numérique aux documents de priori</w:t>
      </w:r>
      <w:r w:rsidR="004F6A84">
        <w:t>té).  Un</w:t>
      </w:r>
      <w:r>
        <w:t xml:space="preserve"> élément essentiel consiste à améliorer le niveau de service des offices en les aidant à proposer davantage de services en ligne pour le dépôt des demandes et la diffusion de l</w:t>
      </w:r>
      <w:r w:rsidR="009506DB">
        <w:t>’</w:t>
      </w:r>
      <w:r>
        <w:t>information en matière de propriété intellectuel</w:t>
      </w:r>
      <w:r w:rsidR="004F6A84">
        <w:t>le.  On</w:t>
      </w:r>
      <w:r>
        <w:t xml:space="preserve"> trouvera davantage d</w:t>
      </w:r>
      <w:r w:rsidR="009506DB">
        <w:t>’</w:t>
      </w:r>
      <w:r>
        <w:t>informations sur le site</w:t>
      </w:r>
      <w:r w:rsidR="00D522AE">
        <w:t> </w:t>
      </w:r>
      <w:r>
        <w:t>Web du programme d</w:t>
      </w:r>
      <w:r w:rsidR="009506DB">
        <w:t>’</w:t>
      </w:r>
      <w:r>
        <w:t>assistance technique de l</w:t>
      </w:r>
      <w:r w:rsidR="009506DB">
        <w:t>’</w:t>
      </w:r>
      <w:r>
        <w:t>OMPI à l</w:t>
      </w:r>
      <w:r w:rsidR="009506DB">
        <w:t>’</w:t>
      </w:r>
      <w:r>
        <w:t>intention des offices de propriété industrielle à l</w:t>
      </w:r>
      <w:r w:rsidR="009506DB">
        <w:t>’</w:t>
      </w:r>
      <w:r>
        <w:t xml:space="preserve">adresse </w:t>
      </w:r>
      <w:r w:rsidR="00B82EC7">
        <w:t xml:space="preserve">suivante : </w:t>
      </w:r>
      <w:hyperlink r:id="rId14" w:history="1">
        <w:r>
          <w:rPr>
            <w:rStyle w:val="Hyperlink"/>
            <w:color w:val="000000" w:themeColor="text1"/>
          </w:rPr>
          <w:t>https://www.wipo.int/global_ip/fr/activities/ip_office_business_solutions/</w:t>
        </w:r>
      </w:hyperlink>
      <w:r w:rsidR="00B82EC7" w:rsidRPr="00B82EC7">
        <w:rPr>
          <w:rStyle w:val="Hyperlink"/>
          <w:color w:val="000000" w:themeColor="text1"/>
          <w:u w:val="none"/>
        </w:rPr>
        <w:t>.</w:t>
      </w:r>
      <w:r w:rsidR="00461057">
        <w:rPr>
          <w:rStyle w:val="Hyperlink"/>
          <w:color w:val="000000" w:themeColor="text1"/>
          <w:u w:val="none"/>
        </w:rPr>
        <w:br/>
      </w:r>
    </w:p>
    <w:p w14:paraId="27AB0C5E" w14:textId="601D4570" w:rsidR="00A7116D" w:rsidRPr="00B20EA9" w:rsidRDefault="00461057" w:rsidP="00461057">
      <w:pPr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br w:type="page"/>
      </w:r>
    </w:p>
    <w:p w14:paraId="081DFB30" w14:textId="77777777" w:rsidR="009506DB" w:rsidRDefault="00A7116D" w:rsidP="00B82EC7">
      <w:pPr>
        <w:pStyle w:val="ONUMFS"/>
        <w:rPr>
          <w:color w:val="000000"/>
        </w:rPr>
      </w:pPr>
      <w:r>
        <w:lastRenderedPageBreak/>
        <w:t>Dans le cadre du programme de l</w:t>
      </w:r>
      <w:r w:rsidR="009506DB">
        <w:t>’</w:t>
      </w:r>
      <w:r>
        <w:t>OMPI sur les bases de données mondiales, le Bureau international a mené un projet en collaboration avec l</w:t>
      </w:r>
      <w:r w:rsidR="009506DB">
        <w:t>’</w:t>
      </w:r>
      <w:r>
        <w:t>Office européen des brevets (OEB) afin d</w:t>
      </w:r>
      <w:r w:rsidR="009506DB">
        <w:t>’</w:t>
      </w:r>
      <w:r>
        <w:t>aider les offices de propriété industrielle à produire des textes intégraux se prêtant à la recherche pour les fichiers courants de leurs publications en matière de brevets dans le format XML de la norme</w:t>
      </w:r>
      <w:r w:rsidR="00D522AE">
        <w:t> </w:t>
      </w:r>
      <w:r>
        <w:t>ST.36 de l</w:t>
      </w:r>
      <w:r w:rsidR="009506DB">
        <w:t>’</w:t>
      </w:r>
      <w:r>
        <w:t>OMPI avec des images TIFF intégré</w:t>
      </w:r>
      <w:r w:rsidR="004F6A84">
        <w:t xml:space="preserve">es.  </w:t>
      </w:r>
      <w:r w:rsidR="004F6A84">
        <w:rPr>
          <w:color w:val="000000"/>
        </w:rPr>
        <w:t>Le</w:t>
      </w:r>
      <w:r>
        <w:rPr>
          <w:color w:val="000000"/>
        </w:rPr>
        <w:t xml:space="preserve"> Bureau international a adapté son outil de reconnaissance optique de caractères aux besoins spécifiques de chaque office, notamment en ce qui concerne la langue, la présentation et les signe</w:t>
      </w:r>
      <w:r w:rsidR="004F6A84">
        <w:rPr>
          <w:color w:val="000000"/>
        </w:rPr>
        <w:t>ts.  Tr</w:t>
      </w:r>
      <w:r>
        <w:rPr>
          <w:color w:val="000000"/>
        </w:rPr>
        <w:t>ente</w:t>
      </w:r>
      <w:r w:rsidR="00B82EC7">
        <w:rPr>
          <w:color w:val="000000"/>
        </w:rPr>
        <w:noBreakHyphen/>
      </w:r>
      <w:r>
        <w:rPr>
          <w:color w:val="000000"/>
        </w:rPr>
        <w:t>cinq offices de propriété intellectuelle ont reçu le logiciel et ont été formés à l</w:t>
      </w:r>
      <w:r w:rsidR="009506DB">
        <w:rPr>
          <w:color w:val="000000"/>
        </w:rPr>
        <w:t>’</w:t>
      </w:r>
      <w:r>
        <w:rPr>
          <w:color w:val="000000"/>
        </w:rPr>
        <w:t>utiliser ces cinq</w:t>
      </w:r>
      <w:r w:rsidR="00D522AE">
        <w:rPr>
          <w:color w:val="000000"/>
        </w:rPr>
        <w:t> </w:t>
      </w:r>
      <w:r>
        <w:rPr>
          <w:color w:val="000000"/>
        </w:rPr>
        <w:t>dernières années et 13 d</w:t>
      </w:r>
      <w:r w:rsidR="009506DB">
        <w:rPr>
          <w:color w:val="000000"/>
        </w:rPr>
        <w:t>’</w:t>
      </w:r>
      <w:r>
        <w:rPr>
          <w:color w:val="000000"/>
        </w:rPr>
        <w:t>entre eux l</w:t>
      </w:r>
      <w:r w:rsidR="009506DB">
        <w:rPr>
          <w:color w:val="000000"/>
        </w:rPr>
        <w:t>’</w:t>
      </w:r>
      <w:r>
        <w:rPr>
          <w:color w:val="000000"/>
        </w:rPr>
        <w:t>ont intégré à leurs servic</w:t>
      </w:r>
      <w:r w:rsidR="004F6A84">
        <w:rPr>
          <w:color w:val="000000"/>
        </w:rPr>
        <w:t xml:space="preserve">es.  </w:t>
      </w:r>
      <w:r w:rsidR="004F6A84">
        <w:t>En</w:t>
      </w:r>
      <w:r>
        <w:t xml:space="preserve"> conséquence, les documents en texte intégral publiés sont inclus et consultables dans la base de données </w:t>
      </w:r>
      <w:hyperlink r:id="rId15" w:history="1">
        <w:r>
          <w:rPr>
            <w:rStyle w:val="Hyperlink"/>
            <w:color w:val="000000" w:themeColor="text1"/>
          </w:rPr>
          <w:t>PATENTSCOPE</w:t>
        </w:r>
      </w:hyperlink>
      <w:r>
        <w:t xml:space="preserve"> de l</w:t>
      </w:r>
      <w:r w:rsidR="009506DB">
        <w:t>’</w:t>
      </w:r>
      <w:r>
        <w:t>O</w:t>
      </w:r>
      <w:r w:rsidR="004F6A84">
        <w:t xml:space="preserve">MPI.  </w:t>
      </w:r>
      <w:r w:rsidR="004F6A84">
        <w:rPr>
          <w:color w:val="000000"/>
        </w:rPr>
        <w:t>Un</w:t>
      </w:r>
      <w:r>
        <w:rPr>
          <w:color w:val="000000"/>
        </w:rPr>
        <w:t>e formation pilote en ligne a eu lieu avec trois offices ayant déjà été formés dans le passé mais qui n</w:t>
      </w:r>
      <w:r w:rsidR="009506DB">
        <w:rPr>
          <w:color w:val="000000"/>
        </w:rPr>
        <w:t>’</w:t>
      </w:r>
      <w:r>
        <w:rPr>
          <w:color w:val="000000"/>
        </w:rPr>
        <w:t>avaient pas pu démarrer le projet en production par manque de ressourc</w:t>
      </w:r>
      <w:r w:rsidR="004F6A84">
        <w:rPr>
          <w:color w:val="000000"/>
        </w:rPr>
        <w:t>es.  La</w:t>
      </w:r>
      <w:r>
        <w:rPr>
          <w:color w:val="000000"/>
        </w:rPr>
        <w:t xml:space="preserve"> formation à l</w:t>
      </w:r>
      <w:r w:rsidR="009506DB">
        <w:rPr>
          <w:color w:val="000000"/>
        </w:rPr>
        <w:t>’</w:t>
      </w:r>
      <w:r>
        <w:rPr>
          <w:color w:val="000000"/>
        </w:rPr>
        <w:t>utilisation d</w:t>
      </w:r>
      <w:r w:rsidR="009506DB">
        <w:rPr>
          <w:color w:val="000000"/>
        </w:rPr>
        <w:t>’</w:t>
      </w:r>
      <w:r>
        <w:rPr>
          <w:color w:val="000000"/>
        </w:rPr>
        <w:t>une interface utilisateur avancée à distance, avec de nombreux cas particuliers dus aux données sources, a été un défi, et seul un de ces trois offices de propriété intellectuelle a été en mesure de produire un petit nombre de documents en texte intégral qui ont été téléchargés dans PATENTSC</w:t>
      </w:r>
      <w:r w:rsidR="004F6A84">
        <w:rPr>
          <w:color w:val="000000"/>
        </w:rPr>
        <w:t>OPE.  En</w:t>
      </w:r>
      <w:r>
        <w:rPr>
          <w:color w:val="000000"/>
        </w:rPr>
        <w:t xml:space="preserve"> outre, le Bureau international a lancé </w:t>
      </w:r>
      <w:r w:rsidR="009506DB">
        <w:rPr>
          <w:color w:val="000000"/>
        </w:rPr>
        <w:t>en 2022</w:t>
      </w:r>
      <w:r>
        <w:rPr>
          <w:color w:val="000000"/>
        </w:rPr>
        <w:t>, avec l</w:t>
      </w:r>
      <w:r w:rsidR="009506DB">
        <w:rPr>
          <w:color w:val="000000"/>
        </w:rPr>
        <w:t>’</w:t>
      </w:r>
      <w:r>
        <w:rPr>
          <w:color w:val="000000"/>
        </w:rPr>
        <w:t>appui du Fonds fiduciaire du Japon, un projet visant à transformer en texte intégral 22</w:t>
      </w:r>
      <w:r w:rsidR="00D522AE">
        <w:rPr>
          <w:color w:val="000000"/>
        </w:rPr>
        <w:t> </w:t>
      </w:r>
      <w:r>
        <w:rPr>
          <w:color w:val="000000"/>
        </w:rPr>
        <w:t>000</w:t>
      </w:r>
      <w:r w:rsidR="004F6A84">
        <w:rPr>
          <w:color w:val="000000"/>
        </w:rPr>
        <w:t> </w:t>
      </w:r>
      <w:r>
        <w:rPr>
          <w:color w:val="000000"/>
        </w:rPr>
        <w:t>documents de brevet publiés par l</w:t>
      </w:r>
      <w:r w:rsidR="009506DB">
        <w:rPr>
          <w:color w:val="000000"/>
        </w:rPr>
        <w:t>’</w:t>
      </w:r>
      <w:r>
        <w:rPr>
          <w:color w:val="000000"/>
        </w:rPr>
        <w:t>office de propriété intellectuelle des Philippines, qui peuvent désormais faire l</w:t>
      </w:r>
      <w:r w:rsidR="009506DB">
        <w:rPr>
          <w:color w:val="000000"/>
        </w:rPr>
        <w:t>’</w:t>
      </w:r>
      <w:r>
        <w:rPr>
          <w:color w:val="000000"/>
        </w:rPr>
        <w:t>objet d</w:t>
      </w:r>
      <w:r w:rsidR="009506DB">
        <w:rPr>
          <w:color w:val="000000"/>
        </w:rPr>
        <w:t>’</w:t>
      </w:r>
      <w:r>
        <w:rPr>
          <w:color w:val="000000"/>
        </w:rPr>
        <w:t>une recherche dans PATENTSCOPE.</w:t>
      </w:r>
    </w:p>
    <w:p w14:paraId="013A03E2" w14:textId="77777777" w:rsidR="00A7116D" w:rsidRPr="00B82EC7" w:rsidRDefault="00B82EC7" w:rsidP="00B82EC7">
      <w:pPr>
        <w:pStyle w:val="Heading2"/>
      </w:pPr>
      <w:r w:rsidRPr="00B82EC7">
        <w:t>Renforcement des capacités des agents des offices de propriété industrielle et des examinateurs aux fins de l’utilisation des instruments internationaux</w:t>
      </w:r>
    </w:p>
    <w:p w14:paraId="29B3A55B" w14:textId="77777777" w:rsidR="009506DB" w:rsidRDefault="00B82EC7" w:rsidP="00B82EC7">
      <w:pPr>
        <w:pStyle w:val="ONUMFS"/>
      </w:pPr>
      <w:r>
        <w:t>L</w:t>
      </w:r>
      <w:r w:rsidR="00A7116D">
        <w:t>e</w:t>
      </w:r>
      <w:r w:rsidR="009506DB">
        <w:t xml:space="preserve"> 1</w:t>
      </w:r>
      <w:r w:rsidR="009506DB" w:rsidRPr="009506DB">
        <w:rPr>
          <w:vertAlign w:val="superscript"/>
        </w:rPr>
        <w:t>er</w:t>
      </w:r>
      <w:r w:rsidR="009506DB">
        <w:t> juillet 20</w:t>
      </w:r>
      <w:r w:rsidR="00A7116D">
        <w:t>22, la norme</w:t>
      </w:r>
      <w:r w:rsidR="00D522AE">
        <w:t> </w:t>
      </w:r>
      <w:r w:rsidR="00A7116D">
        <w:t>ST.26 de l</w:t>
      </w:r>
      <w:r w:rsidR="009506DB">
        <w:t>’</w:t>
      </w:r>
      <w:r w:rsidR="00A7116D">
        <w:t>OMPI est entrée en vigueur dans le monde enti</w:t>
      </w:r>
      <w:r w:rsidR="004F6A84">
        <w:t>er.  La</w:t>
      </w:r>
      <w:r w:rsidR="00A7116D">
        <w:t xml:space="preserve"> transition réussie à l</w:t>
      </w:r>
      <w:r w:rsidR="009506DB">
        <w:t>’</w:t>
      </w:r>
      <w:r w:rsidR="00A7116D">
        <w:t>utilisation de cette nouvelle norme</w:t>
      </w:r>
      <w:r w:rsidR="00D522AE">
        <w:t> </w:t>
      </w:r>
      <w:r w:rsidR="00A7116D">
        <w:t>ST.26, tant pour les déposants de demandes de brevet que pour les offices de propriété intellectuelle, résulte d</w:t>
      </w:r>
      <w:r w:rsidR="009506DB">
        <w:t>’</w:t>
      </w:r>
      <w:r w:rsidR="00A7116D">
        <w:t>une collaboration étroite avec les offices membres de l</w:t>
      </w:r>
      <w:r w:rsidR="009506DB">
        <w:t>’</w:t>
      </w:r>
      <w:r w:rsidR="00A7116D">
        <w:t>Équipe d</w:t>
      </w:r>
      <w:r w:rsidR="009506DB">
        <w:t>’</w:t>
      </w:r>
      <w:r w:rsidR="00A7116D">
        <w:t>experts</w:t>
      </w:r>
      <w:r w:rsidR="009506DB">
        <w:t xml:space="preserve"> du CWS</w:t>
      </w:r>
      <w:r w:rsidR="00A7116D">
        <w:t xml:space="preserve"> chargée de la norme relative aux listages des séquences.</w:t>
      </w:r>
    </w:p>
    <w:p w14:paraId="6BDB6CFF" w14:textId="77777777" w:rsidR="00A7116D" w:rsidRDefault="00A7116D" w:rsidP="00B82EC7">
      <w:pPr>
        <w:pStyle w:val="ONUMFS"/>
        <w:rPr>
          <w:rFonts w:eastAsia="MS Mincho"/>
          <w:szCs w:val="22"/>
        </w:rPr>
      </w:pPr>
      <w:r>
        <w:t>Compte tenu de la demande, le Bureau international a proposé un séminaire de formation avancée, organisé le 1</w:t>
      </w:r>
      <w:r w:rsidR="009506DB">
        <w:t>9 novembre 20</w:t>
      </w:r>
      <w:r>
        <w:t>21 par l</w:t>
      </w:r>
      <w:r w:rsidR="009506DB">
        <w:t>’</w:t>
      </w:r>
      <w:r>
        <w:t>Académie de l</w:t>
      </w:r>
      <w:r w:rsidR="009506DB">
        <w:t>’</w:t>
      </w:r>
      <w:r>
        <w:t>OMPI, au moyen d</w:t>
      </w:r>
      <w:r w:rsidR="009506DB">
        <w:t>’</w:t>
      </w:r>
      <w:r>
        <w:t>une plateforme en ligne sur la recherche et l</w:t>
      </w:r>
      <w:r w:rsidR="009506DB">
        <w:t>’</w:t>
      </w:r>
      <w:r>
        <w:t xml:space="preserve">examen en matière de brevets dans les domaines pharmaceutique et de la biotechnologie, en utilisant la </w:t>
      </w:r>
      <w:r>
        <w:rPr>
          <w:shd w:val="clear" w:color="auto" w:fill="FFFFFF"/>
        </w:rPr>
        <w:t>Classification internationale des brevets</w:t>
      </w:r>
      <w:r>
        <w:rPr>
          <w:sz w:val="21"/>
          <w:shd w:val="clear" w:color="auto" w:fill="FFFFFF"/>
        </w:rPr>
        <w:t xml:space="preserve"> (</w:t>
      </w:r>
      <w:r>
        <w:t>CIB), à l</w:t>
      </w:r>
      <w:r w:rsidR="009506DB">
        <w:t>’</w:t>
      </w:r>
      <w:r>
        <w:t>intention des fonctionnaires et des examinateurs de l</w:t>
      </w:r>
      <w:r w:rsidR="009506DB">
        <w:t>’</w:t>
      </w:r>
      <w:r>
        <w:t>Office indien des brevets, dont il n</w:t>
      </w:r>
      <w:r w:rsidR="009506DB">
        <w:t>’</w:t>
      </w:r>
      <w:r>
        <w:t>a pas été rendu compte l</w:t>
      </w:r>
      <w:r w:rsidR="009506DB">
        <w:t>’</w:t>
      </w:r>
      <w:r>
        <w:t>année dernière dans le document CWS/10/20.  Le programme de formation portait notamment sur l</w:t>
      </w:r>
      <w:r w:rsidR="009506DB">
        <w:t>’</w:t>
      </w:r>
      <w:r>
        <w:t>utilisation des normes pertinentes de l</w:t>
      </w:r>
      <w:r w:rsidR="009506DB">
        <w:t>’</w:t>
      </w:r>
      <w:r>
        <w:t>OMPI.</w:t>
      </w:r>
    </w:p>
    <w:p w14:paraId="5BF16F47" w14:textId="77777777" w:rsidR="00A7116D" w:rsidRPr="00E351E2" w:rsidRDefault="00A7116D" w:rsidP="00B82EC7">
      <w:pPr>
        <w:pStyle w:val="ONUMFS"/>
        <w:rPr>
          <w:rFonts w:eastAsia="MS Mincho"/>
          <w:szCs w:val="22"/>
        </w:rPr>
      </w:pPr>
      <w:r>
        <w:t xml:space="preserve">Compte tenu de la demande, le Bureau international a également organisé des cours et séminaires de formation en ligne </w:t>
      </w:r>
      <w:r w:rsidR="009506DB">
        <w:t>en 2022</w:t>
      </w:r>
      <w:r>
        <w:t xml:space="preserve"> sur l</w:t>
      </w:r>
      <w:r w:rsidR="009506DB">
        <w:t>’</w:t>
      </w:r>
      <w:r>
        <w:t>utilisation des classifications internationales pour les marques et les dessins et modèles industriels, à l</w:t>
      </w:r>
      <w:r w:rsidR="009506DB">
        <w:t>’</w:t>
      </w:r>
      <w:r>
        <w:t>intention des fonctionnaires et des examinateurs des offices de propriété intellectuel</w:t>
      </w:r>
      <w:r w:rsidR="004F6A84">
        <w:t>le.  Da</w:t>
      </w:r>
      <w:r>
        <w:t>ns le cadre des manifestations ci</w:t>
      </w:r>
      <w:r w:rsidR="00B82EC7">
        <w:noBreakHyphen/>
      </w:r>
      <w:r>
        <w:t>après, la pertinence des normes de l</w:t>
      </w:r>
      <w:r w:rsidR="009506DB">
        <w:t>’</w:t>
      </w:r>
      <w:r>
        <w:t>OMPI concernées a fait l</w:t>
      </w:r>
      <w:r w:rsidR="009506DB">
        <w:t>’</w:t>
      </w:r>
      <w:r>
        <w:t>objet d</w:t>
      </w:r>
      <w:r w:rsidR="009506DB">
        <w:t>’</w:t>
      </w:r>
      <w:r>
        <w:t>un exposé</w:t>
      </w:r>
      <w:r w:rsidR="009506DB">
        <w:t> :</w:t>
      </w:r>
    </w:p>
    <w:p w14:paraId="5846E9F5" w14:textId="77777777" w:rsidR="00A7116D" w:rsidRPr="00D91D30" w:rsidRDefault="00A7116D" w:rsidP="00B82EC7">
      <w:pPr>
        <w:pStyle w:val="ONUMFS"/>
        <w:numPr>
          <w:ilvl w:val="0"/>
          <w:numId w:val="8"/>
        </w:numPr>
        <w:tabs>
          <w:tab w:val="clear" w:pos="567"/>
          <w:tab w:val="num" w:pos="1134"/>
        </w:tabs>
        <w:ind w:left="1134" w:hanging="567"/>
        <w:rPr>
          <w:rFonts w:eastAsia="MS Mincho"/>
          <w:szCs w:val="22"/>
        </w:rPr>
      </w:pPr>
      <w:proofErr w:type="gramStart"/>
      <w:r>
        <w:t>formation</w:t>
      </w:r>
      <w:proofErr w:type="gramEnd"/>
      <w:r>
        <w:t xml:space="preserve"> sur la classification de Vienne à l</w:t>
      </w:r>
      <w:r w:rsidR="009506DB">
        <w:t>’</w:t>
      </w:r>
      <w:r>
        <w:t>intention des examinateurs de marques de l</w:t>
      </w:r>
      <w:r w:rsidR="009506DB">
        <w:t>’</w:t>
      </w:r>
      <w:r>
        <w:t>office de la propriété intellectuelle du Mozambique, le 14 </w:t>
      </w:r>
      <w:r w:rsidR="009506DB">
        <w:t>novembre 20</w:t>
      </w:r>
      <w:r>
        <w:t>22;  et</w:t>
      </w:r>
    </w:p>
    <w:p w14:paraId="338A3CD0" w14:textId="1A93C33C" w:rsidR="00461057" w:rsidRDefault="00A7116D" w:rsidP="00B82EC7">
      <w:pPr>
        <w:pStyle w:val="ONUMFS"/>
        <w:numPr>
          <w:ilvl w:val="0"/>
          <w:numId w:val="8"/>
        </w:numPr>
        <w:tabs>
          <w:tab w:val="clear" w:pos="567"/>
          <w:tab w:val="num" w:pos="1134"/>
        </w:tabs>
        <w:ind w:left="1134" w:hanging="567"/>
      </w:pPr>
      <w:proofErr w:type="gramStart"/>
      <w:r>
        <w:t>formation</w:t>
      </w:r>
      <w:proofErr w:type="gramEnd"/>
      <w:r>
        <w:t xml:space="preserve"> sur la classification de Nice à l</w:t>
      </w:r>
      <w:r w:rsidR="009506DB">
        <w:t>’</w:t>
      </w:r>
      <w:r>
        <w:t>intention des examinateurs de marques de l</w:t>
      </w:r>
      <w:r w:rsidR="009506DB">
        <w:t>’</w:t>
      </w:r>
      <w:r>
        <w:t>office de la propriété intellectuelle de Brunéi Darussalam, du 28 au 30 novembre 2022.</w:t>
      </w:r>
      <w:r w:rsidR="00461057">
        <w:br/>
      </w:r>
    </w:p>
    <w:p w14:paraId="662E5585" w14:textId="1C36D73C" w:rsidR="00A7116D" w:rsidRPr="00461057" w:rsidRDefault="00461057" w:rsidP="00461057">
      <w:r>
        <w:br w:type="page"/>
      </w:r>
    </w:p>
    <w:p w14:paraId="594BC51D" w14:textId="77777777" w:rsidR="00A7116D" w:rsidRPr="00B82EC7" w:rsidRDefault="00B82EC7" w:rsidP="00B82EC7">
      <w:pPr>
        <w:pStyle w:val="Heading2"/>
      </w:pPr>
      <w:r w:rsidRPr="00B82EC7">
        <w:lastRenderedPageBreak/>
        <w:t>Faire mieux connaître les normes de l</w:t>
      </w:r>
      <w:r w:rsidR="009506DB" w:rsidRPr="00B82EC7">
        <w:t>’</w:t>
      </w:r>
      <w:r w:rsidR="00A7116D" w:rsidRPr="00B82EC7">
        <w:t>OMPI</w:t>
      </w:r>
    </w:p>
    <w:p w14:paraId="4AD5C34D" w14:textId="77777777" w:rsidR="00A7116D" w:rsidRDefault="00A7116D" w:rsidP="00B82EC7">
      <w:pPr>
        <w:pStyle w:val="ONUMFS"/>
      </w:pPr>
      <w:r>
        <w:t>Afin de faire mieux connaître les normes de l</w:t>
      </w:r>
      <w:r w:rsidR="009506DB">
        <w:t>’</w:t>
      </w:r>
      <w:r>
        <w:t>OMPI dans les pays en développement et de faciliter la participation physique d</w:t>
      </w:r>
      <w:r w:rsidR="009506DB">
        <w:t>’</w:t>
      </w:r>
      <w:r>
        <w:t>un plus grand nombre de ces pays à l</w:t>
      </w:r>
      <w:r w:rsidR="009506DB">
        <w:t>’</w:t>
      </w:r>
      <w:r>
        <w:t>élaboration d</w:t>
      </w:r>
      <w:r w:rsidR="009506DB">
        <w:t>’</w:t>
      </w:r>
      <w:r>
        <w:t>une ou plusieurs normes de l</w:t>
      </w:r>
      <w:r w:rsidR="009506DB">
        <w:t>’</w:t>
      </w:r>
      <w:r>
        <w:t xml:space="preserve">OMPI nouvelles ou révisées, comme </w:t>
      </w:r>
      <w:proofErr w:type="gramStart"/>
      <w:r>
        <w:t>suite à</w:t>
      </w:r>
      <w:proofErr w:type="gramEnd"/>
      <w:r>
        <w:t xml:space="preserve"> la décision prise par l</w:t>
      </w:r>
      <w:r w:rsidR="009506DB">
        <w:t>’</w:t>
      </w:r>
      <w:r>
        <w:t xml:space="preserve">Assemblée générale en </w:t>
      </w:r>
      <w:r w:rsidR="009506DB">
        <w:t>octobre 20</w:t>
      </w:r>
      <w:r>
        <w:t xml:space="preserve">11, la participation à la </w:t>
      </w:r>
      <w:r w:rsidR="00813091">
        <w:t>dixième</w:t>
      </w:r>
      <w:r w:rsidR="009506DB">
        <w:t> session du CWS</w:t>
      </w:r>
      <w:r>
        <w:t xml:space="preserve"> de </w:t>
      </w:r>
      <w:r w:rsidR="00813091">
        <w:t>huit</w:t>
      </w:r>
      <w:r w:rsidR="00D522AE">
        <w:t> </w:t>
      </w:r>
      <w:r>
        <w:t>pays en développement ou parmi les moins avancés (PMA) a été financée par le Bureau international.</w:t>
      </w:r>
    </w:p>
    <w:p w14:paraId="05B22BAE" w14:textId="77777777" w:rsidR="00A7116D" w:rsidRPr="00B82EC7" w:rsidRDefault="00A7116D" w:rsidP="00B82EC7">
      <w:pPr>
        <w:pStyle w:val="Heading2"/>
      </w:pPr>
      <w:r w:rsidRPr="00B82EC7">
        <w:t>É</w:t>
      </w:r>
      <w:r w:rsidR="00B82EC7" w:rsidRPr="00B82EC7">
        <w:t>change de données en matière de propriété intellectuelle</w:t>
      </w:r>
    </w:p>
    <w:p w14:paraId="1F42695C" w14:textId="77777777" w:rsidR="00A7116D" w:rsidRDefault="00A7116D" w:rsidP="00B82EC7">
      <w:pPr>
        <w:pStyle w:val="ONUMFS"/>
      </w:pPr>
      <w:r>
        <w:t>Le Bureau international a collaboré avec de nombreux offices de propriété industrielle, notamment dans certains groupes de pays en développement, pour promouvoir l</w:t>
      </w:r>
      <w:r w:rsidR="009506DB">
        <w:t>’</w:t>
      </w:r>
      <w:r>
        <w:t>échange de données en matière de propriété intellectuelle en vue d</w:t>
      </w:r>
      <w:r w:rsidR="009506DB">
        <w:t>’</w:t>
      </w:r>
      <w:r>
        <w:t>améliorer l</w:t>
      </w:r>
      <w:r w:rsidR="009506DB">
        <w:t>’</w:t>
      </w:r>
      <w:r>
        <w:t>accès des utilisateurs de ces pays à l</w:t>
      </w:r>
      <w:r w:rsidR="009506DB">
        <w:t>’</w:t>
      </w:r>
      <w:r>
        <w:t>information en matière de propriété intellectuelle provenant de ces offic</w:t>
      </w:r>
      <w:r w:rsidR="004F6A84">
        <w:t>es.  L’é</w:t>
      </w:r>
      <w:r>
        <w:t>change de données en matière de propriété intellectuelle a été organisé, le cas échéant, conformément aux normes applicables de l</w:t>
      </w:r>
      <w:r w:rsidR="009506DB">
        <w:t>’</w:t>
      </w:r>
      <w:r>
        <w:t>O</w:t>
      </w:r>
      <w:r w:rsidR="004F6A84">
        <w:t>MPI.  Le</w:t>
      </w:r>
      <w:r>
        <w:t>s collections de marques des pays ci</w:t>
      </w:r>
      <w:r w:rsidR="00B82EC7">
        <w:noBreakHyphen/>
      </w:r>
      <w:r>
        <w:t>après ont été intégrées à la Base de données mondiale sur les marques au cours de l</w:t>
      </w:r>
      <w:r w:rsidR="009506DB">
        <w:t>’</w:t>
      </w:r>
      <w:r>
        <w:t>année 2022 dans l</w:t>
      </w:r>
      <w:r w:rsidR="009506DB">
        <w:t>’</w:t>
      </w:r>
      <w:r>
        <w:t>ordre chronologique</w:t>
      </w:r>
      <w:r w:rsidR="009506DB">
        <w:t> :</w:t>
      </w:r>
      <w:r>
        <w:rPr>
          <w:color w:val="000000"/>
        </w:rPr>
        <w:t xml:space="preserve"> Bulgarie, Indonésie, </w:t>
      </w:r>
      <w:proofErr w:type="gramStart"/>
      <w:r>
        <w:rPr>
          <w:color w:val="000000"/>
        </w:rPr>
        <w:t>Monténégro</w:t>
      </w:r>
      <w:r>
        <w:t xml:space="preserve">; </w:t>
      </w:r>
      <w:r w:rsidR="00D522AE">
        <w:t xml:space="preserve"> </w:t>
      </w:r>
      <w:r>
        <w:t>les</w:t>
      </w:r>
      <w:proofErr w:type="gramEnd"/>
      <w:r>
        <w:t xml:space="preserve"> collections de brevets des pays ci</w:t>
      </w:r>
      <w:r w:rsidR="00B82EC7">
        <w:noBreakHyphen/>
      </w:r>
      <w:r>
        <w:t>après ont été intégrées à la base de données PATENTSCOPE au cours de l</w:t>
      </w:r>
      <w:r w:rsidR="009506DB">
        <w:t>’</w:t>
      </w:r>
      <w:r>
        <w:t>année 2022</w:t>
      </w:r>
      <w:r w:rsidR="009506DB">
        <w:t> :</w:t>
      </w:r>
      <w:r>
        <w:rPr>
          <w:color w:val="000000"/>
        </w:rPr>
        <w:t xml:space="preserve"> Suis</w:t>
      </w:r>
      <w:r w:rsidR="004F6A84">
        <w:rPr>
          <w:color w:val="000000"/>
        </w:rPr>
        <w:t xml:space="preserve">se.  </w:t>
      </w:r>
      <w:r w:rsidR="004F6A84">
        <w:t>Le</w:t>
      </w:r>
      <w:r>
        <w:t>s collections de dessins et modèles industriels de la Bulgarie, d</w:t>
      </w:r>
      <w:r w:rsidR="009506DB">
        <w:t>’</w:t>
      </w:r>
      <w:r>
        <w:t>Israël et des Philippines ont également été ajoutées à la Base de données mondiale sur les dessins et modèles de l</w:t>
      </w:r>
      <w:r w:rsidR="009506DB">
        <w:t>’</w:t>
      </w:r>
      <w:r>
        <w:t xml:space="preserve">OMPI </w:t>
      </w:r>
      <w:r w:rsidR="009506DB">
        <w:t>en 2022</w:t>
      </w:r>
      <w:r>
        <w:t>.</w:t>
      </w:r>
    </w:p>
    <w:p w14:paraId="51D0BC46" w14:textId="77777777" w:rsidR="00A7116D" w:rsidRPr="00B82EC7" w:rsidRDefault="00A7116D" w:rsidP="00B82EC7">
      <w:pPr>
        <w:pStyle w:val="ONUMFS"/>
        <w:ind w:left="5533"/>
        <w:rPr>
          <w:i/>
        </w:rPr>
      </w:pPr>
      <w:r w:rsidRPr="00B82EC7">
        <w:rPr>
          <w:i/>
        </w:rPr>
        <w:t xml:space="preserve">Le CWS est invité à prendre note des activités menées par le Bureau international </w:t>
      </w:r>
      <w:r w:rsidR="009506DB" w:rsidRPr="00B82EC7">
        <w:rPr>
          <w:i/>
        </w:rPr>
        <w:t>en 2022</w:t>
      </w:r>
      <w:r w:rsidRPr="00B82EC7">
        <w:rPr>
          <w:i/>
        </w:rPr>
        <w:t xml:space="preserve"> en ce qui concerne la prestation de services consultatifs et d</w:t>
      </w:r>
      <w:r w:rsidR="009506DB" w:rsidRPr="00B82EC7">
        <w:rPr>
          <w:i/>
        </w:rPr>
        <w:t>’</w:t>
      </w:r>
      <w:r w:rsidRPr="00B82EC7">
        <w:rPr>
          <w:i/>
        </w:rPr>
        <w:t>assistance technique aux fins du renforcement des capacités des offices de propriété industrielle portant sur la diffusion de l</w:t>
      </w:r>
      <w:r w:rsidR="009506DB" w:rsidRPr="00B82EC7">
        <w:rPr>
          <w:i/>
        </w:rPr>
        <w:t>’</w:t>
      </w:r>
      <w:r w:rsidRPr="00B82EC7">
        <w:rPr>
          <w:i/>
        </w:rPr>
        <w:t>information en matière de normes de propriété intellectuel</w:t>
      </w:r>
      <w:r w:rsidR="004F6A84" w:rsidRPr="00B82EC7">
        <w:rPr>
          <w:i/>
        </w:rPr>
        <w:t>le.  Le</w:t>
      </w:r>
      <w:r w:rsidRPr="00B82EC7">
        <w:rPr>
          <w:i/>
        </w:rPr>
        <w:t xml:space="preserve"> présent document servira de base au rapport qui sera présenté à l</w:t>
      </w:r>
      <w:r w:rsidR="009506DB" w:rsidRPr="00B82EC7">
        <w:rPr>
          <w:i/>
        </w:rPr>
        <w:t>’</w:t>
      </w:r>
      <w:r w:rsidRPr="00B82EC7">
        <w:rPr>
          <w:i/>
        </w:rPr>
        <w:t>Assemblée générale de l</w:t>
      </w:r>
      <w:r w:rsidR="009506DB" w:rsidRPr="00B82EC7">
        <w:rPr>
          <w:i/>
        </w:rPr>
        <w:t>’</w:t>
      </w:r>
      <w:r w:rsidRPr="00B82EC7">
        <w:rPr>
          <w:i/>
        </w:rPr>
        <w:t>OMPI à sa session de 2024, conformément à la demande formulée par cette dernière à sa quarant</w:t>
      </w:r>
      <w:r w:rsidR="009506DB" w:rsidRPr="00B82EC7">
        <w:rPr>
          <w:i/>
        </w:rPr>
        <w:t>ième session</w:t>
      </w:r>
      <w:r w:rsidRPr="00B82EC7">
        <w:rPr>
          <w:i/>
        </w:rPr>
        <w:t xml:space="preserve"> tenue en octobre 2011 (voir le paragraphe 190 du </w:t>
      </w:r>
      <w:r w:rsidR="009506DB" w:rsidRPr="00B82EC7">
        <w:rPr>
          <w:i/>
        </w:rPr>
        <w:t>document</w:t>
      </w:r>
      <w:r w:rsidR="004F6A84" w:rsidRPr="00B82EC7">
        <w:rPr>
          <w:i/>
        </w:rPr>
        <w:t> </w:t>
      </w:r>
      <w:r w:rsidR="009506DB" w:rsidRPr="00B82EC7">
        <w:rPr>
          <w:i/>
        </w:rPr>
        <w:t>WO</w:t>
      </w:r>
      <w:r w:rsidRPr="00B82EC7">
        <w:rPr>
          <w:i/>
        </w:rPr>
        <w:t>/GA/40/19).</w:t>
      </w:r>
    </w:p>
    <w:p w14:paraId="4FD398B4" w14:textId="77777777" w:rsidR="000F5E56" w:rsidRDefault="00A7116D" w:rsidP="00B82EC7">
      <w:pPr>
        <w:pStyle w:val="Endofdocument-Annex"/>
        <w:spacing w:before="720"/>
      </w:pPr>
      <w:r>
        <w:t>[Fin du document]</w:t>
      </w:r>
    </w:p>
    <w:sectPr w:rsidR="000F5E56" w:rsidSect="00A711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6883" w14:textId="77777777" w:rsidR="001F7722" w:rsidRDefault="001F7722">
      <w:r>
        <w:separator/>
      </w:r>
    </w:p>
  </w:endnote>
  <w:endnote w:type="continuationSeparator" w:id="0">
    <w:p w14:paraId="5E8652BA" w14:textId="77777777" w:rsidR="001F7722" w:rsidRPr="009D30E6" w:rsidRDefault="001F772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2209E28" w14:textId="77777777" w:rsidR="001F7722" w:rsidRPr="009D30E6" w:rsidRDefault="001F772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2E8EA48" w14:textId="77777777" w:rsidR="001F7722" w:rsidRPr="009D30E6" w:rsidRDefault="001F772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EC02" w14:textId="77777777" w:rsidR="004F6A84" w:rsidRDefault="004F6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E066" w14:textId="77777777" w:rsidR="00533626" w:rsidRDefault="00533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3703" w14:textId="77777777" w:rsidR="00533626" w:rsidRDefault="0053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0A55" w14:textId="77777777" w:rsidR="001F7722" w:rsidRDefault="001F7722">
      <w:r>
        <w:separator/>
      </w:r>
    </w:p>
  </w:footnote>
  <w:footnote w:type="continuationSeparator" w:id="0">
    <w:p w14:paraId="60C79F6F" w14:textId="77777777" w:rsidR="001F7722" w:rsidRDefault="001F7722" w:rsidP="007461F1">
      <w:r>
        <w:separator/>
      </w:r>
    </w:p>
    <w:p w14:paraId="653C3EDD" w14:textId="77777777" w:rsidR="001F7722" w:rsidRPr="009D30E6" w:rsidRDefault="001F772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6007F4B" w14:textId="77777777" w:rsidR="001F7722" w:rsidRPr="009D30E6" w:rsidRDefault="001F772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B663" w14:textId="77777777" w:rsidR="004F6A84" w:rsidRDefault="004F6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D158" w14:textId="77777777" w:rsidR="00F16975" w:rsidRPr="00B45C15" w:rsidRDefault="00A7116D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9506DB">
      <w:rPr>
        <w:caps/>
      </w:rPr>
      <w:t>WS/11/</w:t>
    </w:r>
    <w:r>
      <w:rPr>
        <w:caps/>
      </w:rPr>
      <w:t>10</w:t>
    </w:r>
  </w:p>
  <w:p w14:paraId="542DD371" w14:textId="77777777" w:rsidR="00574036" w:rsidRDefault="00F16975" w:rsidP="009506DB">
    <w:pPr>
      <w:spacing w:after="48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3091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59C2" w14:textId="77777777" w:rsidR="004F6A84" w:rsidRDefault="004F6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8A01CF3"/>
    <w:multiLevelType w:val="multilevel"/>
    <w:tmpl w:val="806400C6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081977">
    <w:abstractNumId w:val="2"/>
  </w:num>
  <w:num w:numId="2" w16cid:durableId="2029596974">
    <w:abstractNumId w:val="6"/>
  </w:num>
  <w:num w:numId="3" w16cid:durableId="141314830">
    <w:abstractNumId w:val="0"/>
  </w:num>
  <w:num w:numId="4" w16cid:durableId="661200321">
    <w:abstractNumId w:val="7"/>
  </w:num>
  <w:num w:numId="5" w16cid:durableId="1395347832">
    <w:abstractNumId w:val="1"/>
  </w:num>
  <w:num w:numId="6" w16cid:durableId="2002388196">
    <w:abstractNumId w:val="3"/>
  </w:num>
  <w:num w:numId="7" w16cid:durableId="2128229204">
    <w:abstractNumId w:val="5"/>
  </w:num>
  <w:num w:numId="8" w16cid:durableId="141042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6D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1F7722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1057"/>
    <w:rsid w:val="004647DA"/>
    <w:rsid w:val="00477D6B"/>
    <w:rsid w:val="004D6471"/>
    <w:rsid w:val="004F6A84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B5C63"/>
    <w:rsid w:val="005B5DDD"/>
    <w:rsid w:val="005E6516"/>
    <w:rsid w:val="00605827"/>
    <w:rsid w:val="00616671"/>
    <w:rsid w:val="006B0DB5"/>
    <w:rsid w:val="00726A01"/>
    <w:rsid w:val="007461F1"/>
    <w:rsid w:val="007D6961"/>
    <w:rsid w:val="007F07CB"/>
    <w:rsid w:val="00810CEF"/>
    <w:rsid w:val="0081208D"/>
    <w:rsid w:val="00813091"/>
    <w:rsid w:val="008B2CC1"/>
    <w:rsid w:val="008E7930"/>
    <w:rsid w:val="0090731E"/>
    <w:rsid w:val="009506DB"/>
    <w:rsid w:val="00966A22"/>
    <w:rsid w:val="00974CD6"/>
    <w:rsid w:val="009D30E6"/>
    <w:rsid w:val="009E3F6F"/>
    <w:rsid w:val="009F499F"/>
    <w:rsid w:val="00A11D74"/>
    <w:rsid w:val="00A7116D"/>
    <w:rsid w:val="00AC0AE4"/>
    <w:rsid w:val="00AD61DB"/>
    <w:rsid w:val="00B006C0"/>
    <w:rsid w:val="00B1090C"/>
    <w:rsid w:val="00B35AF5"/>
    <w:rsid w:val="00B45C15"/>
    <w:rsid w:val="00B82EC7"/>
    <w:rsid w:val="00BE0BE0"/>
    <w:rsid w:val="00C664C8"/>
    <w:rsid w:val="00CF0460"/>
    <w:rsid w:val="00D43E0F"/>
    <w:rsid w:val="00D45252"/>
    <w:rsid w:val="00D522AE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6A2DD"/>
  <w15:docId w15:val="{882CBC9E-69D1-42CA-B835-04C6FD39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A7116D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A7116D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A7116D"/>
    <w:pPr>
      <w:ind w:left="5534"/>
    </w:pPr>
    <w:rPr>
      <w:lang w:val="fr-FR"/>
    </w:rPr>
  </w:style>
  <w:style w:type="character" w:styleId="Hyperlink">
    <w:name w:val="Hyperlink"/>
    <w:rsid w:val="00A7116D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A7116D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7116D"/>
    <w:pPr>
      <w:ind w:left="720"/>
      <w:contextualSpacing/>
    </w:pPr>
    <w:rPr>
      <w:lang w:val="fr-FR"/>
    </w:rPr>
  </w:style>
  <w:style w:type="character" w:styleId="FollowedHyperlink">
    <w:name w:val="FollowedHyperlink"/>
    <w:basedOn w:val="DefaultParagraphFont"/>
    <w:semiHidden/>
    <w:unhideWhenUsed/>
    <w:rsid w:val="005B5D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standards/fr/sequence/signup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3.wipo.int/confluence/display/WSSKB/WIPO+Sequence+and+ST.26+Knowledge+Base+Hom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fr/sequence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patentscope/f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ipo.int/cws/fr/training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wipo.int/tad" TargetMode="External"/><Relationship Id="rId14" Type="http://schemas.openxmlformats.org/officeDocument/2006/relationships/hyperlink" Target="https://www.wipo.int/global_ip/fr/activities/ip_office_business_solutions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2CD4-38F2-4350-8D80-868B727F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5</TotalTime>
  <Pages>5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CWS/11/10</vt:lpstr>
    </vt:vector>
  </TitlesOfParts>
  <Company>WIPO</Company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CWS/11/10</dc:title>
  <dc:creator>WIPO</dc:creator>
  <cp:keywords>FOR OFFICIAL USE ONLY</cp:keywords>
  <cp:lastModifiedBy>SEILER Joséphine</cp:lastModifiedBy>
  <cp:revision>3</cp:revision>
  <cp:lastPrinted>2023-10-19T14:21:00Z</cp:lastPrinted>
  <dcterms:created xsi:type="dcterms:W3CDTF">2023-10-19T14:21:00Z</dcterms:created>
  <dcterms:modified xsi:type="dcterms:W3CDTF">2023-10-19T14:24:00Z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2023-10-19T13:42:45Z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edfee1da-ac1b-487d-8cb2-23ad5e6898d1</vt:lpwstr>
  </property>
  <property fmtid="{D5CDD505-2E9C-101B-9397-08002B2CF9AE}" pid="13" name="MSIP_Label_20773ee6-353b-4fb9-a59d-0b94c8c67bea_ContentBits">
    <vt:lpwstr>0</vt:lpwstr>
  </property>
</Properties>
</file>