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DFAD4" w14:textId="77777777" w:rsidR="008B2CC1" w:rsidRPr="0040540C" w:rsidRDefault="0040540C" w:rsidP="008A3B37">
      <w:pPr>
        <w:pBdr>
          <w:bottom w:val="single" w:sz="4" w:space="11" w:color="auto"/>
        </w:pBdr>
        <w:spacing w:after="120"/>
        <w:jc w:val="right"/>
      </w:pPr>
      <w:r>
        <w:rPr>
          <w:noProof/>
          <w:lang w:val="en-US" w:eastAsia="en-US"/>
        </w:rPr>
        <w:drawing>
          <wp:inline distT="0" distB="0" distL="0" distR="0" wp14:anchorId="36F5EE00" wp14:editId="13B841C1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C62C5" w14:textId="77777777" w:rsidR="00B1090C" w:rsidRDefault="00533626" w:rsidP="008A3B37">
      <w:pPr>
        <w:jc w:val="right"/>
        <w:rPr>
          <w:rFonts w:ascii="Arial Black" w:hAnsi="Arial Black"/>
          <w:caps/>
          <w:sz w:val="15"/>
        </w:rPr>
      </w:pPr>
      <w:r>
        <w:rPr>
          <w:rFonts w:ascii="Arial Black" w:hAnsi="Arial Black"/>
          <w:caps/>
          <w:sz w:val="15"/>
        </w:rPr>
        <w:t>CWS/11</w:t>
      </w:r>
      <w:bookmarkStart w:id="0" w:name="Code"/>
      <w:bookmarkEnd w:id="0"/>
      <w:r w:rsidR="00D76A2A">
        <w:rPr>
          <w:rFonts w:ascii="Arial Black" w:hAnsi="Arial Black"/>
          <w:caps/>
          <w:sz w:val="15"/>
        </w:rPr>
        <w:t>/18</w:t>
      </w:r>
    </w:p>
    <w:p w14:paraId="7D35EB8A" w14:textId="77777777" w:rsidR="008B2CC1" w:rsidRPr="0040540C" w:rsidRDefault="00B1090C" w:rsidP="008A3B37">
      <w:pPr>
        <w:jc w:val="right"/>
      </w:pPr>
      <w:r w:rsidRPr="0090731E">
        <w:rPr>
          <w:rFonts w:ascii="Arial Black" w:hAnsi="Arial Black"/>
          <w:caps/>
          <w:sz w:val="15"/>
        </w:rPr>
        <w:t>ORIGINAL</w:t>
      </w:r>
      <w:r w:rsidR="00522225">
        <w:rPr>
          <w:rFonts w:ascii="Arial Black" w:hAnsi="Arial Black"/>
          <w:caps/>
          <w:sz w:val="15"/>
        </w:rPr>
        <w:t> :</w:t>
      </w:r>
      <w:r w:rsidR="002956DE">
        <w:rPr>
          <w:rFonts w:ascii="Arial Black" w:hAnsi="Arial Black"/>
          <w:caps/>
          <w:sz w:val="15"/>
        </w:rPr>
        <w:t xml:space="preserve"> </w:t>
      </w:r>
      <w:bookmarkStart w:id="1" w:name="Original"/>
      <w:r w:rsidR="00D76A2A">
        <w:rPr>
          <w:rFonts w:ascii="Arial Black" w:hAnsi="Arial Black"/>
          <w:caps/>
          <w:sz w:val="15"/>
        </w:rPr>
        <w:t>anglais</w:t>
      </w:r>
    </w:p>
    <w:bookmarkEnd w:id="1"/>
    <w:p w14:paraId="189A1462" w14:textId="77777777" w:rsidR="008B2CC1" w:rsidRPr="0040540C" w:rsidRDefault="00B1090C" w:rsidP="008A3B37">
      <w:pPr>
        <w:spacing w:after="1200"/>
        <w:jc w:val="right"/>
      </w:pPr>
      <w:r w:rsidRPr="0090731E">
        <w:rPr>
          <w:rFonts w:ascii="Arial Black" w:hAnsi="Arial Black"/>
          <w:caps/>
          <w:sz w:val="15"/>
        </w:rPr>
        <w:t>DATE</w:t>
      </w:r>
      <w:r w:rsidR="00522225">
        <w:rPr>
          <w:rFonts w:ascii="Arial Black" w:hAnsi="Arial Black"/>
          <w:caps/>
          <w:sz w:val="15"/>
        </w:rPr>
        <w:t> :</w:t>
      </w:r>
      <w:r w:rsidR="002956DE">
        <w:rPr>
          <w:rFonts w:ascii="Arial Black" w:hAnsi="Arial Black"/>
          <w:caps/>
          <w:sz w:val="15"/>
        </w:rPr>
        <w:t xml:space="preserve"> </w:t>
      </w:r>
      <w:bookmarkStart w:id="2" w:name="Date"/>
      <w:r w:rsidR="00522225">
        <w:rPr>
          <w:rFonts w:ascii="Arial Black" w:hAnsi="Arial Black"/>
          <w:caps/>
          <w:sz w:val="15"/>
        </w:rPr>
        <w:t>2 novembre 20</w:t>
      </w:r>
      <w:r w:rsidR="00D76A2A">
        <w:rPr>
          <w:rFonts w:ascii="Arial Black" w:hAnsi="Arial Black"/>
          <w:caps/>
          <w:sz w:val="15"/>
        </w:rPr>
        <w:t>23</w:t>
      </w:r>
    </w:p>
    <w:bookmarkEnd w:id="2"/>
    <w:p w14:paraId="6A0CA1D5" w14:textId="77777777" w:rsidR="00533626" w:rsidRPr="00197881" w:rsidRDefault="00533626" w:rsidP="008A3B37">
      <w:pPr>
        <w:spacing w:after="600"/>
        <w:rPr>
          <w:b/>
          <w:sz w:val="28"/>
          <w:szCs w:val="28"/>
        </w:rPr>
      </w:pPr>
      <w:r w:rsidRPr="00197881">
        <w:rPr>
          <w:b/>
          <w:sz w:val="28"/>
          <w:szCs w:val="28"/>
        </w:rPr>
        <w:t>Comité des normes de l</w:t>
      </w:r>
      <w:r w:rsidR="00522225">
        <w:rPr>
          <w:b/>
          <w:sz w:val="28"/>
          <w:szCs w:val="28"/>
        </w:rPr>
        <w:t>’</w:t>
      </w:r>
      <w:r w:rsidRPr="00197881">
        <w:rPr>
          <w:b/>
          <w:sz w:val="28"/>
          <w:szCs w:val="28"/>
        </w:rPr>
        <w:t>OMPI (CWS)</w:t>
      </w:r>
    </w:p>
    <w:p w14:paraId="01A944FF" w14:textId="77777777" w:rsidR="00533626" w:rsidRDefault="00533626" w:rsidP="008A3B37">
      <w:pPr>
        <w:rPr>
          <w:b/>
          <w:sz w:val="24"/>
        </w:rPr>
      </w:pPr>
      <w:r>
        <w:rPr>
          <w:b/>
          <w:sz w:val="24"/>
        </w:rPr>
        <w:t>Onz</w:t>
      </w:r>
      <w:r w:rsidR="00522225">
        <w:rPr>
          <w:b/>
          <w:sz w:val="24"/>
        </w:rPr>
        <w:t>ième session</w:t>
      </w:r>
    </w:p>
    <w:p w14:paraId="55C88B3B" w14:textId="77777777" w:rsidR="00D76A2A" w:rsidRPr="00197881" w:rsidRDefault="00D76A2A" w:rsidP="008A3B37">
      <w:pPr>
        <w:spacing w:after="720"/>
        <w:rPr>
          <w:b/>
          <w:sz w:val="28"/>
          <w:szCs w:val="24"/>
        </w:rPr>
      </w:pPr>
      <w:r>
        <w:rPr>
          <w:b/>
          <w:sz w:val="24"/>
        </w:rPr>
        <w:t>Genève, 4 – 8 décembre 2023</w:t>
      </w:r>
    </w:p>
    <w:p w14:paraId="099230CD" w14:textId="77777777" w:rsidR="008B2CC1" w:rsidRPr="00D76A2A" w:rsidRDefault="00D76A2A" w:rsidP="008A3B37">
      <w:pPr>
        <w:spacing w:after="360"/>
        <w:rPr>
          <w:caps/>
          <w:sz w:val="24"/>
        </w:rPr>
      </w:pPr>
      <w:bookmarkStart w:id="3" w:name="TitleOfDoc"/>
      <w:r w:rsidRPr="00D76A2A">
        <w:rPr>
          <w:caps/>
          <w:sz w:val="24"/>
        </w:rPr>
        <w:t>Recommandations concernant l</w:t>
      </w:r>
      <w:r w:rsidR="00522225">
        <w:rPr>
          <w:caps/>
          <w:sz w:val="24"/>
        </w:rPr>
        <w:t>’</w:t>
      </w:r>
      <w:r w:rsidRPr="00D76A2A">
        <w:rPr>
          <w:caps/>
          <w:sz w:val="24"/>
        </w:rPr>
        <w:t>administration des technologies de l</w:t>
      </w:r>
      <w:r w:rsidR="00522225">
        <w:rPr>
          <w:caps/>
          <w:sz w:val="24"/>
        </w:rPr>
        <w:t>’</w:t>
      </w:r>
      <w:r w:rsidRPr="00D76A2A">
        <w:rPr>
          <w:caps/>
          <w:sz w:val="24"/>
        </w:rPr>
        <w:t>information et de la communication et de la propriété intellectuelle</w:t>
      </w:r>
    </w:p>
    <w:p w14:paraId="4866E9A9" w14:textId="77777777" w:rsidR="008B2CC1" w:rsidRPr="008B2CC1" w:rsidRDefault="00D76A2A" w:rsidP="008A3B37">
      <w:pPr>
        <w:spacing w:after="960"/>
        <w:rPr>
          <w:i/>
        </w:rPr>
      </w:pPr>
      <w:bookmarkStart w:id="4" w:name="Prepared"/>
      <w:bookmarkEnd w:id="4"/>
      <w:bookmarkEnd w:id="3"/>
      <w:r>
        <w:rPr>
          <w:i/>
        </w:rPr>
        <w:t>Document établi par le Bureau international</w:t>
      </w:r>
    </w:p>
    <w:p w14:paraId="2F1ED349" w14:textId="77777777" w:rsidR="00D76A2A" w:rsidRDefault="00D76A2A" w:rsidP="008A3B37">
      <w:pPr>
        <w:pStyle w:val="Heading2"/>
      </w:pPr>
      <w:r>
        <w:t>Résumé</w:t>
      </w:r>
    </w:p>
    <w:p w14:paraId="4C9C57A8" w14:textId="77777777" w:rsidR="00D76A2A" w:rsidRDefault="00D76A2A" w:rsidP="008A3B37">
      <w:pPr>
        <w:pStyle w:val="ONUMFS"/>
      </w:pPr>
      <w:r>
        <w:t>L</w:t>
      </w:r>
      <w:r w:rsidR="00522225">
        <w:t>’</w:t>
      </w:r>
      <w:r>
        <w:t>Équipe d</w:t>
      </w:r>
      <w:r w:rsidR="00522225">
        <w:t>’</w:t>
      </w:r>
      <w:r>
        <w:t>experts chargée des normes relatives aux technologies de l</w:t>
      </w:r>
      <w:r w:rsidR="00522225">
        <w:t>’</w:t>
      </w:r>
      <w:r>
        <w:t>information et de la communication présente une série de recommandations concernant l</w:t>
      </w:r>
      <w:r w:rsidR="00522225">
        <w:t>’</w:t>
      </w:r>
      <w:r>
        <w:t>administration des technologies de l</w:t>
      </w:r>
      <w:r w:rsidR="00522225">
        <w:t>’</w:t>
      </w:r>
      <w:r>
        <w:t>information et de la communication et de la propriété intellectuelle aux fins de leur examen par le Comité des normes de l</w:t>
      </w:r>
      <w:r w:rsidR="00522225">
        <w:t>’</w:t>
      </w:r>
      <w:r>
        <w:t>OMPI (CWS).  Ces recommandations doivent être examinées dans la perspective de leur mise en œuvre par les offices de propriété intellectuelle.</w:t>
      </w:r>
    </w:p>
    <w:p w14:paraId="24DBB474" w14:textId="77777777" w:rsidR="00D76A2A" w:rsidRDefault="00D76A2A" w:rsidP="008A3B37">
      <w:pPr>
        <w:pStyle w:val="Heading2"/>
      </w:pPr>
      <w:r>
        <w:t>Contexte</w:t>
      </w:r>
    </w:p>
    <w:p w14:paraId="1BA6999D" w14:textId="77777777" w:rsidR="00522225" w:rsidRDefault="00D76A2A" w:rsidP="008A3B37">
      <w:pPr>
        <w:pStyle w:val="ONUMFS"/>
      </w:pPr>
      <w:r>
        <w:t>À sa six</w:t>
      </w:r>
      <w:r w:rsidR="00522225">
        <w:t>ième session</w:t>
      </w:r>
      <w:r>
        <w:t xml:space="preserve"> tenue </w:t>
      </w:r>
      <w:r w:rsidR="00522225">
        <w:t>en 2019</w:t>
      </w:r>
      <w:r>
        <w:t>,</w:t>
      </w:r>
      <w:r w:rsidR="00522225">
        <w:t xml:space="preserve"> le CWS</w:t>
      </w:r>
      <w:r>
        <w:t xml:space="preserve"> a pris note des </w:t>
      </w:r>
      <w:r w:rsidR="00522225">
        <w:t>“</w:t>
      </w:r>
      <w:r>
        <w:t>40</w:t>
      </w:r>
      <w:r w:rsidR="002F241D">
        <w:t> </w:t>
      </w:r>
      <w:r>
        <w:t>recommandations</w:t>
      </w:r>
      <w:r w:rsidR="002F241D">
        <w:t>”</w:t>
      </w:r>
      <w:r>
        <w:t xml:space="preserve"> </w:t>
      </w:r>
      <w:proofErr w:type="gramStart"/>
      <w:r>
        <w:t>établies</w:t>
      </w:r>
      <w:proofErr w:type="gramEnd"/>
      <w:r>
        <w:t xml:space="preserve"> par la Réunion sur les stratégies en matière de TIC et l</w:t>
      </w:r>
      <w:r w:rsidR="00522225">
        <w:t>’</w:t>
      </w:r>
      <w:r>
        <w:t>intelligence artificielle, convoquée par le Bureau international pour permettre l</w:t>
      </w:r>
      <w:r w:rsidR="00522225">
        <w:t>’</w:t>
      </w:r>
      <w:r>
        <w:t>échange de vues et de données d</w:t>
      </w:r>
      <w:r w:rsidR="00522225">
        <w:t>’</w:t>
      </w:r>
      <w:r>
        <w:t>expérience sur les stratégies informatiques et l</w:t>
      </w:r>
      <w:r w:rsidR="00522225">
        <w:t>’</w:t>
      </w:r>
      <w:r>
        <w:t>administration rationnelle des opératio</w:t>
      </w:r>
      <w:r w:rsidR="002F241D">
        <w:t>ns.  Le</w:t>
      </w:r>
      <w:r w:rsidR="00522225">
        <w:t> CWS</w:t>
      </w:r>
      <w:r>
        <w:t xml:space="preserve"> a pris note de l</w:t>
      </w:r>
      <w:r w:rsidR="00522225">
        <w:t>’</w:t>
      </w:r>
      <w:r>
        <w:t>analyse des 40</w:t>
      </w:r>
      <w:r w:rsidR="002F241D">
        <w:t> </w:t>
      </w:r>
      <w:r>
        <w:t>recommandations effectuée par le Secrétariat ainsi que de leur pertinence au regard de ses activit</w:t>
      </w:r>
      <w:r w:rsidR="002F241D">
        <w:t>és.  Ce</w:t>
      </w:r>
      <w:r>
        <w:t>s recommandations étaient classées comme suit en trois</w:t>
      </w:r>
      <w:r w:rsidR="0044724F">
        <w:t> </w:t>
      </w:r>
      <w:r>
        <w:t>groupes (voir l</w:t>
      </w:r>
      <w:r w:rsidR="00522225">
        <w:t>’</w:t>
      </w:r>
      <w:r>
        <w:t>annexe du document</w:t>
      </w:r>
      <w:r w:rsidR="002F241D">
        <w:t> </w:t>
      </w:r>
      <w:r>
        <w:t>CWS/6/3</w:t>
      </w:r>
      <w:r w:rsidRPr="008A3B37">
        <w:rPr>
          <w:rStyle w:val="Hyperlink"/>
          <w:color w:val="000000" w:themeColor="text1"/>
          <w:u w:val="none"/>
        </w:rPr>
        <w:t>)</w:t>
      </w:r>
      <w:r w:rsidR="00522225">
        <w:t> :</w:t>
      </w:r>
    </w:p>
    <w:p w14:paraId="615FDCD9" w14:textId="77777777" w:rsidR="00522225" w:rsidRDefault="00D76A2A" w:rsidP="008A3B37">
      <w:pPr>
        <w:pStyle w:val="ONUMFS"/>
        <w:numPr>
          <w:ilvl w:val="0"/>
          <w:numId w:val="0"/>
        </w:numPr>
        <w:ind w:left="567"/>
      </w:pPr>
      <w:r>
        <w:t>a)</w:t>
      </w:r>
      <w:r>
        <w:tab/>
        <w:t>Groupe</w:t>
      </w:r>
      <w:r w:rsidR="002F241D">
        <w:t> </w:t>
      </w:r>
      <w:r>
        <w:t>1</w:t>
      </w:r>
      <w:r w:rsidR="00522225">
        <w:t> :</w:t>
      </w:r>
      <w:r>
        <w:t xml:space="preserve"> recommandations concernant les tâches</w:t>
      </w:r>
      <w:r w:rsidR="00522225">
        <w:t xml:space="preserve"> du CWS</w:t>
      </w:r>
      <w:r>
        <w:t xml:space="preserve"> existantes ou les tâches qu</w:t>
      </w:r>
      <w:r w:rsidR="00522225">
        <w:t>’</w:t>
      </w:r>
      <w:r>
        <w:t>il est proposé de créer à la six</w:t>
      </w:r>
      <w:r w:rsidR="00522225">
        <w:t>ième session</w:t>
      </w:r>
      <w:r>
        <w:t xml:space="preserve"> du </w:t>
      </w:r>
      <w:proofErr w:type="gramStart"/>
      <w:r>
        <w:t>comité;</w:t>
      </w:r>
      <w:proofErr w:type="gramEnd"/>
    </w:p>
    <w:p w14:paraId="35A84F3E" w14:textId="77777777" w:rsidR="00522225" w:rsidRDefault="008A3B37" w:rsidP="008A3B37">
      <w:pPr>
        <w:pStyle w:val="ONUMFS"/>
        <w:numPr>
          <w:ilvl w:val="0"/>
          <w:numId w:val="0"/>
        </w:numPr>
        <w:ind w:left="567"/>
      </w:pPr>
      <w:r>
        <w:t>b)</w:t>
      </w:r>
      <w:r w:rsidR="00D76A2A">
        <w:tab/>
        <w:t>Groupe</w:t>
      </w:r>
      <w:r w:rsidR="002F241D">
        <w:t> </w:t>
      </w:r>
      <w:r w:rsidR="00D76A2A">
        <w:t>2</w:t>
      </w:r>
      <w:r w:rsidR="00522225">
        <w:t> :</w:t>
      </w:r>
      <w:r w:rsidR="00D76A2A">
        <w:t xml:space="preserve"> recommandations ne concernant pas directement l</w:t>
      </w:r>
      <w:r w:rsidR="00522225">
        <w:t>’</w:t>
      </w:r>
      <w:r w:rsidR="00D76A2A">
        <w:t>une quelconque des tâches actuelles ou proposées</w:t>
      </w:r>
      <w:r w:rsidR="00522225">
        <w:t xml:space="preserve"> du CWS</w:t>
      </w:r>
      <w:r w:rsidR="00D76A2A">
        <w:t>, mais semblant présenter un intérêt pour l</w:t>
      </w:r>
      <w:r w:rsidR="00522225">
        <w:t>’</w:t>
      </w:r>
      <w:r w:rsidR="00D76A2A">
        <w:t xml:space="preserve">activité future potentielle du </w:t>
      </w:r>
      <w:proofErr w:type="gramStart"/>
      <w:r w:rsidR="00D76A2A">
        <w:t>comité;  et</w:t>
      </w:r>
      <w:proofErr w:type="gramEnd"/>
    </w:p>
    <w:p w14:paraId="14F4D245" w14:textId="77777777" w:rsidR="00D76A2A" w:rsidRDefault="008A3B37" w:rsidP="008A3B37">
      <w:pPr>
        <w:pStyle w:val="ONUMFS"/>
        <w:numPr>
          <w:ilvl w:val="0"/>
          <w:numId w:val="0"/>
        </w:numPr>
        <w:ind w:left="567"/>
      </w:pPr>
      <w:r>
        <w:lastRenderedPageBreak/>
        <w:t>c)</w:t>
      </w:r>
      <w:r w:rsidR="00D76A2A">
        <w:tab/>
        <w:t>Groupe</w:t>
      </w:r>
      <w:r w:rsidR="002F241D">
        <w:t> </w:t>
      </w:r>
      <w:r w:rsidR="00D76A2A">
        <w:t>3</w:t>
      </w:r>
      <w:r w:rsidR="00522225">
        <w:t> :</w:t>
      </w:r>
      <w:r w:rsidR="00D76A2A">
        <w:t xml:space="preserve"> recommandations ne semblant pas présenter d</w:t>
      </w:r>
      <w:r w:rsidR="00522225">
        <w:t>’</w:t>
      </w:r>
      <w:r w:rsidR="00D76A2A">
        <w:t>intérêt pour l</w:t>
      </w:r>
      <w:r w:rsidR="00522225">
        <w:t>’</w:t>
      </w:r>
      <w:r w:rsidR="00D76A2A">
        <w:t>activité</w:t>
      </w:r>
      <w:r w:rsidR="00522225">
        <w:t xml:space="preserve"> du CWS</w:t>
      </w:r>
      <w:r w:rsidR="00D76A2A">
        <w:t xml:space="preserve"> au moment de la six</w:t>
      </w:r>
      <w:r w:rsidR="00522225">
        <w:t>ième session du CWS</w:t>
      </w:r>
      <w:r w:rsidR="00D76A2A">
        <w:t xml:space="preserve"> ou dans un avenir proche.</w:t>
      </w:r>
    </w:p>
    <w:p w14:paraId="0F336541" w14:textId="77777777" w:rsidR="00D76A2A" w:rsidRDefault="00D76A2A" w:rsidP="008A3B37">
      <w:pPr>
        <w:pStyle w:val="ONUMFS"/>
        <w:numPr>
          <w:ilvl w:val="0"/>
          <w:numId w:val="0"/>
        </w:numPr>
      </w:pPr>
      <w:r>
        <w:t>(Voir également les paragraphes 4 à 9 du document</w:t>
      </w:r>
      <w:r w:rsidR="002F241D">
        <w:t> </w:t>
      </w:r>
      <w:r>
        <w:t>CWS/6/3.)</w:t>
      </w:r>
    </w:p>
    <w:p w14:paraId="41C02D54" w14:textId="77777777" w:rsidR="00D76A2A" w:rsidRPr="00BC233B" w:rsidRDefault="00D76A2A" w:rsidP="00BC233B">
      <w:pPr>
        <w:pStyle w:val="ONUMFS"/>
      </w:pPr>
      <w:r w:rsidRPr="00BC233B">
        <w:t>À sa six</w:t>
      </w:r>
      <w:r w:rsidR="00522225" w:rsidRPr="00BC233B">
        <w:t>ième session</w:t>
      </w:r>
      <w:r w:rsidRPr="00BC233B">
        <w:t>,</w:t>
      </w:r>
      <w:r w:rsidR="00522225" w:rsidRPr="00BC233B">
        <w:t xml:space="preserve"> le CWS</w:t>
      </w:r>
      <w:r w:rsidRPr="00BC233B">
        <w:t xml:space="preserve"> a créé la tâche n°</w:t>
      </w:r>
      <w:r w:rsidR="0044724F" w:rsidRPr="00BC233B">
        <w:t> </w:t>
      </w:r>
      <w:r w:rsidRPr="00BC233B">
        <w:t>58 et établi l</w:t>
      </w:r>
      <w:r w:rsidR="00522225" w:rsidRPr="00BC233B">
        <w:t>’</w:t>
      </w:r>
      <w:r w:rsidRPr="00BC233B">
        <w:t>Équipe d</w:t>
      </w:r>
      <w:r w:rsidR="00522225" w:rsidRPr="00BC233B">
        <w:t>’</w:t>
      </w:r>
      <w:r w:rsidRPr="00BC233B">
        <w:t>experts chargée des normes relatives aux technologies de l</w:t>
      </w:r>
      <w:r w:rsidR="00522225" w:rsidRPr="00BC233B">
        <w:t>’</w:t>
      </w:r>
      <w:r w:rsidRPr="00BC233B">
        <w:t>information et de la communication, tout en désignant le Bureau international comme responsable de l</w:t>
      </w:r>
      <w:r w:rsidR="00522225" w:rsidRPr="00BC233B">
        <w:t>’</w:t>
      </w:r>
      <w:r w:rsidRPr="00BC233B">
        <w:t>équipe d</w:t>
      </w:r>
      <w:r w:rsidR="00522225" w:rsidRPr="00BC233B">
        <w:t>’</w:t>
      </w:r>
      <w:r w:rsidRPr="00BC233B">
        <w:t xml:space="preserve">experts (voir les </w:t>
      </w:r>
      <w:r w:rsidR="00522225" w:rsidRPr="00BC233B">
        <w:t>paragraphes 1</w:t>
      </w:r>
      <w:r w:rsidRPr="00BC233B">
        <w:t>7 à 24 du document</w:t>
      </w:r>
      <w:r w:rsidR="002F241D" w:rsidRPr="00BC233B">
        <w:t> </w:t>
      </w:r>
      <w:r w:rsidRPr="00BC233B">
        <w:t>CWS/6/34).</w:t>
      </w:r>
    </w:p>
    <w:p w14:paraId="0497CAA2" w14:textId="77777777" w:rsidR="00522225" w:rsidRPr="00BC233B" w:rsidRDefault="00D76A2A" w:rsidP="00BC233B">
      <w:pPr>
        <w:pStyle w:val="ONUMFS"/>
      </w:pPr>
      <w:r w:rsidRPr="00BC233B">
        <w:t>L</w:t>
      </w:r>
      <w:r w:rsidR="00522225" w:rsidRPr="00BC233B">
        <w:t>’</w:t>
      </w:r>
      <w:r w:rsidRPr="00BC233B">
        <w:t>Équipe d</w:t>
      </w:r>
      <w:r w:rsidR="00522225" w:rsidRPr="00BC233B">
        <w:t>’</w:t>
      </w:r>
      <w:r w:rsidRPr="00BC233B">
        <w:t>experts chargée des normes relatives aux technologies de l</w:t>
      </w:r>
      <w:r w:rsidR="00522225" w:rsidRPr="00BC233B">
        <w:t>’</w:t>
      </w:r>
      <w:r w:rsidRPr="00BC233B">
        <w:t>information et de la communication a travaillé sur l</w:t>
      </w:r>
      <w:r w:rsidR="00522225" w:rsidRPr="00BC233B">
        <w:t>’</w:t>
      </w:r>
      <w:r w:rsidRPr="00BC233B">
        <w:t>analyse de la pertinence de ces 40</w:t>
      </w:r>
      <w:r w:rsidR="002F241D" w:rsidRPr="00BC233B">
        <w:t> </w:t>
      </w:r>
      <w:r w:rsidRPr="00BC233B">
        <w:t>recommandations au regard des activités</w:t>
      </w:r>
      <w:r w:rsidR="00522225" w:rsidRPr="00BC233B">
        <w:t xml:space="preserve"> du CWS</w:t>
      </w:r>
      <w:r w:rsidRPr="00BC233B">
        <w:t xml:space="preserve"> et sur l</w:t>
      </w:r>
      <w:r w:rsidR="00522225" w:rsidRPr="00BC233B">
        <w:t>’</w:t>
      </w:r>
      <w:r w:rsidRPr="00BC233B">
        <w:t>ordre de priorité des recommandations, en tenant compte des résultats des deux</w:t>
      </w:r>
      <w:r w:rsidR="0044724F" w:rsidRPr="00BC233B">
        <w:t> </w:t>
      </w:r>
      <w:r w:rsidRPr="00BC233B">
        <w:t>enquêtes menées au sein de l</w:t>
      </w:r>
      <w:r w:rsidR="00522225" w:rsidRPr="00BC233B">
        <w:t>’</w:t>
      </w:r>
      <w:r w:rsidRPr="00BC233B">
        <w:t>équipe d</w:t>
      </w:r>
      <w:r w:rsidR="00522225" w:rsidRPr="00BC233B">
        <w:t>’</w:t>
      </w:r>
      <w:r w:rsidRPr="00BC233B">
        <w:t>experts et auprès des membres</w:t>
      </w:r>
      <w:r w:rsidR="00522225" w:rsidRPr="00BC233B">
        <w:t xml:space="preserve"> du </w:t>
      </w:r>
      <w:r w:rsidR="002F241D" w:rsidRPr="00BC233B">
        <w:t>CWS.  De</w:t>
      </w:r>
      <w:r w:rsidRPr="00BC233B">
        <w:t>s informations supplémentaires concernant les activités de l</w:t>
      </w:r>
      <w:r w:rsidR="00522225" w:rsidRPr="00BC233B">
        <w:t>’</w:t>
      </w:r>
      <w:r w:rsidRPr="00BC233B">
        <w:t>équipe d</w:t>
      </w:r>
      <w:r w:rsidR="00522225" w:rsidRPr="00BC233B">
        <w:t>’</w:t>
      </w:r>
      <w:r w:rsidRPr="00BC233B">
        <w:t>experts relatives aux 40</w:t>
      </w:r>
      <w:r w:rsidR="002F241D" w:rsidRPr="00BC233B">
        <w:t> </w:t>
      </w:r>
      <w:r w:rsidRPr="00BC233B">
        <w:t>recommandations figurent dans le document</w:t>
      </w:r>
      <w:r w:rsidR="002F241D" w:rsidRPr="00BC233B">
        <w:t> </w:t>
      </w:r>
      <w:r w:rsidRPr="00BC233B">
        <w:t>CWS/11/21.</w:t>
      </w:r>
    </w:p>
    <w:p w14:paraId="4E455788" w14:textId="77777777" w:rsidR="00522225" w:rsidRDefault="00D76A2A" w:rsidP="008A3B37">
      <w:pPr>
        <w:pStyle w:val="Heading2"/>
      </w:pPr>
      <w:r>
        <w:t>Proposition de recommandations</w:t>
      </w:r>
    </w:p>
    <w:p w14:paraId="553BDC77" w14:textId="0934967F" w:rsidR="00D76A2A" w:rsidRDefault="00D76A2A" w:rsidP="00BC233B">
      <w:pPr>
        <w:pStyle w:val="ONUMFS"/>
      </w:pPr>
      <w:r>
        <w:t>À sa dix</w:t>
      </w:r>
      <w:r w:rsidR="00522225">
        <w:t>ième session</w:t>
      </w:r>
      <w:r>
        <w:t>,</w:t>
      </w:r>
      <w:r w:rsidR="00522225">
        <w:t xml:space="preserve"> le CWS</w:t>
      </w:r>
      <w:r>
        <w:t xml:space="preserve"> a adopté ses </w:t>
      </w:r>
      <w:hyperlink r:id="rId9" w:history="1">
        <w:r>
          <w:rPr>
            <w:rStyle w:val="Hyperlink"/>
            <w:color w:val="000000" w:themeColor="text1"/>
          </w:rPr>
          <w:t>Questions d</w:t>
        </w:r>
        <w:r w:rsidR="00522225">
          <w:rPr>
            <w:rStyle w:val="Hyperlink"/>
            <w:color w:val="000000" w:themeColor="text1"/>
          </w:rPr>
          <w:t>’</w:t>
        </w:r>
        <w:r>
          <w:rPr>
            <w:rStyle w:val="Hyperlink"/>
            <w:color w:val="000000" w:themeColor="text1"/>
          </w:rPr>
          <w:t>organisation et règlement intérieur particulier</w:t>
        </w:r>
      </w:hyperlink>
      <w:r>
        <w:t xml:space="preserve"> décrivant le mandat</w:t>
      </w:r>
      <w:r w:rsidR="00522225">
        <w:t xml:space="preserve"> du CWS :</w:t>
      </w:r>
    </w:p>
    <w:p w14:paraId="748595D2" w14:textId="77777777" w:rsidR="00D76A2A" w:rsidRPr="00547C8E" w:rsidRDefault="00D76A2A" w:rsidP="008A3B37">
      <w:pPr>
        <w:spacing w:after="220"/>
        <w:ind w:left="567"/>
        <w:rPr>
          <w:i/>
          <w:iCs/>
        </w:rPr>
      </w:pPr>
      <w:r>
        <w:rPr>
          <w:i/>
        </w:rPr>
        <w:t>“9. Le CWS aura pour mandat de constituer un cadre pour l</w:t>
      </w:r>
      <w:r w:rsidR="00522225">
        <w:rPr>
          <w:i/>
        </w:rPr>
        <w:t>’</w:t>
      </w:r>
      <w:r>
        <w:rPr>
          <w:i/>
        </w:rPr>
        <w:t>adoption de normes, lignes directrices, recommandations et déclarations de principe nouvelles ou révisées de l</w:t>
      </w:r>
      <w:r w:rsidR="00522225">
        <w:rPr>
          <w:i/>
        </w:rPr>
        <w:t>’</w:t>
      </w:r>
      <w:r>
        <w:rPr>
          <w:i/>
        </w:rPr>
        <w:t>OMPI relatives aux données de propriété intellectuelle, aux questions en rapport avec le système mondial d</w:t>
      </w:r>
      <w:r w:rsidR="00522225">
        <w:rPr>
          <w:i/>
        </w:rPr>
        <w:t>’</w:t>
      </w:r>
      <w:r>
        <w:rPr>
          <w:i/>
        </w:rPr>
        <w:t>information, à la prestation de services d</w:t>
      </w:r>
      <w:r w:rsidR="00522225">
        <w:rPr>
          <w:i/>
        </w:rPr>
        <w:t>’</w:t>
      </w:r>
      <w:r>
        <w:rPr>
          <w:i/>
        </w:rPr>
        <w:t>information sur le système mondial, à la diffusion des données et à la documentation, qui pourront être promulguées ou transmises à l</w:t>
      </w:r>
      <w:r w:rsidR="00522225">
        <w:rPr>
          <w:i/>
        </w:rPr>
        <w:t>’</w:t>
      </w:r>
      <w:r>
        <w:rPr>
          <w:i/>
        </w:rPr>
        <w:t>Assemblée générale de l</w:t>
      </w:r>
      <w:r w:rsidR="00522225">
        <w:rPr>
          <w:i/>
        </w:rPr>
        <w:t>’</w:t>
      </w:r>
      <w:r>
        <w:rPr>
          <w:i/>
        </w:rPr>
        <w:t>OMPI pour examen ou approbation.”</w:t>
      </w:r>
    </w:p>
    <w:p w14:paraId="43D19C44" w14:textId="77777777" w:rsidR="00D76A2A" w:rsidRDefault="00D76A2A" w:rsidP="00BC233B">
      <w:pPr>
        <w:pStyle w:val="ONUMFS"/>
      </w:pPr>
      <w:r>
        <w:t>L</w:t>
      </w:r>
      <w:r w:rsidR="00522225">
        <w:t>’</w:t>
      </w:r>
      <w:r>
        <w:t>équipe d</w:t>
      </w:r>
      <w:r w:rsidR="00522225">
        <w:t>’</w:t>
      </w:r>
      <w:r>
        <w:t>experts a examiné les 40</w:t>
      </w:r>
      <w:r w:rsidR="002F241D">
        <w:t> </w:t>
      </w:r>
      <w:r>
        <w:t>recommandations à la lumière du mandat</w:t>
      </w:r>
      <w:r w:rsidR="00522225">
        <w:t xml:space="preserve"> du CWS</w:t>
      </w:r>
      <w:r>
        <w:t xml:space="preserve"> susmentionné, notamment les recommandations classées dans le groupe</w:t>
      </w:r>
      <w:r w:rsidR="002F241D">
        <w:t> </w:t>
      </w:r>
      <w:r>
        <w:t>3, et a indiqué que l</w:t>
      </w:r>
      <w:r w:rsidR="00522225">
        <w:t>’</w:t>
      </w:r>
      <w:r>
        <w:t>ensemble des 11</w:t>
      </w:r>
      <w:r w:rsidR="002F241D">
        <w:t> </w:t>
      </w:r>
      <w:r>
        <w:t>recommandations classées dans le groupe</w:t>
      </w:r>
      <w:r w:rsidR="002F241D">
        <w:t> </w:t>
      </w:r>
      <w:r>
        <w:t>3 semblaient pertinentes à la lumière de la description qui précè</w:t>
      </w:r>
      <w:r w:rsidR="002F241D">
        <w:t>de.  L’é</w:t>
      </w:r>
      <w:r>
        <w:t>quipe d</w:t>
      </w:r>
      <w:r w:rsidR="00522225">
        <w:t>’</w:t>
      </w:r>
      <w:r>
        <w:t>experts a également pris note des résultats de l</w:t>
      </w:r>
      <w:r w:rsidR="00522225">
        <w:t>’</w:t>
      </w:r>
      <w:r>
        <w:t>enquête, qui ont montré que les offices de propriété intellectuelle accordaient une priorité plus élevée à plusieurs recommandations du groupe</w:t>
      </w:r>
      <w:r w:rsidR="002F241D">
        <w:t> </w:t>
      </w:r>
      <w:r>
        <w:t>3 qu</w:t>
      </w:r>
      <w:r w:rsidR="00522225">
        <w:t>’</w:t>
      </w:r>
      <w:r>
        <w:t>à celles du groupe</w:t>
      </w:r>
      <w:r w:rsidR="002F241D">
        <w:t> </w:t>
      </w:r>
      <w:r>
        <w:t xml:space="preserve">1 (voir le </w:t>
      </w:r>
      <w:r w:rsidR="00522225">
        <w:t>paragraphe 7</w:t>
      </w:r>
      <w:r>
        <w:t xml:space="preserve"> du document</w:t>
      </w:r>
      <w:r w:rsidR="002F241D">
        <w:t> </w:t>
      </w:r>
      <w:r>
        <w:t>CWS/9/2).  Par conséquent, l</w:t>
      </w:r>
      <w:r w:rsidR="00522225">
        <w:t>’</w:t>
      </w:r>
      <w:r>
        <w:t>équipe d</w:t>
      </w:r>
      <w:r w:rsidR="00522225">
        <w:t>’</w:t>
      </w:r>
      <w:r>
        <w:t>experts est convenue de reclasser les 40</w:t>
      </w:r>
      <w:r w:rsidR="002F241D">
        <w:t> </w:t>
      </w:r>
      <w:r>
        <w:t>recommandations, étant donné que toutes les recommandations semblent pertinentes au regard des activités</w:t>
      </w:r>
      <w:r w:rsidR="00522225">
        <w:t xml:space="preserve"> du CWS</w:t>
      </w:r>
      <w:r>
        <w:t>, compte tenu du mandat</w:t>
      </w:r>
      <w:r w:rsidR="00522225">
        <w:t xml:space="preserve"> du CWS</w:t>
      </w:r>
      <w:r>
        <w:t>.</w:t>
      </w:r>
    </w:p>
    <w:p w14:paraId="5B64A3A9" w14:textId="77777777" w:rsidR="00D76A2A" w:rsidRDefault="00D76A2A" w:rsidP="00BC233B">
      <w:pPr>
        <w:pStyle w:val="ONUMFS"/>
      </w:pPr>
      <w:r>
        <w:t>En outre, l</w:t>
      </w:r>
      <w:r w:rsidR="00522225">
        <w:t>’</w:t>
      </w:r>
      <w:r>
        <w:t>équipe d</w:t>
      </w:r>
      <w:r w:rsidR="00522225">
        <w:t>’</w:t>
      </w:r>
      <w:r>
        <w:t>experts s</w:t>
      </w:r>
      <w:r w:rsidR="00522225">
        <w:t>’</w:t>
      </w:r>
      <w:r>
        <w:t>est également interrogée sur la manière d</w:t>
      </w:r>
      <w:r w:rsidR="00522225">
        <w:t>’</w:t>
      </w:r>
      <w:r>
        <w:t>améliorer sa proposition de recommandations et est convenue des points suivants à prendre en considération</w:t>
      </w:r>
      <w:r w:rsidR="00522225">
        <w:t> :</w:t>
      </w:r>
    </w:p>
    <w:p w14:paraId="3EE764C2" w14:textId="77777777" w:rsidR="00D76A2A" w:rsidRDefault="00D76A2A" w:rsidP="00BC233B">
      <w:pPr>
        <w:pStyle w:val="ONUMFS"/>
        <w:numPr>
          <w:ilvl w:val="0"/>
          <w:numId w:val="11"/>
        </w:numPr>
        <w:ind w:left="1134" w:hanging="567"/>
      </w:pPr>
      <w:r>
        <w:t>L</w:t>
      </w:r>
      <w:r w:rsidR="00522225">
        <w:t>’</w:t>
      </w:r>
      <w:r>
        <w:t>équipe d</w:t>
      </w:r>
      <w:r w:rsidR="00522225">
        <w:t>’</w:t>
      </w:r>
      <w:r>
        <w:t>experts a envisagé la possibilité d</w:t>
      </w:r>
      <w:r w:rsidR="00522225">
        <w:t>’</w:t>
      </w:r>
      <w:r>
        <w:t>inclure de nouvelles recommandations après avoir analysé les discussions récentes menées par les offices de propriété intellectuelle dans diverses instances, qui ont été communiquées à l</w:t>
      </w:r>
      <w:r w:rsidR="00522225">
        <w:t>’</w:t>
      </w:r>
      <w:r>
        <w:t>équipe d</w:t>
      </w:r>
      <w:r w:rsidR="00522225">
        <w:t>’</w:t>
      </w:r>
      <w:r>
        <w:t>experts</w:t>
      </w:r>
      <w:r w:rsidR="00522225">
        <w:t> :</w:t>
      </w:r>
      <w:r>
        <w:t xml:space="preserve"> cinq</w:t>
      </w:r>
      <w:r w:rsidR="0044724F">
        <w:t> </w:t>
      </w:r>
      <w:r>
        <w:t>années se sont écoulées depuis que les 40</w:t>
      </w:r>
      <w:r w:rsidR="002F241D">
        <w:t> </w:t>
      </w:r>
      <w:r>
        <w:t>recommandations ont été proposées et les offices considèrent que certaines d</w:t>
      </w:r>
      <w:r w:rsidR="00522225">
        <w:t>’</w:t>
      </w:r>
      <w:r>
        <w:t>entre elles n</w:t>
      </w:r>
      <w:r w:rsidR="00522225">
        <w:t>’</w:t>
      </w:r>
      <w:r>
        <w:t xml:space="preserve">ont plus lieu </w:t>
      </w:r>
      <w:proofErr w:type="gramStart"/>
      <w:r>
        <w:t>d</w:t>
      </w:r>
      <w:r w:rsidR="00522225">
        <w:t>’</w:t>
      </w:r>
      <w:r>
        <w:t>être;</w:t>
      </w:r>
      <w:proofErr w:type="gramEnd"/>
    </w:p>
    <w:p w14:paraId="4E114290" w14:textId="77777777" w:rsidR="00D76A2A" w:rsidRDefault="00D76A2A" w:rsidP="00BC233B">
      <w:pPr>
        <w:pStyle w:val="ONUMFS"/>
        <w:numPr>
          <w:ilvl w:val="0"/>
          <w:numId w:val="11"/>
        </w:numPr>
        <w:ind w:left="1134" w:hanging="567"/>
      </w:pPr>
      <w:r>
        <w:t>Certains membres de l</w:t>
      </w:r>
      <w:r w:rsidR="00522225">
        <w:t>’</w:t>
      </w:r>
      <w:r>
        <w:t>équipe d</w:t>
      </w:r>
      <w:r w:rsidR="00522225">
        <w:t>’</w:t>
      </w:r>
      <w:r>
        <w:t>experts ont suggéré de rendre les recommandations plus génériques</w:t>
      </w:r>
      <w:r w:rsidR="00522225">
        <w:t> :</w:t>
      </w:r>
      <w:r>
        <w:t xml:space="preserve"> certaines recommandations traitent d</w:t>
      </w:r>
      <w:r w:rsidR="00522225">
        <w:t>’</w:t>
      </w:r>
      <w:r>
        <w:t>opérations ou de solutions spécifiques tandis que d</w:t>
      </w:r>
      <w:r w:rsidR="00522225">
        <w:t>’</w:t>
      </w:r>
      <w:r>
        <w:t xml:space="preserve">autres sont des suggestions plus </w:t>
      </w:r>
      <w:proofErr w:type="gramStart"/>
      <w:r>
        <w:t>générales;</w:t>
      </w:r>
      <w:proofErr w:type="gramEnd"/>
    </w:p>
    <w:p w14:paraId="07337139" w14:textId="77777777" w:rsidR="00D76A2A" w:rsidRDefault="00D76A2A" w:rsidP="00BC233B">
      <w:pPr>
        <w:pStyle w:val="ONUMFS"/>
        <w:numPr>
          <w:ilvl w:val="0"/>
          <w:numId w:val="11"/>
        </w:numPr>
        <w:ind w:left="1134" w:hanging="567"/>
      </w:pPr>
      <w:r>
        <w:lastRenderedPageBreak/>
        <w:t>L</w:t>
      </w:r>
      <w:r w:rsidR="00522225">
        <w:t>’</w:t>
      </w:r>
      <w:r>
        <w:t>équipe d</w:t>
      </w:r>
      <w:r w:rsidR="00522225">
        <w:t>’</w:t>
      </w:r>
      <w:r>
        <w:t>experts a également estimé qu</w:t>
      </w:r>
      <w:r w:rsidR="00522225">
        <w:t>’</w:t>
      </w:r>
      <w:r>
        <w:t>il était important de rendre certaines recommandations plus explicites ou plus claires afin que les offices de propriété intellectuelle puissent les interpréter de la même manière pour leur mise en œuvre</w:t>
      </w:r>
      <w:r w:rsidR="00522225">
        <w:t> :</w:t>
      </w:r>
      <w:r>
        <w:t xml:space="preserve"> certaines recommandations ne sont pas énoncées très </w:t>
      </w:r>
      <w:proofErr w:type="gramStart"/>
      <w:r>
        <w:t>clairement</w:t>
      </w:r>
      <w:r w:rsidR="0044724F">
        <w:t xml:space="preserve">; </w:t>
      </w:r>
      <w:r>
        <w:t xml:space="preserve"> et</w:t>
      </w:r>
      <w:proofErr w:type="gramEnd"/>
    </w:p>
    <w:p w14:paraId="5B8B4231" w14:textId="77777777" w:rsidR="00D76A2A" w:rsidRDefault="00D76A2A" w:rsidP="00BC233B">
      <w:pPr>
        <w:pStyle w:val="ONUMFS"/>
        <w:numPr>
          <w:ilvl w:val="0"/>
          <w:numId w:val="11"/>
        </w:numPr>
        <w:ind w:left="1134" w:hanging="567"/>
      </w:pPr>
      <w:r>
        <w:t>Certains membres de l</w:t>
      </w:r>
      <w:r w:rsidR="00522225">
        <w:t>’</w:t>
      </w:r>
      <w:r>
        <w:t>équipe d</w:t>
      </w:r>
      <w:r w:rsidR="00522225">
        <w:t>’</w:t>
      </w:r>
      <w:r>
        <w:t xml:space="preserve">experts ont suggéré de réduire le nombre de recommandations afin que les offices de propriété intellectuelle puissent se concentrer sur leur mise en œuvre dans un délai </w:t>
      </w:r>
      <w:proofErr w:type="gramStart"/>
      <w:r>
        <w:t>donné</w:t>
      </w:r>
      <w:r w:rsidR="0044724F">
        <w:t xml:space="preserve">; </w:t>
      </w:r>
      <w:r>
        <w:t xml:space="preserve"> en</w:t>
      </w:r>
      <w:proofErr w:type="gramEnd"/>
      <w:r>
        <w:t xml:space="preserve"> outre, certaines recommandations ont déjà été mises en œuvre.</w:t>
      </w:r>
    </w:p>
    <w:p w14:paraId="08772B45" w14:textId="77777777" w:rsidR="00D76A2A" w:rsidRDefault="00D76A2A" w:rsidP="00BC233B">
      <w:pPr>
        <w:pStyle w:val="ONUMFS"/>
      </w:pPr>
      <w:r>
        <w:t>L</w:t>
      </w:r>
      <w:r w:rsidR="00522225">
        <w:t>’</w:t>
      </w:r>
      <w:r>
        <w:t>équipe d</w:t>
      </w:r>
      <w:r w:rsidR="00522225">
        <w:t>’</w:t>
      </w:r>
      <w:r>
        <w:t>experts considère que quatre</w:t>
      </w:r>
      <w:r w:rsidR="0044724F">
        <w:t> </w:t>
      </w:r>
      <w:r>
        <w:t>recommandations ont été achevé</w:t>
      </w:r>
      <w:r w:rsidR="002F241D">
        <w:t>es.  Le</w:t>
      </w:r>
      <w:r>
        <w:t xml:space="preserve"> texte original de ces recommandations est reproduit ci</w:t>
      </w:r>
      <w:r w:rsidR="008A3B37">
        <w:noBreakHyphen/>
      </w:r>
      <w:r>
        <w:t>dessous</w:t>
      </w:r>
      <w:r w:rsidR="00522225">
        <w:t> :</w:t>
      </w:r>
    </w:p>
    <w:p w14:paraId="5EC3A4E5" w14:textId="77777777" w:rsidR="00D76A2A" w:rsidRDefault="00D76A2A" w:rsidP="00BC233B">
      <w:pPr>
        <w:pStyle w:val="ONUMFS"/>
        <w:numPr>
          <w:ilvl w:val="0"/>
          <w:numId w:val="12"/>
        </w:numPr>
        <w:ind w:left="1134" w:hanging="567"/>
      </w:pPr>
      <w:r w:rsidRPr="002F241D">
        <w:t>“</w:t>
      </w:r>
      <w:r>
        <w:rPr>
          <w:u w:val="single"/>
        </w:rPr>
        <w:t>R17</w:t>
      </w:r>
      <w:r w:rsidR="00522225">
        <w:t> :</w:t>
      </w:r>
      <w:r>
        <w:t xml:space="preserve"> Le travail d</w:t>
      </w:r>
      <w:r w:rsidR="00522225">
        <w:t>’</w:t>
      </w:r>
      <w:r>
        <w:t>élaboration de normes relatives aux rapports de recherche et d</w:t>
      </w:r>
      <w:r w:rsidR="00522225">
        <w:t>’</w:t>
      </w:r>
      <w:r>
        <w:t>examen au regard de la norme</w:t>
      </w:r>
      <w:r w:rsidR="0044724F">
        <w:t> </w:t>
      </w:r>
      <w:r>
        <w:t>ST.96 de l</w:t>
      </w:r>
      <w:r w:rsidR="00522225">
        <w:t>’</w:t>
      </w:r>
      <w:r>
        <w:t>OMPI ne doit pas simplement aboutir à la mise en conformité de la norme</w:t>
      </w:r>
      <w:r w:rsidR="0044724F">
        <w:t> </w:t>
      </w:r>
      <w:r>
        <w:t>ST.36 avec les exigences de la norme</w:t>
      </w:r>
      <w:r w:rsidR="0044724F">
        <w:t> </w:t>
      </w:r>
      <w:r>
        <w:t>ST.96, mais doit permettre de déterminer si les structures en place encouragent une réutilisation simple des données entre les différents stades de la recherche et de l</w:t>
      </w:r>
      <w:r w:rsidR="00522225">
        <w:t>’</w:t>
      </w:r>
      <w:r>
        <w:t>examen, à la fois au sein d</w:t>
      </w:r>
      <w:r w:rsidR="00522225">
        <w:t>’</w:t>
      </w:r>
      <w:r>
        <w:t>un office de propriété intellectuelle et entre différents offices (achevée);</w:t>
      </w:r>
    </w:p>
    <w:p w14:paraId="1299D330" w14:textId="77777777" w:rsidR="00D76A2A" w:rsidRDefault="00D76A2A" w:rsidP="00BC233B">
      <w:pPr>
        <w:pStyle w:val="ONUMFS"/>
        <w:numPr>
          <w:ilvl w:val="0"/>
          <w:numId w:val="12"/>
        </w:numPr>
        <w:ind w:left="1134" w:hanging="567"/>
      </w:pPr>
      <w:r>
        <w:rPr>
          <w:u w:val="single"/>
        </w:rPr>
        <w:t>R23</w:t>
      </w:r>
      <w:r w:rsidR="002F241D" w:rsidRPr="002F241D">
        <w:t> :</w:t>
      </w:r>
      <w:r>
        <w:t xml:space="preserve"> Les offices de propriété intellectuelle sont encouragés à fournir au Bureau international leur fichier d</w:t>
      </w:r>
      <w:r w:rsidR="00522225">
        <w:t>’</w:t>
      </w:r>
      <w:r>
        <w:t>autorité ou un lien vers le site</w:t>
      </w:r>
      <w:r w:rsidR="0044724F">
        <w:t> </w:t>
      </w:r>
      <w:r>
        <w:t>Web comportant ce fichier (achevée</w:t>
      </w:r>
      <w:proofErr w:type="gramStart"/>
      <w:r>
        <w:t>);</w:t>
      </w:r>
      <w:proofErr w:type="gramEnd"/>
    </w:p>
    <w:p w14:paraId="3247A4CA" w14:textId="77777777" w:rsidR="00D76A2A" w:rsidRDefault="00D76A2A" w:rsidP="00BC233B">
      <w:pPr>
        <w:pStyle w:val="ONUMFS"/>
        <w:numPr>
          <w:ilvl w:val="0"/>
          <w:numId w:val="12"/>
        </w:numPr>
        <w:ind w:left="1134" w:hanging="567"/>
      </w:pPr>
      <w:r>
        <w:rPr>
          <w:u w:val="single"/>
        </w:rPr>
        <w:t>R32</w:t>
      </w:r>
      <w:r w:rsidR="00522225">
        <w:t> :</w:t>
      </w:r>
      <w:r>
        <w:t xml:space="preserve"> En se mettant à appliquer la norme</w:t>
      </w:r>
      <w:r w:rsidR="0044724F">
        <w:t> </w:t>
      </w:r>
      <w:r>
        <w:t>ST.96 de l</w:t>
      </w:r>
      <w:r w:rsidR="00522225">
        <w:t>’</w:t>
      </w:r>
      <w:r>
        <w:t xml:space="preserve">OMPI concernant les composantes XML en lien avec le système de </w:t>
      </w:r>
      <w:r w:rsidR="00522225">
        <w:t>La Haye</w:t>
      </w:r>
      <w:r>
        <w:t>, les offices de propriété intellectuelle amélioreraient la qualité de leurs échanges entre eux et avec le Bureau international (achevée</w:t>
      </w:r>
      <w:proofErr w:type="gramStart"/>
      <w:r>
        <w:t>);</w:t>
      </w:r>
      <w:proofErr w:type="gramEnd"/>
    </w:p>
    <w:p w14:paraId="0189B6BF" w14:textId="77777777" w:rsidR="00D76A2A" w:rsidRDefault="00D76A2A" w:rsidP="00BC233B">
      <w:pPr>
        <w:pStyle w:val="ONUMFS"/>
        <w:numPr>
          <w:ilvl w:val="0"/>
          <w:numId w:val="12"/>
        </w:numPr>
        <w:ind w:left="1134" w:hanging="567"/>
      </w:pPr>
      <w:r>
        <w:rPr>
          <w:u w:val="single"/>
        </w:rPr>
        <w:t>R33</w:t>
      </w:r>
      <w:r w:rsidR="00522225">
        <w:t> :</w:t>
      </w:r>
      <w:r>
        <w:t xml:space="preserve"> Il convient d</w:t>
      </w:r>
      <w:r w:rsidR="00522225">
        <w:t>’</w:t>
      </w:r>
      <w:r>
        <w:t>examiner les problèmes techniques que pose la permission de soumettre des images animées, ainsi que les préparations que celle</w:t>
      </w:r>
      <w:r w:rsidR="008A3B37">
        <w:noBreakHyphen/>
      </w:r>
      <w:r>
        <w:t>ci nécessite d</w:t>
      </w:r>
      <w:r w:rsidR="00522225">
        <w:t>’</w:t>
      </w:r>
      <w:r>
        <w:t>effectuer pour assurer l</w:t>
      </w:r>
      <w:r w:rsidR="00522225">
        <w:t>’</w:t>
      </w:r>
      <w:r>
        <w:t xml:space="preserve">intégrité des données transmises et stockées (ainsi que publiées et partagées) (achevée, </w:t>
      </w:r>
      <w:r w:rsidR="002F241D">
        <w:t>voir</w:t>
      </w:r>
      <w:r>
        <w:t xml:space="preserve"> les normes</w:t>
      </w:r>
      <w:r w:rsidR="0044724F">
        <w:t> </w:t>
      </w:r>
      <w:r>
        <w:t>ST.91 et ST.96</w:t>
      </w:r>
      <w:r w:rsidR="00522225">
        <w:t xml:space="preserve"> </w:t>
      </w:r>
      <w:r w:rsidR="002F241D">
        <w:t>–</w:t>
      </w:r>
      <w:r w:rsidR="00522225">
        <w:t xml:space="preserve"> </w:t>
      </w:r>
      <w:r>
        <w:t>marques multimédias).”</w:t>
      </w:r>
    </w:p>
    <w:p w14:paraId="1B347D4E" w14:textId="77777777" w:rsidR="00522225" w:rsidRDefault="00D76A2A" w:rsidP="00BC233B">
      <w:pPr>
        <w:pStyle w:val="ONUMFS"/>
      </w:pPr>
      <w:r>
        <w:t>L</w:t>
      </w:r>
      <w:r w:rsidR="00522225">
        <w:t>’</w:t>
      </w:r>
      <w:r>
        <w:t>équipe d</w:t>
      </w:r>
      <w:r w:rsidR="00522225">
        <w:t>’</w:t>
      </w:r>
      <w:r>
        <w:t>experts propose la nouvelle série de recommandations concernant l</w:t>
      </w:r>
      <w:r w:rsidR="00522225">
        <w:t>’</w:t>
      </w:r>
      <w:r>
        <w:t>administration des technologies de l</w:t>
      </w:r>
      <w:r w:rsidR="00522225">
        <w:t>’</w:t>
      </w:r>
      <w:r>
        <w:t>information et de la communication et de la propriété intellectuelle, qui figure à l</w:t>
      </w:r>
      <w:r w:rsidR="00522225">
        <w:t>’</w:t>
      </w:r>
      <w:r>
        <w:t>annexe du présent docume</w:t>
      </w:r>
      <w:r w:rsidR="002F241D">
        <w:t>nt.  Il</w:t>
      </w:r>
      <w:r>
        <w:t xml:space="preserve"> s</w:t>
      </w:r>
      <w:r w:rsidR="00522225">
        <w:t>’</w:t>
      </w:r>
      <w:r>
        <w:t>agit de 10</w:t>
      </w:r>
      <w:r w:rsidR="002F241D">
        <w:t> </w:t>
      </w:r>
      <w:r>
        <w:t>recommandations assorties des actions recommandées correspondant</w:t>
      </w:r>
      <w:r w:rsidR="002F241D">
        <w:t>es.  Le</w:t>
      </w:r>
      <w:r>
        <w:t>s recommandations correspondantes de la précédente liste de 40</w:t>
      </w:r>
      <w:r w:rsidR="002F241D">
        <w:t> </w:t>
      </w:r>
      <w:r>
        <w:t>recommandations sont également fournies à titre d</w:t>
      </w:r>
      <w:r w:rsidR="00522225">
        <w:t>’</w:t>
      </w:r>
      <w:r>
        <w:t>informati</w:t>
      </w:r>
      <w:r w:rsidR="002F241D">
        <w:t>on.  L’é</w:t>
      </w:r>
      <w:r>
        <w:t>quipe d</w:t>
      </w:r>
      <w:r w:rsidR="00522225">
        <w:t>’</w:t>
      </w:r>
      <w:r>
        <w:t>experts demande</w:t>
      </w:r>
      <w:r w:rsidR="00522225">
        <w:t xml:space="preserve"> au CWS</w:t>
      </w:r>
      <w:r>
        <w:t xml:space="preserve"> d</w:t>
      </w:r>
      <w:r w:rsidR="00522225">
        <w:t>’</w:t>
      </w:r>
      <w:r>
        <w:t>examiner la nouvelle série de 10</w:t>
      </w:r>
      <w:r w:rsidR="002F241D">
        <w:t> </w:t>
      </w:r>
      <w:r>
        <w:t>recommandations et les actions recommandées correspondantes, et de réfléchir à un calendrier de mise en œuvre.</w:t>
      </w:r>
    </w:p>
    <w:p w14:paraId="47B7CA7D" w14:textId="77777777" w:rsidR="00522225" w:rsidRDefault="00D76A2A" w:rsidP="00BC233B">
      <w:pPr>
        <w:pStyle w:val="ONUMFS"/>
      </w:pPr>
      <w:r>
        <w:t>L</w:t>
      </w:r>
      <w:r w:rsidR="00522225">
        <w:t>’</w:t>
      </w:r>
      <w:r>
        <w:t>équipe d</w:t>
      </w:r>
      <w:r w:rsidR="00522225">
        <w:t>’</w:t>
      </w:r>
      <w:r>
        <w:t>experts suggère également que</w:t>
      </w:r>
      <w:r w:rsidR="00522225">
        <w:t xml:space="preserve"> le CWS</w:t>
      </w:r>
      <w:r>
        <w:t xml:space="preserve"> demande au Secrétariat de publier, après cette session, une circulaire invitant ses membres à se prononcer sur la nouvelle proposition de recommandations présentée en détail à l</w:t>
      </w:r>
      <w:r w:rsidR="00522225">
        <w:t>’</w:t>
      </w:r>
      <w:r>
        <w:t>annexe du présent docume</w:t>
      </w:r>
      <w:r w:rsidR="002F241D">
        <w:t>nt.  L’é</w:t>
      </w:r>
      <w:r>
        <w:t>quipe d</w:t>
      </w:r>
      <w:r w:rsidR="00522225">
        <w:t>’</w:t>
      </w:r>
      <w:r>
        <w:t>experts analysera les réponses des membres</w:t>
      </w:r>
      <w:r w:rsidR="00522225">
        <w:t xml:space="preserve"> du CWS</w:t>
      </w:r>
      <w:r>
        <w:t xml:space="preserve"> et présentera les résultats de ces réponses à la prochaine session</w:t>
      </w:r>
      <w:r w:rsidR="00522225">
        <w:t xml:space="preserve"> du </w:t>
      </w:r>
      <w:r w:rsidR="002F241D">
        <w:t>CWS.  Ce</w:t>
      </w:r>
      <w:r>
        <w:t xml:space="preserve"> retour d</w:t>
      </w:r>
      <w:r w:rsidR="00522225">
        <w:t>’</w:t>
      </w:r>
      <w:r>
        <w:t>information sera également utilisé pour améliorer la série de recommandations.</w:t>
      </w:r>
    </w:p>
    <w:p w14:paraId="70E008BE" w14:textId="77777777" w:rsidR="00D76A2A" w:rsidRPr="008B38F6" w:rsidRDefault="00D76A2A" w:rsidP="00BC233B">
      <w:pPr>
        <w:pStyle w:val="ONUMFS"/>
        <w:keepNext/>
        <w:ind w:left="5533"/>
      </w:pPr>
      <w:r>
        <w:lastRenderedPageBreak/>
        <w:t>Le CWS est invité</w:t>
      </w:r>
    </w:p>
    <w:p w14:paraId="5DBC55C3" w14:textId="77777777" w:rsidR="00522225" w:rsidRPr="00BC233B" w:rsidRDefault="00D76A2A" w:rsidP="00BC233B">
      <w:pPr>
        <w:pStyle w:val="ONUMFS"/>
        <w:numPr>
          <w:ilvl w:val="0"/>
          <w:numId w:val="13"/>
        </w:numPr>
        <w:ind w:left="6100"/>
        <w:rPr>
          <w:i/>
        </w:rPr>
      </w:pPr>
      <w:proofErr w:type="gramStart"/>
      <w:r w:rsidRPr="00BC233B">
        <w:rPr>
          <w:i/>
        </w:rPr>
        <w:t>à</w:t>
      </w:r>
      <w:proofErr w:type="gramEnd"/>
      <w:r w:rsidRPr="00BC233B">
        <w:rPr>
          <w:i/>
        </w:rPr>
        <w:t xml:space="preserve"> prendre note du contenu du présent document et de son annexe;</w:t>
      </w:r>
    </w:p>
    <w:p w14:paraId="1D32F3AE" w14:textId="77777777" w:rsidR="00D76A2A" w:rsidRPr="00BC233B" w:rsidRDefault="00D76A2A" w:rsidP="00BC233B">
      <w:pPr>
        <w:pStyle w:val="ONUMFS"/>
        <w:numPr>
          <w:ilvl w:val="0"/>
          <w:numId w:val="13"/>
        </w:numPr>
        <w:ind w:left="6100"/>
        <w:rPr>
          <w:i/>
        </w:rPr>
      </w:pPr>
      <w:proofErr w:type="gramStart"/>
      <w:r w:rsidRPr="00BC233B">
        <w:rPr>
          <w:i/>
        </w:rPr>
        <w:t>à</w:t>
      </w:r>
      <w:proofErr w:type="gramEnd"/>
      <w:r w:rsidRPr="00BC233B">
        <w:rPr>
          <w:i/>
        </w:rPr>
        <w:t xml:space="preserve"> examiner les recommandations concernant l</w:t>
      </w:r>
      <w:r w:rsidR="00522225" w:rsidRPr="00BC233B">
        <w:rPr>
          <w:i/>
        </w:rPr>
        <w:t>’</w:t>
      </w:r>
      <w:r w:rsidRPr="00BC233B">
        <w:rPr>
          <w:i/>
        </w:rPr>
        <w:t>administration des technologies de l</w:t>
      </w:r>
      <w:r w:rsidR="00522225" w:rsidRPr="00BC233B">
        <w:rPr>
          <w:i/>
        </w:rPr>
        <w:t>’</w:t>
      </w:r>
      <w:r w:rsidRPr="00BC233B">
        <w:rPr>
          <w:i/>
        </w:rPr>
        <w:t>information et de la communication et de la propriété intellectuelle figurant à l</w:t>
      </w:r>
      <w:r w:rsidR="00522225" w:rsidRPr="00BC233B">
        <w:rPr>
          <w:i/>
        </w:rPr>
        <w:t>’</w:t>
      </w:r>
      <w:r w:rsidRPr="00BC233B">
        <w:rPr>
          <w:i/>
        </w:rPr>
        <w:t>annexe du présent document et mentionnées aux paragraphe</w:t>
      </w:r>
      <w:r w:rsidR="002F241D" w:rsidRPr="00BC233B">
        <w:rPr>
          <w:i/>
        </w:rPr>
        <w:t>s</w:t>
      </w:r>
      <w:r w:rsidRPr="00BC233B">
        <w:rPr>
          <w:i/>
        </w:rPr>
        <w:t> 6 à 9 ci</w:t>
      </w:r>
      <w:r w:rsidR="008A3B37" w:rsidRPr="00BC233B">
        <w:rPr>
          <w:i/>
        </w:rPr>
        <w:noBreakHyphen/>
      </w:r>
      <w:r w:rsidRPr="00BC233B">
        <w:rPr>
          <w:i/>
        </w:rPr>
        <w:t>dessus, et à se prononcer sur celles</w:t>
      </w:r>
      <w:r w:rsidR="008A3B37" w:rsidRPr="00BC233B">
        <w:rPr>
          <w:i/>
        </w:rPr>
        <w:noBreakHyphen/>
      </w:r>
      <w:r w:rsidRPr="00BC233B">
        <w:rPr>
          <w:i/>
        </w:rPr>
        <w:t>ci</w:t>
      </w:r>
      <w:r w:rsidR="0044724F" w:rsidRPr="00BC233B">
        <w:rPr>
          <w:i/>
        </w:rPr>
        <w:t xml:space="preserve">; </w:t>
      </w:r>
      <w:r w:rsidR="00BC233B" w:rsidRPr="00BC233B">
        <w:rPr>
          <w:i/>
        </w:rPr>
        <w:t xml:space="preserve"> et</w:t>
      </w:r>
    </w:p>
    <w:p w14:paraId="46BB2BE2" w14:textId="77777777" w:rsidR="00522225" w:rsidRPr="00BC233B" w:rsidRDefault="00D76A2A" w:rsidP="00BC233B">
      <w:pPr>
        <w:pStyle w:val="ONUMFS"/>
        <w:numPr>
          <w:ilvl w:val="0"/>
          <w:numId w:val="13"/>
        </w:numPr>
        <w:ind w:left="6100"/>
        <w:rPr>
          <w:i/>
        </w:rPr>
      </w:pPr>
      <w:proofErr w:type="gramStart"/>
      <w:r w:rsidRPr="00BC233B">
        <w:rPr>
          <w:i/>
        </w:rPr>
        <w:t>à</w:t>
      </w:r>
      <w:proofErr w:type="gramEnd"/>
      <w:r w:rsidRPr="00BC233B">
        <w:rPr>
          <w:i/>
        </w:rPr>
        <w:t xml:space="preserve"> demander au Secrétariat de diffuser une circulaire invitant ses membres à se prononcer sur la proposition de recommandations concernant l</w:t>
      </w:r>
      <w:r w:rsidR="00522225" w:rsidRPr="00BC233B">
        <w:rPr>
          <w:i/>
        </w:rPr>
        <w:t>’</w:t>
      </w:r>
      <w:r w:rsidRPr="00BC233B">
        <w:rPr>
          <w:i/>
        </w:rPr>
        <w:t>administration des technologies de l</w:t>
      </w:r>
      <w:r w:rsidR="00522225" w:rsidRPr="00BC233B">
        <w:rPr>
          <w:i/>
        </w:rPr>
        <w:t>’</w:t>
      </w:r>
      <w:r w:rsidRPr="00BC233B">
        <w:rPr>
          <w:i/>
        </w:rPr>
        <w:t>information et de la communication et de la propriété intellectuelle et à l</w:t>
      </w:r>
      <w:r w:rsidR="00522225" w:rsidRPr="00BC233B">
        <w:rPr>
          <w:i/>
        </w:rPr>
        <w:t>’</w:t>
      </w:r>
      <w:r w:rsidRPr="00BC233B">
        <w:rPr>
          <w:i/>
        </w:rPr>
        <w:t>Équipe d</w:t>
      </w:r>
      <w:r w:rsidR="00522225" w:rsidRPr="00BC233B">
        <w:rPr>
          <w:i/>
        </w:rPr>
        <w:t>’</w:t>
      </w:r>
      <w:r w:rsidRPr="00BC233B">
        <w:rPr>
          <w:i/>
        </w:rPr>
        <w:t>experts chargée des normes relatives aux technologies de l</w:t>
      </w:r>
      <w:r w:rsidR="00522225" w:rsidRPr="00BC233B">
        <w:rPr>
          <w:i/>
        </w:rPr>
        <w:t>’</w:t>
      </w:r>
      <w:r w:rsidRPr="00BC233B">
        <w:rPr>
          <w:i/>
        </w:rPr>
        <w:t xml:space="preserve">information et de la communication de présenter les résultats des réponses, comme proposé au </w:t>
      </w:r>
      <w:r w:rsidR="00522225" w:rsidRPr="00BC233B">
        <w:rPr>
          <w:i/>
        </w:rPr>
        <w:t>paragraphe 1</w:t>
      </w:r>
      <w:r w:rsidRPr="00BC233B">
        <w:rPr>
          <w:i/>
        </w:rPr>
        <w:t>0.</w:t>
      </w:r>
    </w:p>
    <w:p w14:paraId="158F567E" w14:textId="77777777" w:rsidR="00D76A2A" w:rsidRDefault="00D76A2A" w:rsidP="00BC233B">
      <w:pPr>
        <w:pStyle w:val="Endofdocument-Annex"/>
        <w:spacing w:before="720"/>
      </w:pPr>
      <w:r>
        <w:t>[</w:t>
      </w:r>
      <w:r w:rsidRPr="00BC233B">
        <w:rPr>
          <w:lang w:val="fr-FR"/>
        </w:rPr>
        <w:t>L</w:t>
      </w:r>
      <w:r w:rsidR="00522225" w:rsidRPr="00BC233B">
        <w:rPr>
          <w:lang w:val="fr-FR"/>
        </w:rPr>
        <w:t>’</w:t>
      </w:r>
      <w:r w:rsidRPr="00BC233B">
        <w:rPr>
          <w:lang w:val="fr-FR"/>
        </w:rPr>
        <w:t>annexe</w:t>
      </w:r>
      <w:r>
        <w:t xml:space="preserve"> suit]</w:t>
      </w:r>
    </w:p>
    <w:sectPr w:rsidR="00D76A2A" w:rsidSect="00D76A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8A0A6" w14:textId="77777777" w:rsidR="00D76A2A" w:rsidRDefault="00D76A2A">
      <w:r>
        <w:separator/>
      </w:r>
    </w:p>
  </w:endnote>
  <w:endnote w:type="continuationSeparator" w:id="0">
    <w:p w14:paraId="35F7C1DE" w14:textId="77777777" w:rsidR="00D76A2A" w:rsidRPr="009D30E6" w:rsidRDefault="00D76A2A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7CD52AC6" w14:textId="77777777" w:rsidR="00D76A2A" w:rsidRPr="009D30E6" w:rsidRDefault="00D76A2A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0A184D7B" w14:textId="77777777" w:rsidR="00D76A2A" w:rsidRPr="009D30E6" w:rsidRDefault="00D76A2A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E75C" w14:textId="77777777" w:rsidR="002F241D" w:rsidRDefault="002F24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17A49" w14:textId="77777777" w:rsidR="00533626" w:rsidRDefault="005336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2D52" w14:textId="77777777" w:rsidR="00533626" w:rsidRDefault="00533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F5518" w14:textId="77777777" w:rsidR="00D76A2A" w:rsidRDefault="00D76A2A">
      <w:r>
        <w:separator/>
      </w:r>
    </w:p>
  </w:footnote>
  <w:footnote w:type="continuationSeparator" w:id="0">
    <w:p w14:paraId="2D50DCAE" w14:textId="77777777" w:rsidR="00D76A2A" w:rsidRDefault="00D76A2A" w:rsidP="007461F1">
      <w:r>
        <w:separator/>
      </w:r>
    </w:p>
    <w:p w14:paraId="122ED4DB" w14:textId="77777777" w:rsidR="00D76A2A" w:rsidRPr="009D30E6" w:rsidRDefault="00D76A2A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45276734" w14:textId="77777777" w:rsidR="00D76A2A" w:rsidRPr="009D30E6" w:rsidRDefault="00D76A2A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3F95A" w14:textId="77777777" w:rsidR="002F241D" w:rsidRDefault="002F2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9DC60" w14:textId="77777777" w:rsidR="00F16975" w:rsidRPr="00B45C15" w:rsidRDefault="00D76A2A" w:rsidP="00477D6B">
    <w:pPr>
      <w:jc w:val="right"/>
      <w:rPr>
        <w:caps/>
      </w:rPr>
    </w:pPr>
    <w:bookmarkStart w:id="5" w:name="Code2"/>
    <w:bookmarkEnd w:id="5"/>
    <w:r>
      <w:rPr>
        <w:caps/>
      </w:rPr>
      <w:t>C</w:t>
    </w:r>
    <w:r w:rsidR="00522225">
      <w:rPr>
        <w:caps/>
      </w:rPr>
      <w:t>WS/</w:t>
    </w:r>
    <w:r>
      <w:rPr>
        <w:caps/>
      </w:rPr>
      <w:t>11</w:t>
    </w:r>
    <w:r w:rsidR="00522225">
      <w:rPr>
        <w:caps/>
      </w:rPr>
      <w:t>/</w:t>
    </w:r>
    <w:r>
      <w:rPr>
        <w:caps/>
      </w:rPr>
      <w:t>18</w:t>
    </w:r>
  </w:p>
  <w:p w14:paraId="0E0842B8" w14:textId="77777777" w:rsidR="00574036" w:rsidRDefault="00F16975" w:rsidP="00522225">
    <w:pPr>
      <w:spacing w:after="480"/>
      <w:jc w:val="right"/>
    </w:pPr>
    <w:proofErr w:type="gramStart"/>
    <w:r>
      <w:t>page</w:t>
    </w:r>
    <w:proofErr w:type="gramEnd"/>
    <w:r w:rsidR="002F241D">
      <w:t> </w:t>
    </w:r>
    <w:r>
      <w:fldChar w:fldCharType="begin"/>
    </w:r>
    <w:r>
      <w:instrText xml:space="preserve"> PAGE  \* MERGEFORMAT </w:instrText>
    </w:r>
    <w:r>
      <w:fldChar w:fldCharType="separate"/>
    </w:r>
    <w:r w:rsidR="00BC233B">
      <w:rPr>
        <w:noProof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20DC0" w14:textId="77777777" w:rsidR="002F241D" w:rsidRDefault="002F24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D1173EF"/>
    <w:multiLevelType w:val="hybridMultilevel"/>
    <w:tmpl w:val="BC3E2E1C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4A460FC"/>
    <w:multiLevelType w:val="hybridMultilevel"/>
    <w:tmpl w:val="C59ED63C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F0C77"/>
    <w:multiLevelType w:val="multilevel"/>
    <w:tmpl w:val="A464232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43A43CFF"/>
    <w:multiLevelType w:val="multilevel"/>
    <w:tmpl w:val="AA040D8C"/>
    <w:lvl w:ilvl="0">
      <w:start w:val="1"/>
      <w:numFmt w:val="bullet"/>
      <w:lvlText w:val="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A13B62"/>
    <w:multiLevelType w:val="multilevel"/>
    <w:tmpl w:val="E19807FC"/>
    <w:lvl w:ilvl="0">
      <w:start w:val="1"/>
      <w:numFmt w:val="bullet"/>
      <w:lvlText w:val="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 w15:restartNumberingAfterBreak="0">
    <w:nsid w:val="54D542E3"/>
    <w:multiLevelType w:val="multilevel"/>
    <w:tmpl w:val="3EFE083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2" w15:restartNumberingAfterBreak="0">
    <w:nsid w:val="6803791E"/>
    <w:multiLevelType w:val="multilevel"/>
    <w:tmpl w:val="AB988E7C"/>
    <w:lvl w:ilvl="0">
      <w:start w:val="1"/>
      <w:numFmt w:val="lowerLett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num w:numId="1" w16cid:durableId="1441531350">
    <w:abstractNumId w:val="3"/>
  </w:num>
  <w:num w:numId="2" w16cid:durableId="310447046">
    <w:abstractNumId w:val="8"/>
  </w:num>
  <w:num w:numId="3" w16cid:durableId="1857695549">
    <w:abstractNumId w:val="0"/>
  </w:num>
  <w:num w:numId="4" w16cid:durableId="729305298">
    <w:abstractNumId w:val="9"/>
  </w:num>
  <w:num w:numId="5" w16cid:durableId="1163007835">
    <w:abstractNumId w:val="1"/>
  </w:num>
  <w:num w:numId="6" w16cid:durableId="1942183205">
    <w:abstractNumId w:val="4"/>
  </w:num>
  <w:num w:numId="7" w16cid:durableId="1788699441">
    <w:abstractNumId w:val="11"/>
  </w:num>
  <w:num w:numId="8" w16cid:durableId="1327854829">
    <w:abstractNumId w:val="6"/>
  </w:num>
  <w:num w:numId="9" w16cid:durableId="1328286586">
    <w:abstractNumId w:val="2"/>
  </w:num>
  <w:num w:numId="10" w16cid:durableId="1098791680">
    <w:abstractNumId w:val="5"/>
  </w:num>
  <w:num w:numId="11" w16cid:durableId="1201286468">
    <w:abstractNumId w:val="7"/>
  </w:num>
  <w:num w:numId="12" w16cid:durableId="224339955">
    <w:abstractNumId w:val="10"/>
  </w:num>
  <w:num w:numId="13" w16cid:durableId="3264004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A2A"/>
    <w:rsid w:val="00011B7D"/>
    <w:rsid w:val="00074538"/>
    <w:rsid w:val="00075432"/>
    <w:rsid w:val="0009458A"/>
    <w:rsid w:val="000F5E56"/>
    <w:rsid w:val="001362EE"/>
    <w:rsid w:val="001832A6"/>
    <w:rsid w:val="00195C6E"/>
    <w:rsid w:val="001B266A"/>
    <w:rsid w:val="001B488E"/>
    <w:rsid w:val="001C6508"/>
    <w:rsid w:val="001D3D56"/>
    <w:rsid w:val="00240654"/>
    <w:rsid w:val="002634C4"/>
    <w:rsid w:val="0028120E"/>
    <w:rsid w:val="002956DE"/>
    <w:rsid w:val="002E4D1A"/>
    <w:rsid w:val="002F16BC"/>
    <w:rsid w:val="002F241D"/>
    <w:rsid w:val="002F4E68"/>
    <w:rsid w:val="00322C0B"/>
    <w:rsid w:val="00381798"/>
    <w:rsid w:val="003845C1"/>
    <w:rsid w:val="003A67A3"/>
    <w:rsid w:val="004008A2"/>
    <w:rsid w:val="004025DF"/>
    <w:rsid w:val="0040540C"/>
    <w:rsid w:val="00423E3E"/>
    <w:rsid w:val="00427AF4"/>
    <w:rsid w:val="0044724F"/>
    <w:rsid w:val="004647DA"/>
    <w:rsid w:val="00477D6B"/>
    <w:rsid w:val="004D6471"/>
    <w:rsid w:val="0051455D"/>
    <w:rsid w:val="00522225"/>
    <w:rsid w:val="00525B63"/>
    <w:rsid w:val="00525E59"/>
    <w:rsid w:val="00533626"/>
    <w:rsid w:val="00541348"/>
    <w:rsid w:val="005421DD"/>
    <w:rsid w:val="00554FA5"/>
    <w:rsid w:val="00567A4C"/>
    <w:rsid w:val="00574036"/>
    <w:rsid w:val="00595F07"/>
    <w:rsid w:val="005E6516"/>
    <w:rsid w:val="00605827"/>
    <w:rsid w:val="00616671"/>
    <w:rsid w:val="006B0DB5"/>
    <w:rsid w:val="00726A01"/>
    <w:rsid w:val="007461F1"/>
    <w:rsid w:val="007D6961"/>
    <w:rsid w:val="007F07CB"/>
    <w:rsid w:val="00810CEF"/>
    <w:rsid w:val="0081208D"/>
    <w:rsid w:val="008A3B37"/>
    <w:rsid w:val="008B2CC1"/>
    <w:rsid w:val="008E7930"/>
    <w:rsid w:val="0090731E"/>
    <w:rsid w:val="00966A22"/>
    <w:rsid w:val="00974CD6"/>
    <w:rsid w:val="009D30E6"/>
    <w:rsid w:val="009E3F6F"/>
    <w:rsid w:val="009F499F"/>
    <w:rsid w:val="00A11D74"/>
    <w:rsid w:val="00AC0AE4"/>
    <w:rsid w:val="00AD61DB"/>
    <w:rsid w:val="00B1090C"/>
    <w:rsid w:val="00B20E77"/>
    <w:rsid w:val="00B35AF5"/>
    <w:rsid w:val="00B45C15"/>
    <w:rsid w:val="00BC233B"/>
    <w:rsid w:val="00BE0BE0"/>
    <w:rsid w:val="00C664C8"/>
    <w:rsid w:val="00CF0460"/>
    <w:rsid w:val="00D43E0F"/>
    <w:rsid w:val="00D45252"/>
    <w:rsid w:val="00D71B4D"/>
    <w:rsid w:val="00D75C1E"/>
    <w:rsid w:val="00D76A2A"/>
    <w:rsid w:val="00D93D55"/>
    <w:rsid w:val="00DB1C48"/>
    <w:rsid w:val="00DD4917"/>
    <w:rsid w:val="00DD6A16"/>
    <w:rsid w:val="00E0091A"/>
    <w:rsid w:val="00E203AA"/>
    <w:rsid w:val="00E5217A"/>
    <w:rsid w:val="00E527A5"/>
    <w:rsid w:val="00E76456"/>
    <w:rsid w:val="00EE71CB"/>
    <w:rsid w:val="00F16975"/>
    <w:rsid w:val="00F66152"/>
    <w:rsid w:val="00F66DB5"/>
    <w:rsid w:val="00FE19E9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ED88F1E"/>
  <w15:docId w15:val="{E532AC59-5ACC-49BD-93B6-C396038A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Hyperlink">
    <w:name w:val="Hyperlink"/>
    <w:uiPriority w:val="99"/>
    <w:unhideWhenUsed/>
    <w:rsid w:val="00D76A2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D76A2A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customStyle="1" w:styleId="Endofdocument">
    <w:name w:val="End of document"/>
    <w:basedOn w:val="Normal"/>
    <w:rsid w:val="00D76A2A"/>
    <w:pPr>
      <w:spacing w:line="260" w:lineRule="atLeast"/>
      <w:ind w:left="5534"/>
    </w:pPr>
    <w:rPr>
      <w:rFonts w:eastAsia="Times New Roman" w:cs="Times New Roman"/>
      <w:sz w:val="20"/>
      <w:lang w:val="fr-FR" w:eastAsia="en-US"/>
    </w:rPr>
  </w:style>
  <w:style w:type="character" w:customStyle="1" w:styleId="ONUMEChar">
    <w:name w:val="ONUM E Char"/>
    <w:basedOn w:val="DefaultParagraphFont"/>
    <w:link w:val="ONUME"/>
    <w:rsid w:val="00D76A2A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D76A2A"/>
    <w:pPr>
      <w:ind w:left="720"/>
      <w:contextualSpacing/>
    </w:pPr>
    <w:rPr>
      <w:lang w:val="fr-FR"/>
    </w:rPr>
  </w:style>
  <w:style w:type="character" w:styleId="FollowedHyperlink">
    <w:name w:val="FollowedHyperlink"/>
    <w:basedOn w:val="DefaultParagraphFont"/>
    <w:semiHidden/>
    <w:unhideWhenUsed/>
    <w:rsid w:val="002F2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ipo.int/cws/fr/cws-rules-procedure.html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_11%20(F)%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B71EE-6CB4-4B9A-B71B-B75E82A9F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CWS_11 (F) </Template>
  <TotalTime>9</TotalTime>
  <Pages>4</Pages>
  <Words>1356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CWS/11/18</vt:lpstr>
    </vt:vector>
  </TitlesOfParts>
  <Company>WIPO</Company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CWS/11/18</dc:title>
  <dc:creator>WIPO</dc:creator>
  <cp:keywords>FOR OFFICIAL USE ONLY</cp:keywords>
  <cp:lastModifiedBy>MOSTAJO Apolonia</cp:lastModifiedBy>
  <cp:revision>3</cp:revision>
  <cp:lastPrinted>2023-11-09T10:26:00Z</cp:lastPrinted>
  <dcterms:created xsi:type="dcterms:W3CDTF">2023-11-09T10:26:00Z</dcterms:created>
  <dcterms:modified xsi:type="dcterms:W3CDTF">2023-11-09T10:35:00Z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98f63ae5-c6ef-42ec-b19f-e555236411db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2023-11-08T14:15:17Z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c37bedc5-a2e2-4802-98c3-e917add52ec7</vt:lpwstr>
  </property>
  <property fmtid="{D5CDD505-2E9C-101B-9397-08002B2CF9AE}" pid="13" name="MSIP_Label_20773ee6-353b-4fb9-a59d-0b94c8c67bea_ContentBits">
    <vt:lpwstr>0</vt:lpwstr>
  </property>
</Properties>
</file>