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76D3" w14:textId="77777777" w:rsidR="008B2CC1" w:rsidRPr="0040540C" w:rsidRDefault="0040540C" w:rsidP="009E50AD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69B67D4B" wp14:editId="18F1A66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3959" w14:textId="77777777" w:rsidR="00B1090C" w:rsidRDefault="00533626" w:rsidP="009E50AD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CWS/11</w:t>
      </w:r>
      <w:bookmarkStart w:id="0" w:name="Code"/>
      <w:bookmarkEnd w:id="0"/>
      <w:r w:rsidR="0022186F">
        <w:rPr>
          <w:rFonts w:ascii="Arial Black" w:hAnsi="Arial Black"/>
          <w:caps/>
          <w:sz w:val="15"/>
        </w:rPr>
        <w:t>/</w:t>
      </w:r>
      <w:r w:rsidR="009E38A4">
        <w:rPr>
          <w:rFonts w:ascii="Arial Black" w:hAnsi="Arial Black"/>
          <w:caps/>
          <w:sz w:val="15"/>
        </w:rPr>
        <w:t>8</w:t>
      </w:r>
    </w:p>
    <w:p w14:paraId="51A7C3C1" w14:textId="77777777" w:rsidR="008B2CC1" w:rsidRPr="0040540C" w:rsidRDefault="00B1090C" w:rsidP="009E50AD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22186F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9E38A4">
        <w:rPr>
          <w:rFonts w:ascii="Arial Black" w:hAnsi="Arial Black"/>
          <w:caps/>
          <w:sz w:val="15"/>
        </w:rPr>
        <w:t>anglais</w:t>
      </w:r>
    </w:p>
    <w:bookmarkEnd w:id="1"/>
    <w:p w14:paraId="2C0D9456" w14:textId="77777777" w:rsidR="008B2CC1" w:rsidRPr="0040540C" w:rsidRDefault="00B1090C" w:rsidP="009E50AD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22186F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22186F">
        <w:rPr>
          <w:rFonts w:ascii="Arial Black" w:hAnsi="Arial Black"/>
          <w:caps/>
          <w:sz w:val="15"/>
        </w:rPr>
        <w:t>5 octobre 20</w:t>
      </w:r>
      <w:r w:rsidR="009E38A4">
        <w:rPr>
          <w:rFonts w:ascii="Arial Black" w:hAnsi="Arial Black"/>
          <w:caps/>
          <w:sz w:val="15"/>
        </w:rPr>
        <w:t>23</w:t>
      </w:r>
    </w:p>
    <w:bookmarkEnd w:id="2"/>
    <w:p w14:paraId="20007D30" w14:textId="77777777" w:rsidR="00533626" w:rsidRPr="00197881" w:rsidRDefault="00533626" w:rsidP="009E50AD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22186F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14:paraId="4DCF5B06" w14:textId="77777777" w:rsidR="00533626" w:rsidRDefault="00533626" w:rsidP="009E50AD">
      <w:pPr>
        <w:rPr>
          <w:b/>
          <w:sz w:val="24"/>
        </w:rPr>
      </w:pPr>
      <w:r>
        <w:rPr>
          <w:b/>
          <w:sz w:val="24"/>
        </w:rPr>
        <w:t>Onz</w:t>
      </w:r>
      <w:r w:rsidR="0022186F">
        <w:rPr>
          <w:b/>
          <w:sz w:val="24"/>
        </w:rPr>
        <w:t>ième session</w:t>
      </w:r>
    </w:p>
    <w:p w14:paraId="26E3E50D" w14:textId="77777777" w:rsidR="009E38A4" w:rsidRPr="00197881" w:rsidRDefault="009E38A4" w:rsidP="009E50AD">
      <w:pPr>
        <w:spacing w:after="720"/>
        <w:rPr>
          <w:b/>
          <w:sz w:val="28"/>
          <w:szCs w:val="24"/>
        </w:rPr>
      </w:pPr>
      <w:r w:rsidRPr="00E01392">
        <w:rPr>
          <w:b/>
          <w:sz w:val="24"/>
        </w:rPr>
        <w:t>Genève, 4 – 8 décembre 2023</w:t>
      </w:r>
    </w:p>
    <w:p w14:paraId="0FD6DE78" w14:textId="77777777" w:rsidR="008B2CC1" w:rsidRPr="009E38A4" w:rsidRDefault="009E38A4" w:rsidP="009E50AD">
      <w:pPr>
        <w:spacing w:after="360"/>
        <w:rPr>
          <w:caps/>
          <w:sz w:val="24"/>
        </w:rPr>
      </w:pPr>
      <w:bookmarkStart w:id="3" w:name="TitleOfDoc"/>
      <w:r w:rsidRPr="009E38A4">
        <w:rPr>
          <w:caps/>
          <w:sz w:val="24"/>
        </w:rPr>
        <w:t>Programme de</w:t>
      </w:r>
      <w:r>
        <w:rPr>
          <w:caps/>
          <w:sz w:val="24"/>
        </w:rPr>
        <w:t xml:space="preserve"> travail et liste des tâches du </w:t>
      </w:r>
      <w:r w:rsidRPr="009E38A4">
        <w:rPr>
          <w:caps/>
          <w:sz w:val="24"/>
        </w:rPr>
        <w:t>CWS</w:t>
      </w:r>
    </w:p>
    <w:p w14:paraId="412164A8" w14:textId="77777777" w:rsidR="008B2CC1" w:rsidRPr="008B2CC1" w:rsidRDefault="009E38A4" w:rsidP="009E50AD">
      <w:pPr>
        <w:spacing w:after="960"/>
        <w:rPr>
          <w:i/>
        </w:rPr>
      </w:pPr>
      <w:bookmarkStart w:id="4" w:name="Prepared"/>
      <w:bookmarkEnd w:id="3"/>
      <w:bookmarkEnd w:id="4"/>
      <w:r>
        <w:rPr>
          <w:i/>
        </w:rPr>
        <w:t>Document établi par le Secrétariat</w:t>
      </w:r>
    </w:p>
    <w:p w14:paraId="391F4A50" w14:textId="77777777" w:rsidR="009E38A4" w:rsidRPr="00E01392" w:rsidRDefault="009E38A4" w:rsidP="009E50AD">
      <w:pPr>
        <w:pStyle w:val="Heading2"/>
      </w:pPr>
      <w:r w:rsidRPr="00E01392">
        <w:t>Introduction</w:t>
      </w:r>
    </w:p>
    <w:p w14:paraId="0072AB45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À sa dix</w:t>
      </w:r>
      <w:r w:rsidR="0022186F">
        <w:t>ième session</w:t>
      </w:r>
      <w:r w:rsidRPr="00E01392">
        <w:t xml:space="preserve"> tenue en 2022, le Comité des normes de l</w:t>
      </w:r>
      <w:r w:rsidR="0022186F">
        <w:t>’</w:t>
      </w:r>
      <w:r w:rsidRPr="00E01392">
        <w:t>OMPI (CWS) a approuvé la liste de tâches révisée, figurant à l</w:t>
      </w:r>
      <w:r w:rsidR="0022186F">
        <w:t>’</w:t>
      </w:r>
      <w:r w:rsidRPr="00E01392">
        <w:t>annexe IV du document</w:t>
      </w:r>
      <w:r w:rsidR="00503323">
        <w:t> </w:t>
      </w:r>
      <w:r w:rsidRPr="00E01392">
        <w:t>CWS/10/22.  Aucune tâche n</w:t>
      </w:r>
      <w:r w:rsidR="0022186F">
        <w:t>’</w:t>
      </w:r>
      <w:r w:rsidRPr="00E01392">
        <w:t>a été suspendue, deux tâches ont été révisées et une nouvelle tâche a été créée.</w:t>
      </w:r>
    </w:p>
    <w:p w14:paraId="4A211F20" w14:textId="77777777" w:rsidR="0022186F" w:rsidRDefault="009E38A4" w:rsidP="009E50AD">
      <w:pPr>
        <w:pStyle w:val="ONUMFS"/>
        <w:numPr>
          <w:ilvl w:val="0"/>
          <w:numId w:val="11"/>
        </w:numPr>
      </w:pPr>
      <w:r w:rsidRPr="00E01392">
        <w:t>À sa dix</w:t>
      </w:r>
      <w:r w:rsidR="0022186F">
        <w:t>ième session</w:t>
      </w:r>
      <w:r w:rsidRPr="00E01392">
        <w:t>,</w:t>
      </w:r>
      <w:r w:rsidR="0022186F" w:rsidRPr="00E01392">
        <w:t xml:space="preserve"> le</w:t>
      </w:r>
      <w:r w:rsidR="0022186F">
        <w:t> </w:t>
      </w:r>
      <w:r w:rsidR="0022186F" w:rsidRPr="00E01392">
        <w:t>CWS</w:t>
      </w:r>
      <w:r w:rsidRPr="00E01392">
        <w:t xml:space="preserve"> a noté que ses activités et les normes de l</w:t>
      </w:r>
      <w:r w:rsidR="0022186F">
        <w:t>’</w:t>
      </w:r>
      <w:r w:rsidRPr="00E01392">
        <w:t>OMPI sont pertinentes en ce qui concerne le Pilier n° 2</w:t>
      </w:r>
      <w:r w:rsidR="009E50AD">
        <w:t> :</w:t>
      </w:r>
    </w:p>
    <w:p w14:paraId="73B3FD24" w14:textId="77777777" w:rsidR="009E38A4" w:rsidRPr="00312DB6" w:rsidRDefault="009E38A4" w:rsidP="009E50AD">
      <w:pPr>
        <w:spacing w:after="220"/>
        <w:ind w:left="567"/>
        <w:rPr>
          <w:i/>
          <w:iCs/>
        </w:rPr>
      </w:pPr>
      <w:r w:rsidRPr="00312DB6">
        <w:rPr>
          <w:i/>
          <w:iCs/>
        </w:rPr>
        <w:t>“Rassembler et nouer des partenariats avec les parties prenantes pour façonner l</w:t>
      </w:r>
      <w:r w:rsidR="0022186F">
        <w:rPr>
          <w:i/>
          <w:iCs/>
        </w:rPr>
        <w:t>’</w:t>
      </w:r>
      <w:r w:rsidRPr="00312DB6">
        <w:rPr>
          <w:i/>
          <w:iCs/>
        </w:rPr>
        <w:t>avenir de l</w:t>
      </w:r>
      <w:r w:rsidR="0022186F">
        <w:rPr>
          <w:i/>
          <w:iCs/>
        </w:rPr>
        <w:t>’</w:t>
      </w:r>
      <w:r w:rsidRPr="00312DB6">
        <w:rPr>
          <w:i/>
          <w:iCs/>
        </w:rPr>
        <w:t>écosystème mondial de la propriété intellectuelle” du </w:t>
      </w:r>
      <w:r w:rsidRPr="00FE1432">
        <w:rPr>
          <w:i/>
          <w:iCs/>
        </w:rPr>
        <w:t>Plan stratégique à moyen terme</w:t>
      </w:r>
      <w:r w:rsidRPr="00312DB6">
        <w:rPr>
          <w:i/>
          <w:iCs/>
        </w:rPr>
        <w:t xml:space="preserve"> et, plus </w:t>
      </w:r>
      <w:r>
        <w:rPr>
          <w:i/>
          <w:iCs/>
        </w:rPr>
        <w:t>précisément</w:t>
      </w:r>
      <w:r w:rsidRPr="00312DB6">
        <w:rPr>
          <w:i/>
          <w:iCs/>
        </w:rPr>
        <w:t>, le point 2.1 “Élaboration de cadres normatifs internationaux équilibrés et efficaces pour la propriété intellectuelle”.</w:t>
      </w:r>
    </w:p>
    <w:p w14:paraId="5B0356AC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 xml:space="preserve">Le CWS a également pris note des recommandations formulées dans le </w:t>
      </w:r>
      <w:r w:rsidRPr="00E01392">
        <w:rPr>
          <w:u w:val="single"/>
        </w:rPr>
        <w:t>Rapport d</w:t>
      </w:r>
      <w:r w:rsidR="0022186F">
        <w:rPr>
          <w:u w:val="single"/>
        </w:rPr>
        <w:t>’</w:t>
      </w:r>
      <w:r w:rsidRPr="00E01392">
        <w:rPr>
          <w:u w:val="single"/>
        </w:rPr>
        <w:t>évaluation des comités permanents de l</w:t>
      </w:r>
      <w:r w:rsidR="0022186F">
        <w:rPr>
          <w:u w:val="single"/>
        </w:rPr>
        <w:t>’</w:t>
      </w:r>
      <w:r w:rsidRPr="00E01392">
        <w:rPr>
          <w:u w:val="single"/>
        </w:rPr>
        <w:t>OMPI</w:t>
      </w:r>
      <w:r w:rsidRPr="00E01392">
        <w:t xml:space="preserve">, et en particulier de la Recommandation n° 3 </w:t>
      </w:r>
      <w:proofErr w:type="gramStart"/>
      <w:r>
        <w:t>relative</w:t>
      </w:r>
      <w:proofErr w:type="gramEnd"/>
      <w:r>
        <w:t xml:space="preserve"> au</w:t>
      </w:r>
      <w:r w:rsidRPr="00E01392">
        <w:t xml:space="preserve"> CWS et </w:t>
      </w:r>
      <w:r>
        <w:t xml:space="preserve">à </w:t>
      </w:r>
      <w:r w:rsidRPr="00E01392">
        <w:t>ses critères d</w:t>
      </w:r>
      <w:r w:rsidR="0022186F">
        <w:t>’</w:t>
      </w:r>
      <w:r w:rsidRPr="00E01392">
        <w:t>évaluation, qui sont reproduits ci</w:t>
      </w:r>
      <w:r w:rsidR="00503323">
        <w:noBreakHyphen/>
      </w:r>
      <w:r w:rsidRPr="00E01392">
        <w:t>dessous</w:t>
      </w:r>
      <w:r w:rsidR="0022186F">
        <w:t> :</w:t>
      </w:r>
    </w:p>
    <w:p w14:paraId="2A20E36C" w14:textId="77777777" w:rsidR="009E38A4" w:rsidRPr="00E01392" w:rsidRDefault="009E38A4" w:rsidP="009E50AD">
      <w:pPr>
        <w:ind w:left="567"/>
        <w:rPr>
          <w:i/>
        </w:rPr>
      </w:pPr>
      <w:r w:rsidRPr="00E01392">
        <w:rPr>
          <w:i/>
        </w:rPr>
        <w:t>Critères d</w:t>
      </w:r>
      <w:r w:rsidR="0022186F">
        <w:rPr>
          <w:i/>
        </w:rPr>
        <w:t>’</w:t>
      </w:r>
      <w:r w:rsidRPr="00E01392">
        <w:rPr>
          <w:i/>
        </w:rPr>
        <w:t>évaluation</w:t>
      </w:r>
    </w:p>
    <w:p w14:paraId="4AC15F08" w14:textId="77777777" w:rsidR="009E38A4" w:rsidRPr="00312DB6" w:rsidRDefault="009E38A4" w:rsidP="009E50AD">
      <w:pPr>
        <w:spacing w:after="220"/>
        <w:ind w:left="567"/>
        <w:rPr>
          <w:i/>
          <w:iCs/>
        </w:rPr>
      </w:pPr>
      <w:r w:rsidRPr="00312DB6">
        <w:rPr>
          <w:i/>
          <w:iCs/>
        </w:rPr>
        <w:t xml:space="preserve">“3d. </w:t>
      </w:r>
      <w:r w:rsidR="00503323">
        <w:rPr>
          <w:i/>
          <w:iCs/>
        </w:rPr>
        <w:t xml:space="preserve"> </w:t>
      </w:r>
      <w:r w:rsidRPr="00312DB6">
        <w:rPr>
          <w:i/>
          <w:iCs/>
        </w:rPr>
        <w:t>Pour que le CWS procède à une révision annuelle du volume de travail de ses équipes d</w:t>
      </w:r>
      <w:r w:rsidR="0022186F">
        <w:rPr>
          <w:i/>
          <w:iCs/>
        </w:rPr>
        <w:t>’</w:t>
      </w:r>
      <w:r w:rsidRPr="00312DB6">
        <w:rPr>
          <w:i/>
          <w:iCs/>
        </w:rPr>
        <w:t>experts (actives et inactives) et fixe les priorités pour l</w:t>
      </w:r>
      <w:r w:rsidR="0022186F">
        <w:rPr>
          <w:i/>
          <w:iCs/>
        </w:rPr>
        <w:t>’</w:t>
      </w:r>
      <w:r w:rsidRPr="00312DB6">
        <w:rPr>
          <w:i/>
          <w:iCs/>
        </w:rPr>
        <w:t>année suivante en accord avec les États membres, et qu</w:t>
      </w:r>
      <w:r w:rsidR="0022186F">
        <w:rPr>
          <w:i/>
          <w:iCs/>
        </w:rPr>
        <w:t>’</w:t>
      </w:r>
      <w:r w:rsidRPr="00312DB6">
        <w:rPr>
          <w:i/>
          <w:iCs/>
        </w:rPr>
        <w:t>il encourage activement une participation plus large des États membres à ses équipes d</w:t>
      </w:r>
      <w:r w:rsidR="0022186F">
        <w:rPr>
          <w:i/>
          <w:iCs/>
        </w:rPr>
        <w:t>’</w:t>
      </w:r>
      <w:r w:rsidRPr="00312DB6">
        <w:rPr>
          <w:i/>
          <w:iCs/>
        </w:rPr>
        <w:t>experts”.</w:t>
      </w:r>
    </w:p>
    <w:p w14:paraId="7767839B" w14:textId="77777777" w:rsidR="009E38A4" w:rsidRPr="00E01392" w:rsidRDefault="009E38A4" w:rsidP="009E50AD">
      <w:pPr>
        <w:keepNext/>
        <w:ind w:left="567"/>
        <w:rPr>
          <w:i/>
        </w:rPr>
      </w:pPr>
      <w:r w:rsidRPr="00E01392">
        <w:rPr>
          <w:i/>
        </w:rPr>
        <w:lastRenderedPageBreak/>
        <w:t>Actions</w:t>
      </w:r>
    </w:p>
    <w:p w14:paraId="5930B902" w14:textId="77777777" w:rsidR="009E38A4" w:rsidRPr="00312DB6" w:rsidRDefault="009E38A4" w:rsidP="009E50AD">
      <w:pPr>
        <w:spacing w:after="220"/>
        <w:ind w:left="562"/>
        <w:rPr>
          <w:i/>
          <w:iCs/>
        </w:rPr>
      </w:pPr>
      <w:r w:rsidRPr="00312DB6">
        <w:rPr>
          <w:i/>
          <w:iCs/>
        </w:rPr>
        <w:t>“Le Secrétariat aidera le CWS à investir davantage de temps dans la révision des volumes de travail et à convenir des priorités pour l</w:t>
      </w:r>
      <w:r w:rsidR="0022186F">
        <w:rPr>
          <w:i/>
          <w:iCs/>
        </w:rPr>
        <w:t>’</w:t>
      </w:r>
      <w:r w:rsidRPr="00312DB6">
        <w:rPr>
          <w:i/>
          <w:iCs/>
        </w:rPr>
        <w:t>année suivan</w:t>
      </w:r>
      <w:r w:rsidR="004A0454" w:rsidRPr="00312DB6">
        <w:rPr>
          <w:i/>
          <w:iCs/>
        </w:rPr>
        <w:t>te</w:t>
      </w:r>
      <w:r w:rsidR="004A0454">
        <w:rPr>
          <w:i/>
          <w:iCs/>
        </w:rPr>
        <w:t xml:space="preserve">.  </w:t>
      </w:r>
      <w:r w:rsidR="004A0454" w:rsidRPr="00312DB6">
        <w:rPr>
          <w:i/>
          <w:iCs/>
        </w:rPr>
        <w:t>Le</w:t>
      </w:r>
      <w:r w:rsidRPr="00312DB6">
        <w:rPr>
          <w:i/>
          <w:iCs/>
        </w:rPr>
        <w:t xml:space="preserve"> Secrétariat émettra une circulaire et s</w:t>
      </w:r>
      <w:r w:rsidR="0022186F">
        <w:rPr>
          <w:i/>
          <w:iCs/>
        </w:rPr>
        <w:t>’</w:t>
      </w:r>
      <w:r w:rsidRPr="00312DB6">
        <w:rPr>
          <w:i/>
          <w:iCs/>
        </w:rPr>
        <w:t>efforcera, en étroite collaboration avec les bureaux régionaux, d</w:t>
      </w:r>
      <w:r w:rsidR="0022186F">
        <w:rPr>
          <w:i/>
          <w:iCs/>
        </w:rPr>
        <w:t>’</w:t>
      </w:r>
      <w:r w:rsidRPr="00312DB6">
        <w:rPr>
          <w:i/>
          <w:iCs/>
        </w:rPr>
        <w:t>encourager les offices de propriété intellectuelle à participer aux équipes d</w:t>
      </w:r>
      <w:r w:rsidR="0022186F">
        <w:rPr>
          <w:i/>
          <w:iCs/>
        </w:rPr>
        <w:t>’</w:t>
      </w:r>
      <w:r w:rsidRPr="00312DB6">
        <w:rPr>
          <w:i/>
          <w:iCs/>
        </w:rPr>
        <w:t>experts du CWS”.</w:t>
      </w:r>
    </w:p>
    <w:p w14:paraId="3D366A8D" w14:textId="77777777" w:rsidR="009E38A4" w:rsidRPr="00E01392" w:rsidRDefault="009E38A4" w:rsidP="009E50AD">
      <w:pPr>
        <w:spacing w:after="220"/>
        <w:ind w:left="562"/>
      </w:pPr>
      <w:r w:rsidRPr="00312DB6">
        <w:t xml:space="preserve">(Voir le </w:t>
      </w:r>
      <w:r w:rsidR="0022186F" w:rsidRPr="00312DB6">
        <w:t>paragraphe</w:t>
      </w:r>
      <w:r w:rsidR="0022186F">
        <w:t> </w:t>
      </w:r>
      <w:r w:rsidR="0022186F" w:rsidRPr="00312DB6">
        <w:t>7</w:t>
      </w:r>
      <w:r w:rsidRPr="00312DB6">
        <w:t xml:space="preserve"> du document</w:t>
      </w:r>
      <w:r w:rsidR="00503323">
        <w:t> </w:t>
      </w:r>
      <w:r w:rsidRPr="00312DB6">
        <w:t>CWS/10/3)</w:t>
      </w:r>
    </w:p>
    <w:p w14:paraId="6BA2817B" w14:textId="77777777" w:rsidR="009E38A4" w:rsidRPr="00416270" w:rsidRDefault="009E38A4" w:rsidP="009E50AD">
      <w:pPr>
        <w:pStyle w:val="ONUMFS"/>
        <w:numPr>
          <w:ilvl w:val="0"/>
          <w:numId w:val="11"/>
        </w:numPr>
      </w:pPr>
      <w:r w:rsidRPr="00E01392">
        <w:t xml:space="preserve">À </w:t>
      </w:r>
      <w:r>
        <w:t>sa dix</w:t>
      </w:r>
      <w:r w:rsidR="0022186F">
        <w:t>ième session</w:t>
      </w:r>
      <w:r w:rsidRPr="00E01392">
        <w:t xml:space="preserve">, </w:t>
      </w:r>
      <w:r>
        <w:t>afin de donner suite à</w:t>
      </w:r>
      <w:r w:rsidRPr="00E01392">
        <w:t xml:space="preserve"> la Recommandation n°</w:t>
      </w:r>
      <w:r w:rsidR="00C95CF7">
        <w:t> </w:t>
      </w:r>
      <w:r w:rsidRPr="00E01392">
        <w:t>3,</w:t>
      </w:r>
      <w:r w:rsidR="0022186F" w:rsidRPr="00E01392">
        <w:t xml:space="preserve"> le</w:t>
      </w:r>
      <w:r w:rsidR="0022186F">
        <w:t> </w:t>
      </w:r>
      <w:r w:rsidR="0022186F" w:rsidRPr="00E01392">
        <w:t>CWS</w:t>
      </w:r>
      <w:r w:rsidRPr="00E01392">
        <w:t xml:space="preserve"> a examiné la </w:t>
      </w:r>
      <w:r>
        <w:t xml:space="preserve">question de </w:t>
      </w:r>
      <w:r w:rsidRPr="00416270">
        <w:t>l</w:t>
      </w:r>
      <w:r w:rsidR="0022186F">
        <w:t>’</w:t>
      </w:r>
      <w:r w:rsidRPr="00416270">
        <w:t>établissement d</w:t>
      </w:r>
      <w:r w:rsidR="0022186F">
        <w:t>’</w:t>
      </w:r>
      <w:r w:rsidRPr="00416270">
        <w:t>un ordre de priorité de</w:t>
      </w:r>
      <w:r>
        <w:t xml:space="preserve"> se</w:t>
      </w:r>
      <w:r w:rsidRPr="00416270">
        <w:t xml:space="preserve">s tâches </w:t>
      </w:r>
      <w:r w:rsidRPr="00E01392">
        <w:t>au regard des questions et points appelant une action que le Secrétariat avait présenté</w:t>
      </w:r>
      <w:r>
        <w:t>s</w:t>
      </w:r>
      <w:r w:rsidRPr="00E01392">
        <w:t xml:space="preserve"> de manière </w:t>
      </w:r>
      <w:r>
        <w:t>exhaustive</w:t>
      </w:r>
      <w:r w:rsidRPr="00E01392">
        <w:t xml:space="preserve"> aux paragraphes 11 à 14 du document CWS/10/3.</w:t>
      </w:r>
      <w:r w:rsidR="0022186F" w:rsidRPr="00E01392">
        <w:t xml:space="preserve"> </w:t>
      </w:r>
      <w:r w:rsidR="00C95CF7">
        <w:t xml:space="preserve"> </w:t>
      </w:r>
      <w:r w:rsidR="0022186F" w:rsidRPr="00E01392">
        <w:t>Le</w:t>
      </w:r>
      <w:r w:rsidR="0022186F">
        <w:t> CWS</w:t>
      </w:r>
      <w:r w:rsidRPr="00E01392">
        <w:t xml:space="preserve"> </w:t>
      </w:r>
      <w:r w:rsidRPr="00737EC0">
        <w:t>a demandé au Secrétariat de travailler avec les responsables des équipes d</w:t>
      </w:r>
      <w:r w:rsidR="0022186F">
        <w:t>’</w:t>
      </w:r>
      <w:r w:rsidRPr="00737EC0">
        <w:t xml:space="preserve">experts </w:t>
      </w:r>
      <w:r>
        <w:t xml:space="preserve">du comité </w:t>
      </w:r>
      <w:r w:rsidRPr="00737EC0">
        <w:t>aux fins de l</w:t>
      </w:r>
      <w:r w:rsidR="0022186F">
        <w:t>’</w:t>
      </w:r>
      <w:r w:rsidRPr="00737EC0">
        <w:t>établissement d</w:t>
      </w:r>
      <w:r w:rsidR="0022186F">
        <w:t>’</w:t>
      </w:r>
      <w:r w:rsidRPr="00737EC0">
        <w:t>un questionnaire d</w:t>
      </w:r>
      <w:r w:rsidR="0022186F">
        <w:t>’</w:t>
      </w:r>
      <w:r w:rsidRPr="00737EC0">
        <w:t>enquête afin de déterminer les préférences des offices dans l</w:t>
      </w:r>
      <w:r w:rsidR="0022186F">
        <w:t>’</w:t>
      </w:r>
      <w:r w:rsidRPr="00737EC0">
        <w:t>établissement des priorités des tâches</w:t>
      </w:r>
      <w:r>
        <w:t>,</w:t>
      </w:r>
      <w:r w:rsidRPr="00E46010">
        <w:t xml:space="preserve"> </w:t>
      </w:r>
      <w:r w:rsidRPr="00737EC0">
        <w:t xml:space="preserve">à présenter à la </w:t>
      </w:r>
      <w:r w:rsidRPr="00416270">
        <w:t>onz</w:t>
      </w:r>
      <w:r w:rsidR="0022186F">
        <w:t>ième session</w:t>
      </w:r>
      <w:r w:rsidR="0022186F" w:rsidRPr="00737EC0">
        <w:t xml:space="preserve"> du</w:t>
      </w:r>
      <w:r w:rsidR="0022186F">
        <w:t> </w:t>
      </w:r>
      <w:r w:rsidR="0022186F" w:rsidRPr="00737EC0">
        <w:t>CWS</w:t>
      </w:r>
      <w:r w:rsidRPr="00416270">
        <w:t xml:space="preserve"> (voir les </w:t>
      </w:r>
      <w:r w:rsidR="0022186F" w:rsidRPr="00416270">
        <w:t>paragraphes</w:t>
      </w:r>
      <w:r w:rsidR="0022186F">
        <w:t> </w:t>
      </w:r>
      <w:r w:rsidR="0022186F" w:rsidRPr="00416270">
        <w:t>2</w:t>
      </w:r>
      <w:r w:rsidRPr="00416270">
        <w:t>6 à 28 du document</w:t>
      </w:r>
      <w:r w:rsidR="00503323">
        <w:t> </w:t>
      </w:r>
      <w:r w:rsidRPr="00416270">
        <w:t>CWS/10/22).</w:t>
      </w:r>
    </w:p>
    <w:p w14:paraId="544E38DA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À cette même session,</w:t>
      </w:r>
      <w:r w:rsidR="0022186F" w:rsidRPr="00E01392">
        <w:t xml:space="preserve"> </w:t>
      </w:r>
      <w:r w:rsidR="0022186F">
        <w:t>l</w:t>
      </w:r>
      <w:r w:rsidR="0022186F" w:rsidRPr="00E46010">
        <w:t>e</w:t>
      </w:r>
      <w:r w:rsidR="0022186F">
        <w:t> </w:t>
      </w:r>
      <w:r w:rsidR="0022186F" w:rsidRPr="00E01392">
        <w:t>CWS</w:t>
      </w:r>
      <w:r w:rsidRPr="00E01392">
        <w:t xml:space="preserve"> </w:t>
      </w:r>
      <w:r w:rsidRPr="00E46010">
        <w:t>est convenu que chaque équipe d</w:t>
      </w:r>
      <w:r w:rsidR="0022186F">
        <w:t>’</w:t>
      </w:r>
      <w:r w:rsidRPr="00E46010">
        <w:t xml:space="preserve">experts </w:t>
      </w:r>
      <w:r w:rsidRPr="00E01392">
        <w:t xml:space="preserve">définirait </w:t>
      </w:r>
      <w:r w:rsidRPr="00E46010">
        <w:t>les objectifs et les actions pertinents pour l</w:t>
      </w:r>
      <w:r w:rsidR="0022186F">
        <w:t>’</w:t>
      </w:r>
      <w:r w:rsidRPr="00E46010">
        <w:t>année et mesure</w:t>
      </w:r>
      <w:r>
        <w:t>rait</w:t>
      </w:r>
      <w:r w:rsidRPr="00E46010">
        <w:t xml:space="preserve"> les progrès réalisés par rapport à ces objectifs </w:t>
      </w:r>
      <w:r>
        <w:t>à chaque</w:t>
      </w:r>
      <w:r w:rsidRPr="00E46010">
        <w:t xml:space="preserve"> réunion annuel</w:t>
      </w:r>
      <w:r w:rsidR="004A0454" w:rsidRPr="00E46010">
        <w:t>le</w:t>
      </w:r>
      <w:r w:rsidR="004A0454">
        <w:t xml:space="preserve">.  </w:t>
      </w:r>
      <w:r w:rsidR="004A0454" w:rsidRPr="00E46010">
        <w:t>Il</w:t>
      </w:r>
      <w:r w:rsidRPr="00E46010">
        <w:t xml:space="preserve"> a demandé au Secrétariat de fournir un modèle commun pour l</w:t>
      </w:r>
      <w:r w:rsidR="0022186F">
        <w:t>’</w:t>
      </w:r>
      <w:r w:rsidRPr="00E46010">
        <w:t xml:space="preserve">établissement des rapports </w:t>
      </w:r>
      <w:r w:rsidRPr="00E01392">
        <w:t>sur l</w:t>
      </w:r>
      <w:r w:rsidR="0022186F">
        <w:t>’</w:t>
      </w:r>
      <w:r w:rsidRPr="00E01392">
        <w:t>état d</w:t>
      </w:r>
      <w:r w:rsidR="0022186F">
        <w:t>’</w:t>
      </w:r>
      <w:r w:rsidRPr="00E01392">
        <w:t>avancement de</w:t>
      </w:r>
      <w:r>
        <w:t>s travaux relatifs aux tâches</w:t>
      </w:r>
      <w:r w:rsidR="0022186F">
        <w:t xml:space="preserve"> du CWS</w:t>
      </w:r>
      <w:r>
        <w:t xml:space="preserve"> que toutes les équipes d</w:t>
      </w:r>
      <w:r w:rsidR="0022186F">
        <w:t>’</w:t>
      </w:r>
      <w:r>
        <w:t>experts présentent à leurs</w:t>
      </w:r>
      <w:r w:rsidRPr="00E01392">
        <w:t xml:space="preserve"> réunions trimestriell</w:t>
      </w:r>
      <w:r w:rsidR="004A0454" w:rsidRPr="00E01392">
        <w:t>es</w:t>
      </w:r>
      <w:r w:rsidR="004A0454">
        <w:t xml:space="preserve">.  </w:t>
      </w:r>
      <w:r w:rsidR="004A0454" w:rsidRPr="00E46010">
        <w:t>Le</w:t>
      </w:r>
      <w:r w:rsidRPr="00E46010">
        <w:t xml:space="preserve"> Secrétariat a accepté de travailler avec les responsables des équipes d</w:t>
      </w:r>
      <w:r w:rsidR="0022186F">
        <w:t>’</w:t>
      </w:r>
      <w:r w:rsidRPr="00E46010">
        <w:t>experts à l</w:t>
      </w:r>
      <w:r w:rsidR="0022186F">
        <w:t>’</w:t>
      </w:r>
      <w:r w:rsidRPr="00E46010">
        <w:t>établissement d</w:t>
      </w:r>
      <w:r>
        <w:t>e ce</w:t>
      </w:r>
      <w:r w:rsidRPr="00E46010">
        <w:t xml:space="preserve"> modèle commun et à l</w:t>
      </w:r>
      <w:r w:rsidR="0022186F">
        <w:t>’</w:t>
      </w:r>
      <w:r w:rsidRPr="00E46010">
        <w:t>organisation de</w:t>
      </w:r>
      <w:r>
        <w:t xml:space="preserve"> ce</w:t>
      </w:r>
      <w:r w:rsidRPr="00E46010">
        <w:t xml:space="preserve">s réunions trimestrielles </w:t>
      </w:r>
      <w:r w:rsidRPr="00E01392">
        <w:t xml:space="preserve">(voir le </w:t>
      </w:r>
      <w:r w:rsidR="0022186F" w:rsidRPr="00E01392">
        <w:t>paragraphe</w:t>
      </w:r>
      <w:r w:rsidR="0022186F">
        <w:t> </w:t>
      </w:r>
      <w:r w:rsidR="0022186F" w:rsidRPr="00E01392">
        <w:t>3</w:t>
      </w:r>
      <w:r w:rsidRPr="00E01392">
        <w:t>0 du document</w:t>
      </w:r>
      <w:r w:rsidR="00503323">
        <w:t> </w:t>
      </w:r>
      <w:r w:rsidRPr="00E01392">
        <w:t>CWS/10/22).</w:t>
      </w:r>
    </w:p>
    <w:p w14:paraId="57E7F60F" w14:textId="77777777" w:rsidR="009E38A4" w:rsidRPr="00E01392" w:rsidRDefault="009E38A4" w:rsidP="009E50AD">
      <w:pPr>
        <w:pStyle w:val="Heading2"/>
      </w:pPr>
      <w:r w:rsidRPr="00E01392">
        <w:t>R</w:t>
      </w:r>
      <w:r w:rsidR="009E50AD" w:rsidRPr="009E50AD">
        <w:t>apport sur les activités menées dans le cadre du programme de travail du</w:t>
      </w:r>
      <w:r w:rsidR="009E50AD" w:rsidRPr="00E01392">
        <w:t xml:space="preserve"> </w:t>
      </w:r>
      <w:r w:rsidRPr="00E01392">
        <w:t>CWS</w:t>
      </w:r>
    </w:p>
    <w:p w14:paraId="78D788BE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Depuis la dix</w:t>
      </w:r>
      <w:r w:rsidR="0022186F">
        <w:t>ième session</w:t>
      </w:r>
      <w:r w:rsidRPr="00E01392">
        <w:t xml:space="preserve"> du </w:t>
      </w:r>
      <w:r w:rsidR="00C95CF7">
        <w:t>comité</w:t>
      </w:r>
      <w:r w:rsidRPr="00E01392">
        <w:t>, les équipes d</w:t>
      </w:r>
      <w:r w:rsidR="0022186F">
        <w:t>’</w:t>
      </w:r>
      <w:r w:rsidRPr="00E01392">
        <w:t>experts</w:t>
      </w:r>
      <w:r w:rsidR="0022186F" w:rsidRPr="00E01392">
        <w:t xml:space="preserve"> du</w:t>
      </w:r>
      <w:r w:rsidR="0022186F">
        <w:t> </w:t>
      </w:r>
      <w:r w:rsidR="0022186F" w:rsidRPr="00E01392">
        <w:t>CWS</w:t>
      </w:r>
      <w:r w:rsidRPr="00E01392">
        <w:t xml:space="preserve"> ont œuvré dans le cadre des tâches</w:t>
      </w:r>
      <w:r w:rsidR="0022186F" w:rsidRPr="00E01392">
        <w:t xml:space="preserve"> du</w:t>
      </w:r>
      <w:r w:rsidR="0022186F">
        <w:t> </w:t>
      </w:r>
      <w:r w:rsidR="0022186F" w:rsidRPr="00E01392">
        <w:t>CWS</w:t>
      </w:r>
      <w:r w:rsidRPr="00E01392">
        <w:t xml:space="preserve"> qui constituent le programme de travail, approuvé </w:t>
      </w:r>
      <w:r>
        <w:t>à</w:t>
      </w:r>
      <w:r w:rsidRPr="00E01392">
        <w:t xml:space="preserve"> la dix</w:t>
      </w:r>
      <w:r w:rsidR="0022186F">
        <w:t>ième session</w:t>
      </w:r>
      <w:r w:rsidR="0022186F" w:rsidRPr="00E01392">
        <w:t xml:space="preserve"> du</w:t>
      </w:r>
      <w:r w:rsidR="0022186F">
        <w:t> </w:t>
      </w:r>
      <w:r w:rsidR="004A0454" w:rsidRPr="00E01392">
        <w:t>CWS</w:t>
      </w:r>
      <w:r w:rsidR="004A0454">
        <w:t xml:space="preserve">.  </w:t>
      </w:r>
      <w:r w:rsidR="004A0454" w:rsidRPr="00E01392">
        <w:t>La</w:t>
      </w:r>
      <w:r w:rsidRPr="00E01392">
        <w:t xml:space="preserve"> liste comprend 24</w:t>
      </w:r>
      <w:r w:rsidR="00503323">
        <w:t> </w:t>
      </w:r>
      <w:r w:rsidRPr="00E01392">
        <w:t xml:space="preserve">tâches, dont 19 sont </w:t>
      </w:r>
      <w:r>
        <w:t>confiées</w:t>
      </w:r>
      <w:r w:rsidRPr="00E01392">
        <w:t xml:space="preserve"> à une équipe d</w:t>
      </w:r>
      <w:r w:rsidR="0022186F">
        <w:t>’</w:t>
      </w:r>
      <w:r w:rsidRPr="00E01392">
        <w:t>experts donnée et cinq ne le sont pas.</w:t>
      </w:r>
    </w:p>
    <w:p w14:paraId="7FA5E56B" w14:textId="77777777" w:rsidR="009E38A4" w:rsidRPr="0066711E" w:rsidRDefault="009E38A4" w:rsidP="009E50AD">
      <w:pPr>
        <w:pStyle w:val="ONUMFS"/>
        <w:numPr>
          <w:ilvl w:val="0"/>
          <w:numId w:val="11"/>
        </w:numPr>
      </w:pPr>
      <w:r w:rsidRPr="00E01392">
        <w:t>Comme l</w:t>
      </w:r>
      <w:r w:rsidR="0022186F">
        <w:t>’</w:t>
      </w:r>
      <w:r w:rsidRPr="00E01392">
        <w:t>avait demandé</w:t>
      </w:r>
      <w:r w:rsidR="0022186F" w:rsidRPr="00E01392">
        <w:t xml:space="preserve"> le</w:t>
      </w:r>
      <w:r w:rsidR="0022186F">
        <w:t> </w:t>
      </w:r>
      <w:r w:rsidR="0022186F" w:rsidRPr="00E01392">
        <w:t>CWS</w:t>
      </w:r>
      <w:r w:rsidRPr="00E01392">
        <w:t>, toutes les équipes d</w:t>
      </w:r>
      <w:r w:rsidR="0022186F">
        <w:t>’</w:t>
      </w:r>
      <w:r w:rsidRPr="00E01392">
        <w:t>experts actives</w:t>
      </w:r>
      <w:r w:rsidR="0022186F" w:rsidRPr="00E01392">
        <w:t xml:space="preserve"> du</w:t>
      </w:r>
      <w:r w:rsidR="0022186F">
        <w:t> </w:t>
      </w:r>
      <w:r w:rsidR="0022186F" w:rsidRPr="00E01392">
        <w:t>CWS</w:t>
      </w:r>
      <w:r w:rsidRPr="00E01392">
        <w:t xml:space="preserve"> se sont réunies trimestriellement pour examiner et actualiser leurs objectifs en mars, juin et septembre, et tous leurs membres et observateurs étaient invités à ces réunio</w:t>
      </w:r>
      <w:r w:rsidR="004A0454" w:rsidRPr="00E01392">
        <w:t>ns</w:t>
      </w:r>
      <w:r w:rsidR="004A0454">
        <w:t xml:space="preserve">.  </w:t>
      </w:r>
      <w:r w:rsidR="004A0454" w:rsidRPr="00E01392">
        <w:t>Le</w:t>
      </w:r>
      <w:r w:rsidRPr="00E01392">
        <w:t>s participants ont pris note des progrès réalisés dans le cadre des tâches que les chefs des équipes d</w:t>
      </w:r>
      <w:r w:rsidR="0022186F">
        <w:t>’</w:t>
      </w:r>
      <w:r w:rsidRPr="00E01392">
        <w:t xml:space="preserve">experts ont présentés au moyen du modèle que le Secrétariat avait établi, en consultation avec les </w:t>
      </w:r>
      <w:r w:rsidRPr="0066711E">
        <w:t>responsables des équipes d</w:t>
      </w:r>
      <w:r w:rsidR="0022186F">
        <w:t>’</w:t>
      </w:r>
      <w:r w:rsidRPr="0066711E">
        <w:t>exper</w:t>
      </w:r>
      <w:r w:rsidR="004A0454" w:rsidRPr="0066711E">
        <w:t>ts</w:t>
      </w:r>
      <w:r w:rsidR="004A0454">
        <w:t xml:space="preserve">.  </w:t>
      </w:r>
      <w:r w:rsidR="004A0454" w:rsidRPr="0066711E">
        <w:t>Ce</w:t>
      </w:r>
      <w:r w:rsidRPr="0066711E">
        <w:t xml:space="preserve"> modèle définit</w:t>
      </w:r>
      <w:r w:rsidR="0022186F">
        <w:t> :</w:t>
      </w:r>
    </w:p>
    <w:p w14:paraId="1A5F3894" w14:textId="77777777" w:rsidR="0022186F" w:rsidRDefault="009E38A4" w:rsidP="009E50AD">
      <w:pPr>
        <w:pStyle w:val="ListParagraph"/>
        <w:numPr>
          <w:ilvl w:val="0"/>
          <w:numId w:val="10"/>
        </w:numPr>
        <w:ind w:left="1134" w:hanging="567"/>
        <w:rPr>
          <w:lang w:val="fr-CH"/>
        </w:rPr>
      </w:pPr>
      <w:proofErr w:type="gramStart"/>
      <w:r>
        <w:rPr>
          <w:lang w:val="fr-CH"/>
        </w:rPr>
        <w:t>l</w:t>
      </w:r>
      <w:r w:rsidRPr="00312DB6">
        <w:rPr>
          <w:lang w:val="fr-CH"/>
        </w:rPr>
        <w:t>es</w:t>
      </w:r>
      <w:proofErr w:type="gramEnd"/>
      <w:r w:rsidRPr="00312DB6">
        <w:rPr>
          <w:lang w:val="fr-CH"/>
        </w:rPr>
        <w:t xml:space="preserve"> objectifs;</w:t>
      </w:r>
    </w:p>
    <w:p w14:paraId="520A3F3C" w14:textId="77777777" w:rsidR="009E38A4" w:rsidRPr="00312DB6" w:rsidRDefault="009E38A4" w:rsidP="009E50AD">
      <w:pPr>
        <w:pStyle w:val="ListParagraph"/>
        <w:numPr>
          <w:ilvl w:val="0"/>
          <w:numId w:val="10"/>
        </w:numPr>
        <w:ind w:left="1134" w:hanging="567"/>
        <w:rPr>
          <w:lang w:val="fr-CH"/>
        </w:rPr>
      </w:pPr>
      <w:proofErr w:type="gramStart"/>
      <w:r>
        <w:rPr>
          <w:lang w:val="fr-CH"/>
        </w:rPr>
        <w:t>l</w:t>
      </w:r>
      <w:r w:rsidRPr="00312DB6">
        <w:rPr>
          <w:lang w:val="fr-CH"/>
        </w:rPr>
        <w:t>es</w:t>
      </w:r>
      <w:proofErr w:type="gramEnd"/>
      <w:r w:rsidRPr="00312DB6">
        <w:rPr>
          <w:lang w:val="fr-CH"/>
        </w:rPr>
        <w:t xml:space="preserve"> actions pertinentes </w:t>
      </w:r>
      <w:r w:rsidR="0022186F" w:rsidRPr="00312DB6">
        <w:rPr>
          <w:lang w:val="fr-CH"/>
        </w:rPr>
        <w:t>pour</w:t>
      </w:r>
      <w:r w:rsidR="0022186F">
        <w:rPr>
          <w:lang w:val="fr-CH"/>
        </w:rPr>
        <w:t> </w:t>
      </w:r>
      <w:r w:rsidR="0022186F" w:rsidRPr="00312DB6">
        <w:rPr>
          <w:lang w:val="fr-CH"/>
        </w:rPr>
        <w:t>2023</w:t>
      </w:r>
      <w:r w:rsidRPr="00312DB6">
        <w:rPr>
          <w:lang w:val="fr-CH"/>
        </w:rPr>
        <w:t xml:space="preserve"> et l</w:t>
      </w:r>
      <w:r w:rsidR="0022186F">
        <w:rPr>
          <w:lang w:val="fr-CH"/>
        </w:rPr>
        <w:t>’</w:t>
      </w:r>
      <w:r w:rsidRPr="00312DB6">
        <w:rPr>
          <w:lang w:val="fr-CH"/>
        </w:rPr>
        <w:t>année suivante;</w:t>
      </w:r>
    </w:p>
    <w:p w14:paraId="6E28C6D9" w14:textId="77777777" w:rsidR="0022186F" w:rsidRDefault="009E38A4" w:rsidP="009E50AD">
      <w:pPr>
        <w:pStyle w:val="ListParagraph"/>
        <w:numPr>
          <w:ilvl w:val="0"/>
          <w:numId w:val="10"/>
        </w:numPr>
        <w:ind w:left="1134" w:hanging="567"/>
        <w:rPr>
          <w:lang w:val="fr-CH"/>
        </w:rPr>
      </w:pPr>
      <w:proofErr w:type="gramStart"/>
      <w:r>
        <w:rPr>
          <w:lang w:val="fr-CH"/>
        </w:rPr>
        <w:t>les</w:t>
      </w:r>
      <w:proofErr w:type="gramEnd"/>
      <w:r>
        <w:rPr>
          <w:lang w:val="fr-CH"/>
        </w:rPr>
        <w:t xml:space="preserve"> d</w:t>
      </w:r>
      <w:r w:rsidRPr="0066711E">
        <w:rPr>
          <w:lang w:val="fr-CH"/>
        </w:rPr>
        <w:t>ifficultés ou dépendances potentielles</w:t>
      </w:r>
      <w:r w:rsidRPr="00312DB6">
        <w:rPr>
          <w:lang w:val="fr-CH"/>
        </w:rPr>
        <w:t xml:space="preserve">; </w:t>
      </w:r>
      <w:r w:rsidR="00C95CF7">
        <w:rPr>
          <w:lang w:val="fr-CH"/>
        </w:rPr>
        <w:t xml:space="preserve"> </w:t>
      </w:r>
      <w:r w:rsidRPr="00312DB6">
        <w:rPr>
          <w:lang w:val="fr-CH"/>
        </w:rPr>
        <w:t>et</w:t>
      </w:r>
    </w:p>
    <w:p w14:paraId="2D615BCF" w14:textId="77777777" w:rsidR="009E38A4" w:rsidRPr="00312DB6" w:rsidRDefault="009E38A4" w:rsidP="009E50AD">
      <w:pPr>
        <w:pStyle w:val="ListParagraph"/>
        <w:numPr>
          <w:ilvl w:val="0"/>
          <w:numId w:val="10"/>
        </w:numPr>
        <w:spacing w:after="220"/>
        <w:ind w:left="1134" w:hanging="567"/>
        <w:rPr>
          <w:lang w:val="fr-CH"/>
        </w:rPr>
      </w:pPr>
      <w:proofErr w:type="gramStart"/>
      <w:r>
        <w:rPr>
          <w:lang w:val="fr-CH"/>
        </w:rPr>
        <w:t>l</w:t>
      </w:r>
      <w:r w:rsidR="0022186F">
        <w:rPr>
          <w:lang w:val="fr-CH"/>
        </w:rPr>
        <w:t>’</w:t>
      </w:r>
      <w:r w:rsidRPr="00312DB6">
        <w:rPr>
          <w:lang w:val="fr-CH"/>
        </w:rPr>
        <w:t>évaluation</w:t>
      </w:r>
      <w:proofErr w:type="gramEnd"/>
      <w:r w:rsidRPr="00312DB6">
        <w:rPr>
          <w:lang w:val="fr-CH"/>
        </w:rPr>
        <w:t xml:space="preserve"> des progrès accomplis.</w:t>
      </w:r>
    </w:p>
    <w:p w14:paraId="0B0BDA1C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Afin d</w:t>
      </w:r>
      <w:r w:rsidR="0022186F">
        <w:t>’</w:t>
      </w:r>
      <w:r w:rsidRPr="00E01392">
        <w:t>appuyer l</w:t>
      </w:r>
      <w:r w:rsidR="0022186F">
        <w:t>’</w:t>
      </w:r>
      <w:r w:rsidRPr="00E01392">
        <w:t>organisation et de soutenir les membres des équipes d</w:t>
      </w:r>
      <w:r w:rsidR="0022186F">
        <w:t>’</w:t>
      </w:r>
      <w:r w:rsidRPr="00E01392">
        <w:t xml:space="preserve">experts, le Secrétariat a diffusé le </w:t>
      </w:r>
      <w:r w:rsidR="0022186F">
        <w:t>“</w:t>
      </w:r>
      <w:r w:rsidR="0022186F" w:rsidRPr="00E01392">
        <w:t>C</w:t>
      </w:r>
      <w:r w:rsidRPr="00E01392">
        <w:t>alendrier des réunions relatives aux normes de l</w:t>
      </w:r>
      <w:r w:rsidR="0022186F">
        <w:t>’</w:t>
      </w:r>
      <w:r w:rsidRPr="00E01392">
        <w:t>OMPI pour 202</w:t>
      </w:r>
      <w:r w:rsidR="0022186F" w:rsidRPr="00E01392">
        <w:t>3</w:t>
      </w:r>
      <w:r w:rsidR="0022186F">
        <w:t>”</w:t>
      </w:r>
      <w:r w:rsidRPr="00E01392">
        <w:t xml:space="preserve"> dans la circulaire C.CWS</w:t>
      </w:r>
      <w:r w:rsidR="00503323">
        <w:t> </w:t>
      </w:r>
      <w:r w:rsidRPr="00E01392">
        <w:t>165 au début de l</w:t>
      </w:r>
      <w:r w:rsidR="0022186F">
        <w:t>’</w:t>
      </w:r>
      <w:r w:rsidRPr="00E01392">
        <w:t>année</w:t>
      </w:r>
      <w:r w:rsidR="00503323">
        <w:t> </w:t>
      </w:r>
      <w:r w:rsidRPr="00E01392">
        <w:t>2023, ainsi que les invitations aux réunions en ligne pertinentes.</w:t>
      </w:r>
    </w:p>
    <w:p w14:paraId="60BB29B4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À cette session, 12</w:t>
      </w:r>
      <w:r w:rsidR="00503323">
        <w:t> </w:t>
      </w:r>
      <w:r w:rsidRPr="00E01392">
        <w:t>équipes d</w:t>
      </w:r>
      <w:r w:rsidR="0022186F">
        <w:t>’</w:t>
      </w:r>
      <w:r w:rsidRPr="00E01392">
        <w:t>experts ont présenté leur rapport sur les activités et les progrès accomplis depuis la dernière session</w:t>
      </w:r>
      <w:r w:rsidR="0022186F" w:rsidRPr="00E01392">
        <w:t xml:space="preserve"> du</w:t>
      </w:r>
      <w:r w:rsidR="0022186F">
        <w:t> </w:t>
      </w:r>
      <w:r w:rsidR="0022186F" w:rsidRPr="00E01392">
        <w:t>CWS</w:t>
      </w:r>
      <w:r w:rsidRPr="00E01392">
        <w:t xml:space="preserve"> dans le cadre des tâches qui leur ont été confié</w:t>
      </w:r>
      <w:r w:rsidR="004A0454" w:rsidRPr="00E01392">
        <w:t>es</w:t>
      </w:r>
      <w:r w:rsidR="004A0454">
        <w:t xml:space="preserve">.  </w:t>
      </w:r>
      <w:r w:rsidR="004A0454" w:rsidRPr="00E01392">
        <w:t>Le</w:t>
      </w:r>
      <w:r w:rsidRPr="00E01392">
        <w:t>s progrès réalisés dans le cadre des tâches auxquelles aucune équipe d</w:t>
      </w:r>
      <w:r w:rsidR="0022186F">
        <w:t>’</w:t>
      </w:r>
      <w:r w:rsidRPr="00E01392">
        <w:t>experts n</w:t>
      </w:r>
      <w:r w:rsidR="0022186F">
        <w:t>’</w:t>
      </w:r>
      <w:r w:rsidRPr="00E01392">
        <w:t>est affectée sont indiqués dans l</w:t>
      </w:r>
      <w:r w:rsidR="0022186F">
        <w:t>’</w:t>
      </w:r>
      <w:r w:rsidRPr="00E01392">
        <w:t>annexe du présent document.</w:t>
      </w:r>
    </w:p>
    <w:p w14:paraId="073BCDD0" w14:textId="77777777" w:rsidR="009E38A4" w:rsidRPr="00312DB6" w:rsidRDefault="009E38A4" w:rsidP="009E50AD">
      <w:pPr>
        <w:pStyle w:val="Heading3"/>
      </w:pPr>
      <w:r w:rsidRPr="00312DB6">
        <w:lastRenderedPageBreak/>
        <w:t>Liste des tâches actuelles</w:t>
      </w:r>
    </w:p>
    <w:p w14:paraId="1C535BDD" w14:textId="77777777" w:rsidR="0022186F" w:rsidRDefault="009E38A4" w:rsidP="009E50AD">
      <w:pPr>
        <w:pStyle w:val="ONUMFS"/>
        <w:numPr>
          <w:ilvl w:val="0"/>
          <w:numId w:val="11"/>
        </w:numPr>
      </w:pPr>
      <w:r w:rsidRPr="00E01392">
        <w:t>Le Secrétariat a préparé une nouvelle liste de tâches révisée et soumise au CWS pour examen, qui figure à l</w:t>
      </w:r>
      <w:r w:rsidR="0022186F">
        <w:t>’</w:t>
      </w:r>
      <w:r w:rsidRPr="00E01392">
        <w:t>annexe du présent docume</w:t>
      </w:r>
      <w:r w:rsidR="004A0454" w:rsidRPr="00E01392">
        <w:t>nt</w:t>
      </w:r>
      <w:r w:rsidR="004A0454">
        <w:t xml:space="preserve">.  </w:t>
      </w:r>
      <w:r w:rsidR="004A0454" w:rsidRPr="00E01392">
        <w:t>Po</w:t>
      </w:r>
      <w:r w:rsidRPr="00E01392">
        <w:t>ur chacune des tâches, l</w:t>
      </w:r>
      <w:r w:rsidR="0022186F">
        <w:t>’</w:t>
      </w:r>
      <w:r w:rsidRPr="00E01392">
        <w:t>annexe contient les informations suivantes</w:t>
      </w:r>
      <w:r w:rsidR="0022186F">
        <w:t> :</w:t>
      </w:r>
    </w:p>
    <w:p w14:paraId="44F7E2B6" w14:textId="77777777" w:rsidR="0022186F" w:rsidRDefault="009E38A4" w:rsidP="009E50AD">
      <w:pPr>
        <w:pStyle w:val="ListParagraph"/>
        <w:numPr>
          <w:ilvl w:val="0"/>
          <w:numId w:val="9"/>
        </w:numPr>
        <w:ind w:left="1134" w:hanging="567"/>
        <w:rPr>
          <w:lang w:val="fr-CH"/>
        </w:rPr>
      </w:pPr>
      <w:proofErr w:type="gramStart"/>
      <w:r w:rsidRPr="00E01392">
        <w:rPr>
          <w:lang w:val="fr-CH"/>
        </w:rPr>
        <w:t>description</w:t>
      </w:r>
      <w:proofErr w:type="gramEnd"/>
      <w:r w:rsidRPr="00E01392">
        <w:rPr>
          <w:lang w:val="fr-CH"/>
        </w:rPr>
        <w:t xml:space="preserve"> de la tâche,</w:t>
      </w:r>
    </w:p>
    <w:p w14:paraId="74C12725" w14:textId="77777777" w:rsidR="0022186F" w:rsidRDefault="009E38A4" w:rsidP="009E50AD">
      <w:pPr>
        <w:pStyle w:val="ListParagraph"/>
        <w:numPr>
          <w:ilvl w:val="0"/>
          <w:numId w:val="9"/>
        </w:numPr>
        <w:ind w:left="1134" w:hanging="567"/>
        <w:rPr>
          <w:lang w:val="fr-CH"/>
        </w:rPr>
      </w:pPr>
      <w:proofErr w:type="gramStart"/>
      <w:r w:rsidRPr="00E01392">
        <w:rPr>
          <w:lang w:val="fr-CH"/>
        </w:rPr>
        <w:t>responsable</w:t>
      </w:r>
      <w:proofErr w:type="gramEnd"/>
      <w:r w:rsidRPr="00E01392">
        <w:rPr>
          <w:lang w:val="fr-CH"/>
        </w:rPr>
        <w:t xml:space="preserve"> de la tâche ou de l</w:t>
      </w:r>
      <w:r w:rsidR="0022186F">
        <w:rPr>
          <w:lang w:val="fr-CH"/>
        </w:rPr>
        <w:t>’</w:t>
      </w:r>
      <w:r w:rsidRPr="00E01392">
        <w:rPr>
          <w:lang w:val="fr-CH"/>
        </w:rPr>
        <w:t>équipe d</w:t>
      </w:r>
      <w:r w:rsidR="0022186F">
        <w:rPr>
          <w:lang w:val="fr-CH"/>
        </w:rPr>
        <w:t>’</w:t>
      </w:r>
      <w:r w:rsidRPr="00E01392">
        <w:rPr>
          <w:lang w:val="fr-CH"/>
        </w:rPr>
        <w:t>experts chargée de la tâche,</w:t>
      </w:r>
    </w:p>
    <w:p w14:paraId="3107BE23" w14:textId="77777777" w:rsidR="0022186F" w:rsidRDefault="009E38A4" w:rsidP="009E50AD">
      <w:pPr>
        <w:pStyle w:val="ListParagraph"/>
        <w:numPr>
          <w:ilvl w:val="0"/>
          <w:numId w:val="9"/>
        </w:numPr>
        <w:ind w:left="1134" w:hanging="567"/>
        <w:rPr>
          <w:lang w:val="fr-CH"/>
        </w:rPr>
      </w:pPr>
      <w:proofErr w:type="gramStart"/>
      <w:r w:rsidRPr="00E01392">
        <w:rPr>
          <w:lang w:val="fr-CH"/>
        </w:rPr>
        <w:t>actions</w:t>
      </w:r>
      <w:proofErr w:type="gramEnd"/>
      <w:r w:rsidRPr="00E01392">
        <w:rPr>
          <w:lang w:val="fr-CH"/>
        </w:rPr>
        <w:t xml:space="preserve"> à mener programmées,</w:t>
      </w:r>
    </w:p>
    <w:p w14:paraId="11161CC2" w14:textId="77777777" w:rsidR="0022186F" w:rsidRDefault="009E38A4" w:rsidP="009E50AD">
      <w:pPr>
        <w:pStyle w:val="ListParagraph"/>
        <w:numPr>
          <w:ilvl w:val="0"/>
          <w:numId w:val="9"/>
        </w:numPr>
        <w:ind w:left="1134" w:hanging="567"/>
        <w:rPr>
          <w:lang w:val="fr-CH"/>
        </w:rPr>
      </w:pPr>
      <w:proofErr w:type="gramStart"/>
      <w:r w:rsidRPr="00E01392">
        <w:rPr>
          <w:lang w:val="fr-CH"/>
        </w:rPr>
        <w:t>observations</w:t>
      </w:r>
      <w:proofErr w:type="gramEnd"/>
      <w:r w:rsidRPr="00E01392">
        <w:rPr>
          <w:lang w:val="fr-CH"/>
        </w:rPr>
        <w:t xml:space="preserve"> et,</w:t>
      </w:r>
    </w:p>
    <w:p w14:paraId="185A025D" w14:textId="77777777" w:rsidR="0022186F" w:rsidRDefault="009E38A4" w:rsidP="009E50AD">
      <w:pPr>
        <w:pStyle w:val="ListParagraph"/>
        <w:numPr>
          <w:ilvl w:val="0"/>
          <w:numId w:val="9"/>
        </w:numPr>
        <w:spacing w:after="220"/>
        <w:ind w:left="1134" w:hanging="567"/>
        <w:rPr>
          <w:lang w:val="fr-CH"/>
        </w:rPr>
      </w:pPr>
      <w:proofErr w:type="gramStart"/>
      <w:r w:rsidRPr="00E01392">
        <w:rPr>
          <w:lang w:val="fr-CH"/>
        </w:rPr>
        <w:t>le</w:t>
      </w:r>
      <w:proofErr w:type="gramEnd"/>
      <w:r w:rsidRPr="00E01392">
        <w:rPr>
          <w:lang w:val="fr-CH"/>
        </w:rPr>
        <w:t xml:space="preserve"> cas échéant, propositions soumises au CWS pour examen et décision.</w:t>
      </w:r>
    </w:p>
    <w:p w14:paraId="501972FD" w14:textId="78EC5427" w:rsidR="009E38A4" w:rsidRPr="00C85075" w:rsidRDefault="009E38A4" w:rsidP="009E50AD">
      <w:pPr>
        <w:pStyle w:val="ONUMFS"/>
        <w:numPr>
          <w:ilvl w:val="0"/>
          <w:numId w:val="11"/>
        </w:numPr>
      </w:pPr>
      <w:r w:rsidRPr="00E01392">
        <w:rPr>
          <w:rFonts w:eastAsia="Batang"/>
          <w:lang w:eastAsia="ko-KR"/>
        </w:rPr>
        <w:t>La liste des tâches actuelles en cours d</w:t>
      </w:r>
      <w:r w:rsidR="0022186F">
        <w:rPr>
          <w:rFonts w:eastAsia="Batang"/>
          <w:lang w:eastAsia="ko-KR"/>
        </w:rPr>
        <w:t>’</w:t>
      </w:r>
      <w:r w:rsidRPr="00E01392">
        <w:rPr>
          <w:rFonts w:eastAsia="Batang"/>
          <w:lang w:eastAsia="ko-KR"/>
        </w:rPr>
        <w:t>exécution est publiée sur le site</w:t>
      </w:r>
      <w:r w:rsidR="00C95CF7">
        <w:rPr>
          <w:rFonts w:eastAsia="Batang"/>
          <w:lang w:eastAsia="ko-KR"/>
        </w:rPr>
        <w:t> </w:t>
      </w:r>
      <w:r w:rsidRPr="00E01392">
        <w:rPr>
          <w:rFonts w:eastAsia="Batang"/>
          <w:lang w:eastAsia="ko-KR"/>
        </w:rPr>
        <w:t>Web de l</w:t>
      </w:r>
      <w:r w:rsidR="0022186F">
        <w:rPr>
          <w:rFonts w:eastAsia="Batang"/>
          <w:lang w:eastAsia="ko-KR"/>
        </w:rPr>
        <w:t>’</w:t>
      </w:r>
      <w:r w:rsidRPr="00E01392">
        <w:rPr>
          <w:rFonts w:eastAsia="Batang"/>
          <w:lang w:eastAsia="ko-KR"/>
        </w:rPr>
        <w:t>OMPI à l</w:t>
      </w:r>
      <w:r w:rsidR="0022186F">
        <w:rPr>
          <w:rFonts w:eastAsia="Batang"/>
          <w:lang w:eastAsia="ko-KR"/>
        </w:rPr>
        <w:t>’</w:t>
      </w:r>
      <w:r w:rsidRPr="00E01392">
        <w:rPr>
          <w:rFonts w:eastAsia="Batang"/>
          <w:lang w:eastAsia="ko-KR"/>
        </w:rPr>
        <w:t>adresse</w:t>
      </w:r>
      <w:r w:rsidR="0022186F">
        <w:rPr>
          <w:rFonts w:eastAsia="Batang"/>
          <w:lang w:eastAsia="ko-KR"/>
        </w:rPr>
        <w:t> :</w:t>
      </w:r>
      <w:r w:rsidRPr="00E01392">
        <w:rPr>
          <w:rFonts w:eastAsia="Batang"/>
          <w:lang w:eastAsia="ko-KR"/>
        </w:rPr>
        <w:t xml:space="preserve"> </w:t>
      </w:r>
      <w:r w:rsidRPr="00716237">
        <w:t>https://www.wipo.int/cws/fr/work</w:t>
      </w:r>
      <w:r w:rsidR="00503323">
        <w:noBreakHyphen/>
      </w:r>
      <w:r w:rsidRPr="00716237">
        <w:t>program.ht</w:t>
      </w:r>
      <w:r w:rsidR="004A0454" w:rsidRPr="00716237">
        <w:t>ml</w:t>
      </w:r>
      <w:r w:rsidR="004A0454">
        <w:t xml:space="preserve">.  </w:t>
      </w:r>
      <w:r w:rsidR="004A0454" w:rsidRPr="00E01392">
        <w:t>Le</w:t>
      </w:r>
      <w:r w:rsidRPr="00E01392">
        <w:t>s équipes d</w:t>
      </w:r>
      <w:r w:rsidR="0022186F">
        <w:t>’</w:t>
      </w:r>
      <w:r w:rsidRPr="00E01392">
        <w:t>experts du CWS, ainsi que de la documentation y relative, sont disponibles sur le site Web</w:t>
      </w:r>
      <w:r w:rsidR="00503323">
        <w:t> </w:t>
      </w:r>
      <w:r w:rsidRPr="00E01392">
        <w:t xml:space="preserve">: </w:t>
      </w:r>
      <w:hyperlink r:id="rId9" w:history="1">
        <w:r w:rsidRPr="00C85075">
          <w:rPr>
            <w:rStyle w:val="Hyperlink"/>
            <w:color w:val="auto"/>
          </w:rPr>
          <w:t>https://www.wipo.int/cws/en/taskforce/index.html</w:t>
        </w:r>
      </w:hyperlink>
      <w:r w:rsidRPr="00E01392">
        <w:t xml:space="preserve">. </w:t>
      </w:r>
      <w:r w:rsidR="00503323">
        <w:t xml:space="preserve"> </w:t>
      </w:r>
      <w:r w:rsidRPr="00E01392">
        <w:rPr>
          <w:rFonts w:eastAsia="Batang"/>
          <w:lang w:eastAsia="ko-KR"/>
        </w:rPr>
        <w:t>Ces</w:t>
      </w:r>
      <w:r w:rsidRPr="00E01392">
        <w:t xml:space="preserve"> informations seront revues et mises à jour après la onz</w:t>
      </w:r>
      <w:r w:rsidR="0022186F">
        <w:t>ième session</w:t>
      </w:r>
      <w:r w:rsidRPr="00E01392">
        <w:t xml:space="preserve"> du CWS, de façon à refléter tous les accords auxquels le CWS pourrait parven</w:t>
      </w:r>
      <w:r w:rsidR="004A0454" w:rsidRPr="00E01392">
        <w:t>ir</w:t>
      </w:r>
      <w:r w:rsidR="004A0454">
        <w:t xml:space="preserve">.  </w:t>
      </w:r>
      <w:r w:rsidR="004A0454" w:rsidRPr="00E01392">
        <w:t>Le</w:t>
      </w:r>
      <w:r w:rsidRPr="00E01392">
        <w:t xml:space="preserve"> Bureau international publiera une présentation générale mise à jour du programme de travail du CWS sur le site Web de l</w:t>
      </w:r>
      <w:r w:rsidR="0022186F">
        <w:t>’</w:t>
      </w:r>
      <w:r w:rsidRPr="00E01392">
        <w:t xml:space="preserve">OMPI à la page </w:t>
      </w:r>
      <w:hyperlink r:id="rId10" w:history="1">
        <w:r w:rsidRPr="00C85075">
          <w:rPr>
            <w:rStyle w:val="Hyperlink"/>
            <w:color w:val="auto"/>
          </w:rPr>
          <w:t>https://www.wipo.int/cws/</w:t>
        </w:r>
      </w:hyperlink>
      <w:r w:rsidRPr="00C85075">
        <w:rPr>
          <w:rStyle w:val="Hyperlink"/>
          <w:color w:val="auto"/>
        </w:rPr>
        <w:t>fr</w:t>
      </w:r>
      <w:r w:rsidRPr="00C85075">
        <w:t xml:space="preserve"> après la session.</w:t>
      </w:r>
    </w:p>
    <w:p w14:paraId="7B5D3F81" w14:textId="77777777" w:rsidR="009E38A4" w:rsidRPr="00E01392" w:rsidRDefault="009E50AD" w:rsidP="009E50AD">
      <w:pPr>
        <w:pStyle w:val="Heading2"/>
      </w:pPr>
      <w:r>
        <w:t>P</w:t>
      </w:r>
      <w:r w:rsidRPr="00E01392">
        <w:t>ropositions d</w:t>
      </w:r>
      <w:r>
        <w:t>’</w:t>
      </w:r>
      <w:r w:rsidRPr="00E01392">
        <w:t>actualisation du programme de travail</w:t>
      </w:r>
    </w:p>
    <w:p w14:paraId="435A31C6" w14:textId="77777777" w:rsidR="009E38A4" w:rsidRPr="00E01392" w:rsidRDefault="009E38A4" w:rsidP="009E50AD">
      <w:pPr>
        <w:pStyle w:val="Heading3"/>
      </w:pPr>
      <w:r w:rsidRPr="00E01392">
        <w:t>Fusion des tâches relatives aux normes</w:t>
      </w:r>
      <w:r w:rsidR="00C95CF7">
        <w:t> </w:t>
      </w:r>
      <w:r w:rsidRPr="00E01392">
        <w:t>XML</w:t>
      </w:r>
    </w:p>
    <w:p w14:paraId="763440C8" w14:textId="77777777" w:rsidR="0022186F" w:rsidRDefault="009E38A4" w:rsidP="009E50AD">
      <w:pPr>
        <w:pStyle w:val="ONUMFS"/>
        <w:numPr>
          <w:ilvl w:val="0"/>
          <w:numId w:val="11"/>
        </w:numPr>
      </w:pPr>
      <w:r w:rsidRPr="00E01392">
        <w:t>À la dix</w:t>
      </w:r>
      <w:r w:rsidR="0022186F">
        <w:t>ième session</w:t>
      </w:r>
      <w:r w:rsidR="0022186F" w:rsidRPr="00E01392">
        <w:t xml:space="preserve"> du</w:t>
      </w:r>
      <w:r w:rsidR="0022186F">
        <w:t> </w:t>
      </w:r>
      <w:r w:rsidR="0022186F" w:rsidRPr="00E01392">
        <w:t>CWS</w:t>
      </w:r>
      <w:r w:rsidRPr="00E01392">
        <w:t>, une délégation a demandé si les tâches n° 38 et n° 39 pouvaient être clôturées, dans la mesure où la tâche n° 33 portait déjà sur la révision des normes existantes, qui inclurait toute révision nécessaire des normes</w:t>
      </w:r>
      <w:r w:rsidR="00C95CF7">
        <w:t> </w:t>
      </w:r>
      <w:r w:rsidRPr="00E01392">
        <w:t>ST.36 et ST.66.</w:t>
      </w:r>
      <w:r w:rsidR="00C95CF7">
        <w:t xml:space="preserve"> </w:t>
      </w:r>
      <w:r w:rsidRPr="00E01392">
        <w:t xml:space="preserve"> Le Secrétariat a pris note de la demande et a proposé que chaque équipe d</w:t>
      </w:r>
      <w:r w:rsidR="0022186F">
        <w:t>’</w:t>
      </w:r>
      <w:r w:rsidRPr="00E01392">
        <w:t>experts examine la liste des tâches et formule des recommandations concernant les modifications qu</w:t>
      </w:r>
      <w:r w:rsidR="0022186F">
        <w:t>’</w:t>
      </w:r>
      <w:r w:rsidRPr="00E01392">
        <w:t>il serait nécessaire d</w:t>
      </w:r>
      <w:r w:rsidR="0022186F">
        <w:t>’</w:t>
      </w:r>
      <w:r w:rsidRPr="00E01392">
        <w:t>apporter au programme de travail à la session suivante du CWS.</w:t>
      </w:r>
    </w:p>
    <w:p w14:paraId="4DA64047" w14:textId="77777777" w:rsidR="0022186F" w:rsidRDefault="009E38A4" w:rsidP="009E50AD">
      <w:pPr>
        <w:pStyle w:val="ONUMFS"/>
        <w:numPr>
          <w:ilvl w:val="0"/>
          <w:numId w:val="11"/>
        </w:numPr>
      </w:pPr>
      <w:r w:rsidRPr="00312DB6">
        <w:t>Le Bureau international, en tant que responsable de</w:t>
      </w:r>
      <w:r w:rsidRPr="00E01392">
        <w:t xml:space="preserve"> l</w:t>
      </w:r>
      <w:r w:rsidR="0022186F">
        <w:t>’</w:t>
      </w:r>
      <w:r w:rsidRPr="00312DB6">
        <w:t>Équipe d</w:t>
      </w:r>
      <w:r w:rsidR="0022186F">
        <w:t>’</w:t>
      </w:r>
      <w:r w:rsidRPr="00312DB6">
        <w:t>experts chargée de la norme XML4IP</w:t>
      </w:r>
      <w:r w:rsidRPr="00E01392">
        <w:t xml:space="preserve"> et des Équipes d</w:t>
      </w:r>
      <w:r w:rsidR="0022186F">
        <w:t>’</w:t>
      </w:r>
      <w:r w:rsidRPr="00E01392">
        <w:t>experts chargées des normes</w:t>
      </w:r>
      <w:r w:rsidR="00C95CF7">
        <w:t> </w:t>
      </w:r>
      <w:r w:rsidRPr="00312DB6">
        <w:t>ST.36, ST.66 et ST.86, a consulté les membres des quatre</w:t>
      </w:r>
      <w:r w:rsidR="00C95CF7">
        <w:t> </w:t>
      </w:r>
      <w:r>
        <w:t>É</w:t>
      </w:r>
      <w:r w:rsidRPr="00312DB6">
        <w:t>quipes d</w:t>
      </w:r>
      <w:r w:rsidR="0022186F">
        <w:t>’</w:t>
      </w:r>
      <w:r w:rsidRPr="00312DB6">
        <w:t>experts</w:t>
      </w:r>
      <w:r w:rsidRPr="009F34BA">
        <w:t xml:space="preserve"> </w:t>
      </w:r>
      <w:r w:rsidRPr="00E01392">
        <w:t>chargées de</w:t>
      </w:r>
      <w:r>
        <w:t xml:space="preserve"> la</w:t>
      </w:r>
      <w:r w:rsidRPr="00E01392">
        <w:t xml:space="preserve"> norme</w:t>
      </w:r>
      <w:r w:rsidR="00C95CF7">
        <w:t> </w:t>
      </w:r>
      <w:r w:rsidRPr="00312DB6">
        <w:t xml:space="preserve">XML sur la manière de regrouper les activités de normalisation </w:t>
      </w:r>
      <w:r w:rsidRPr="00E01392">
        <w:t>y relatives</w:t>
      </w:r>
      <w:r w:rsidRPr="00312DB6">
        <w:t xml:space="preserve"> et de rationaliser les efforts visant à gérer la mise à jour des normes</w:t>
      </w:r>
      <w:r w:rsidR="00C95CF7">
        <w:t> </w:t>
      </w:r>
      <w:r w:rsidRPr="00312DB6">
        <w:t>XML ST.36, ST.66, ST.86 et ST.96</w:t>
      </w:r>
      <w:r w:rsidRPr="00E01392">
        <w:t xml:space="preserve"> de l</w:t>
      </w:r>
      <w:r w:rsidR="0022186F">
        <w:t>’</w:t>
      </w:r>
      <w:r w:rsidRPr="00E01392">
        <w:t>O</w:t>
      </w:r>
      <w:r w:rsidR="004A0454" w:rsidRPr="00E01392">
        <w:t>MPI</w:t>
      </w:r>
      <w:r w:rsidR="004A0454">
        <w:t xml:space="preserve">.  </w:t>
      </w:r>
      <w:r w:rsidR="004A0454" w:rsidRPr="00312DB6">
        <w:t>Il</w:t>
      </w:r>
      <w:r w:rsidRPr="00312DB6">
        <w:t xml:space="preserve"> convient de noter que, bien qu</w:t>
      </w:r>
      <w:r w:rsidR="0022186F">
        <w:t>’</w:t>
      </w:r>
      <w:r w:rsidRPr="00312DB6">
        <w:t>aucune révision des normes</w:t>
      </w:r>
      <w:r w:rsidR="00C95CF7">
        <w:t> </w:t>
      </w:r>
      <w:r w:rsidRPr="00312DB6">
        <w:t>ST.36, ST.66 et ST.86 de l</w:t>
      </w:r>
      <w:r w:rsidR="0022186F">
        <w:t>’</w:t>
      </w:r>
      <w:r w:rsidRPr="00312DB6">
        <w:t>OMPI n</w:t>
      </w:r>
      <w:r w:rsidR="0022186F">
        <w:t>’</w:t>
      </w:r>
      <w:r w:rsidRPr="00312DB6">
        <w:t>ait été proposée depuis longtemps, ces normes sont toujours utilisées dans de nombreux offices de propriété intellectuelle.</w:t>
      </w:r>
    </w:p>
    <w:p w14:paraId="7DFCB4F0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312DB6">
        <w:t>À l</w:t>
      </w:r>
      <w:r w:rsidR="0022186F">
        <w:t>’</w:t>
      </w:r>
      <w:r w:rsidRPr="00312DB6">
        <w:t>issue de la consultation, le Bureau international propose</w:t>
      </w:r>
      <w:r w:rsidR="0022186F">
        <w:t> :</w:t>
      </w:r>
    </w:p>
    <w:p w14:paraId="62B65086" w14:textId="77777777" w:rsidR="009E38A4" w:rsidRPr="00E01392" w:rsidRDefault="009E38A4" w:rsidP="00B76AA8">
      <w:pPr>
        <w:pStyle w:val="ONUMFS"/>
        <w:numPr>
          <w:ilvl w:val="0"/>
          <w:numId w:val="8"/>
        </w:numPr>
        <w:ind w:left="1134" w:hanging="567"/>
      </w:pPr>
      <w:proofErr w:type="gramStart"/>
      <w:r w:rsidRPr="00E01392">
        <w:t>de</w:t>
      </w:r>
      <w:proofErr w:type="gramEnd"/>
      <w:r w:rsidRPr="00E01392">
        <w:t xml:space="preserve"> transférer la responsabilité de </w:t>
      </w:r>
      <w:r>
        <w:t>la mise à jour</w:t>
      </w:r>
      <w:r w:rsidRPr="00E01392">
        <w:t xml:space="preserve"> des normes</w:t>
      </w:r>
      <w:r w:rsidR="00C95CF7">
        <w:t> </w:t>
      </w:r>
      <w:r w:rsidRPr="00E01392">
        <w:t>ST.36, ST.66 et ST.86 de l</w:t>
      </w:r>
      <w:r w:rsidR="0022186F">
        <w:t>’</w:t>
      </w:r>
      <w:r w:rsidRPr="00E01392">
        <w:t xml:space="preserve">OMPI à </w:t>
      </w:r>
      <w:r w:rsidRPr="00312DB6">
        <w:t>l</w:t>
      </w:r>
      <w:r w:rsidR="0022186F">
        <w:t>’</w:t>
      </w:r>
      <w:r w:rsidRPr="00312DB6">
        <w:t>Équipe d</w:t>
      </w:r>
      <w:r w:rsidR="0022186F">
        <w:t>’</w:t>
      </w:r>
      <w:r w:rsidRPr="00312DB6">
        <w:t>experts chargée de la norme XML4IP</w:t>
      </w:r>
      <w:r w:rsidRPr="00E01392">
        <w:t>;</w:t>
      </w:r>
    </w:p>
    <w:p w14:paraId="073C0FE8" w14:textId="77777777" w:rsidR="009E38A4" w:rsidRPr="00E01392" w:rsidRDefault="009E38A4" w:rsidP="00B76AA8">
      <w:pPr>
        <w:pStyle w:val="ONUMFS"/>
        <w:numPr>
          <w:ilvl w:val="0"/>
          <w:numId w:val="8"/>
        </w:numPr>
        <w:ind w:left="1134" w:hanging="567"/>
      </w:pPr>
      <w:proofErr w:type="gramStart"/>
      <w:r w:rsidRPr="00E01392">
        <w:t>afin</w:t>
      </w:r>
      <w:proofErr w:type="gramEnd"/>
      <w:r w:rsidRPr="00E01392">
        <w:t xml:space="preserve"> de tenir compte de cette nouvelle responsabilité confiée à </w:t>
      </w:r>
      <w:r w:rsidRPr="00312DB6">
        <w:t>l</w:t>
      </w:r>
      <w:r w:rsidR="0022186F">
        <w:t>’</w:t>
      </w:r>
      <w:r w:rsidRPr="00312DB6">
        <w:t>Équipe d</w:t>
      </w:r>
      <w:r w:rsidR="0022186F">
        <w:t>’</w:t>
      </w:r>
      <w:r w:rsidRPr="00312DB6">
        <w:t>experts chargée de la norme XML4IP</w:t>
      </w:r>
      <w:r w:rsidRPr="00E01392">
        <w:t>, de modifier la description de la tâche n°</w:t>
      </w:r>
      <w:r w:rsidR="00C95CF7">
        <w:t> </w:t>
      </w:r>
      <w:r w:rsidRPr="00E01392">
        <w:t>41</w:t>
      </w:r>
      <w:r w:rsidR="0022186F">
        <w:t> :</w:t>
      </w:r>
      <w:r w:rsidRPr="00E01392">
        <w:t xml:space="preserve"> </w:t>
      </w:r>
      <w:r w:rsidR="0022186F">
        <w:t>“</w:t>
      </w:r>
      <w:r w:rsidR="0022186F" w:rsidRPr="00E01392">
        <w:t>P</w:t>
      </w:r>
      <w:r w:rsidRPr="00E01392">
        <w:t>rocéder aux révisions et mises à jour nécessaires des normes</w:t>
      </w:r>
      <w:r w:rsidR="00C95CF7">
        <w:t> </w:t>
      </w:r>
      <w:r w:rsidRPr="00312DB6">
        <w:rPr>
          <w:u w:val="single"/>
        </w:rPr>
        <w:t>ST.36, ST.66, ST.86 et</w:t>
      </w:r>
      <w:r w:rsidRPr="00E01392">
        <w:t xml:space="preserve"> ST.96 de l</w:t>
      </w:r>
      <w:r w:rsidR="0022186F">
        <w:t>’</w:t>
      </w:r>
      <w:r w:rsidRPr="00E01392">
        <w:t>OMPI</w:t>
      </w:r>
      <w:r w:rsidR="00C95CF7">
        <w:t>;</w:t>
      </w:r>
      <w:r w:rsidR="00C95CF7">
        <w:rPr>
          <w:u w:val="single"/>
        </w:rPr>
        <w:t xml:space="preserve"> </w:t>
      </w:r>
      <w:r w:rsidRPr="00312DB6">
        <w:rPr>
          <w:u w:val="single"/>
        </w:rPr>
        <w:t xml:space="preserve"> et appuyer la mise en œuvre de ces norme</w:t>
      </w:r>
      <w:r w:rsidR="0022186F" w:rsidRPr="00312DB6">
        <w:rPr>
          <w:u w:val="single"/>
        </w:rPr>
        <w:t>s</w:t>
      </w:r>
      <w:r w:rsidR="0022186F">
        <w:rPr>
          <w:u w:val="single"/>
        </w:rPr>
        <w:t>”</w:t>
      </w:r>
      <w:r w:rsidRPr="00E01392">
        <w:t xml:space="preserve"> (le</w:t>
      </w:r>
      <w:r>
        <w:t xml:space="preserve"> texte </w:t>
      </w:r>
      <w:r w:rsidRPr="00E01392">
        <w:t xml:space="preserve">ajouté </w:t>
      </w:r>
      <w:r>
        <w:t>est</w:t>
      </w:r>
      <w:r w:rsidRPr="00E01392">
        <w:t xml:space="preserve"> souligné)</w:t>
      </w:r>
      <w:r w:rsidR="00C95CF7">
        <w:t xml:space="preserve">; </w:t>
      </w:r>
      <w:r w:rsidRPr="00E01392">
        <w:t xml:space="preserve"> et</w:t>
      </w:r>
    </w:p>
    <w:p w14:paraId="263AE7FD" w14:textId="77777777" w:rsidR="009E38A4" w:rsidRPr="00E01392" w:rsidRDefault="009E38A4" w:rsidP="00B76AA8">
      <w:pPr>
        <w:pStyle w:val="ONUMFS"/>
        <w:numPr>
          <w:ilvl w:val="0"/>
          <w:numId w:val="8"/>
        </w:numPr>
        <w:ind w:left="1134" w:hanging="567"/>
      </w:pPr>
      <w:proofErr w:type="gramStart"/>
      <w:r w:rsidRPr="00E01392">
        <w:t>de</w:t>
      </w:r>
      <w:proofErr w:type="gramEnd"/>
      <w:r w:rsidRPr="00E01392">
        <w:t xml:space="preserve"> suspendre les tâches n°</w:t>
      </w:r>
      <w:r w:rsidR="00C95CF7">
        <w:t> </w:t>
      </w:r>
      <w:r w:rsidRPr="00E01392">
        <w:t>38 (ST.36), n°</w:t>
      </w:r>
      <w:r w:rsidR="00C95CF7">
        <w:t> </w:t>
      </w:r>
      <w:r w:rsidRPr="00E01392">
        <w:t>39 (ST.66) et n°</w:t>
      </w:r>
      <w:r w:rsidR="00C95CF7">
        <w:t> </w:t>
      </w:r>
      <w:r w:rsidRPr="00E01392">
        <w:t>42 (ST.86)</w:t>
      </w:r>
      <w:r w:rsidR="0022186F" w:rsidRPr="00E01392">
        <w:t xml:space="preserve"> du</w:t>
      </w:r>
      <w:r w:rsidR="0022186F">
        <w:t> </w:t>
      </w:r>
      <w:r w:rsidR="0022186F" w:rsidRPr="00E01392">
        <w:t>CWS</w:t>
      </w:r>
      <w:r w:rsidRPr="00E01392">
        <w:t xml:space="preserve"> et les trois</w:t>
      </w:r>
      <w:r w:rsidR="00C95CF7">
        <w:t> </w:t>
      </w:r>
      <w:r w:rsidRPr="00E01392">
        <w:t>équipes d</w:t>
      </w:r>
      <w:r w:rsidR="0022186F">
        <w:t>’</w:t>
      </w:r>
      <w:r w:rsidRPr="00E01392">
        <w:t xml:space="preserve">experts </w:t>
      </w:r>
      <w:r>
        <w:t>chargées des normes</w:t>
      </w:r>
      <w:r w:rsidR="00C95CF7">
        <w:t> </w:t>
      </w:r>
      <w:r w:rsidRPr="00E01392">
        <w:t>ST.36, ST.66 et ST.86.</w:t>
      </w:r>
    </w:p>
    <w:p w14:paraId="3CE28AEF" w14:textId="77777777" w:rsidR="009E38A4" w:rsidRPr="00E01392" w:rsidRDefault="009E38A4" w:rsidP="00B76AA8">
      <w:pPr>
        <w:pStyle w:val="Heading3"/>
      </w:pPr>
      <w:r w:rsidRPr="00E01392">
        <w:lastRenderedPageBreak/>
        <w:t>Nouvelle tâche relative à la mise en œuvre de la norme ST.37 de l</w:t>
      </w:r>
      <w:r w:rsidR="0022186F">
        <w:t>’</w:t>
      </w:r>
      <w:r w:rsidRPr="00E01392">
        <w:t>OMPI</w:t>
      </w:r>
    </w:p>
    <w:p w14:paraId="59F8CB3D" w14:textId="77777777" w:rsidR="0022186F" w:rsidRDefault="009E38A4" w:rsidP="009E50AD">
      <w:pPr>
        <w:pStyle w:val="ONUMFS"/>
        <w:numPr>
          <w:ilvl w:val="0"/>
          <w:numId w:val="11"/>
        </w:numPr>
      </w:pPr>
      <w:r w:rsidRPr="00E01392">
        <w:t>Depuis l</w:t>
      </w:r>
      <w:r w:rsidR="0022186F">
        <w:t>’</w:t>
      </w:r>
      <w:r w:rsidRPr="00E01392">
        <w:t>adoption de la norme</w:t>
      </w:r>
      <w:r w:rsidR="00C95CF7">
        <w:t> </w:t>
      </w:r>
      <w:r w:rsidRPr="00E01392">
        <w:t>ST.37 de l</w:t>
      </w:r>
      <w:r w:rsidR="0022186F">
        <w:t>’</w:t>
      </w:r>
      <w:r w:rsidRPr="00E01392">
        <w:t>OMPI à la cinqu</w:t>
      </w:r>
      <w:r w:rsidR="0022186F">
        <w:t>ième session</w:t>
      </w:r>
      <w:r w:rsidR="0022186F" w:rsidRPr="00E01392">
        <w:t xml:space="preserve"> du</w:t>
      </w:r>
      <w:r w:rsidR="0022186F">
        <w:t> </w:t>
      </w:r>
      <w:r w:rsidR="0022186F" w:rsidRPr="00E01392">
        <w:t>CWS</w:t>
      </w:r>
      <w:r w:rsidRPr="00E01392">
        <w:t>, 30</w:t>
      </w:r>
      <w:r w:rsidR="00503323">
        <w:t> </w:t>
      </w:r>
      <w:r w:rsidRPr="00E01392">
        <w:t>offices ont fourni au Bureau international leurs fichiers d</w:t>
      </w:r>
      <w:r w:rsidR="0022186F">
        <w:t>’</w:t>
      </w:r>
      <w:r w:rsidRPr="00E01392">
        <w:t>autorités en matière de brevets, qui sont publiés sur le portail d</w:t>
      </w:r>
      <w:r w:rsidR="0022186F">
        <w:t>’</w:t>
      </w:r>
      <w:r w:rsidRPr="00E01392">
        <w:t>accès aux fichiers d</w:t>
      </w:r>
      <w:r w:rsidR="0022186F">
        <w:t>’</w:t>
      </w:r>
      <w:r w:rsidRPr="00E01392">
        <w:t>autorité de l</w:t>
      </w:r>
      <w:r w:rsidR="0022186F">
        <w:t>’</w:t>
      </w:r>
      <w:r w:rsidRPr="00E01392">
        <w:t>O</w:t>
      </w:r>
      <w:r w:rsidR="004A0454" w:rsidRPr="00E01392">
        <w:t>MPI</w:t>
      </w:r>
      <w:r w:rsidR="004A0454">
        <w:t xml:space="preserve">.  </w:t>
      </w:r>
      <w:r w:rsidR="004A0454" w:rsidRPr="00E01392">
        <w:t>Le</w:t>
      </w:r>
      <w:r w:rsidRPr="00E01392">
        <w:t xml:space="preserve"> nombre d</w:t>
      </w:r>
      <w:r w:rsidR="0022186F">
        <w:t>’</w:t>
      </w:r>
      <w:r w:rsidRPr="00E01392">
        <w:t xml:space="preserve">organisations participantes doit être considéré à la lumière de la base de données PATENTSCOPE, qui contient </w:t>
      </w:r>
      <w:r>
        <w:t>l</w:t>
      </w:r>
      <w:r w:rsidRPr="00E01392">
        <w:t>es collections de documents de brevet de 75</w:t>
      </w:r>
      <w:r w:rsidR="00503323">
        <w:t> </w:t>
      </w:r>
      <w:r w:rsidRPr="00E01392">
        <w:t>offices.</w:t>
      </w:r>
    </w:p>
    <w:p w14:paraId="3899C9E3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Compte tenu des accords conclus par l</w:t>
      </w:r>
      <w:r w:rsidR="0022186F">
        <w:t>’</w:t>
      </w:r>
      <w:r w:rsidRPr="00E01392">
        <w:t>Équipe d</w:t>
      </w:r>
      <w:r w:rsidR="0022186F">
        <w:t>’</w:t>
      </w:r>
      <w:r w:rsidRPr="00E01392">
        <w:t xml:space="preserve">experts </w:t>
      </w:r>
      <w:r>
        <w:t>chargée de</w:t>
      </w:r>
      <w:r w:rsidRPr="00E01392">
        <w:t xml:space="preserve"> la documentation minimale</w:t>
      </w:r>
      <w:r w:rsidR="0022186F" w:rsidRPr="00E01392">
        <w:t xml:space="preserve"> du</w:t>
      </w:r>
      <w:r w:rsidR="0022186F">
        <w:t> </w:t>
      </w:r>
      <w:r w:rsidR="0022186F" w:rsidRPr="00E01392">
        <w:t>PCT</w:t>
      </w:r>
      <w:r w:rsidRPr="00E01392">
        <w:t xml:space="preserve"> pour fournir un fichier d</w:t>
      </w:r>
      <w:r w:rsidR="0022186F">
        <w:t>’</w:t>
      </w:r>
      <w:r w:rsidRPr="00E01392">
        <w:t>autorité conforme à la norme ST.37 de l</w:t>
      </w:r>
      <w:r w:rsidR="0022186F">
        <w:t>’</w:t>
      </w:r>
      <w:r w:rsidRPr="00E01392">
        <w:t>OMPI, en plus de leur collection de documents de brevet numérisée, ainsi que des avantages connus des fichiers d</w:t>
      </w:r>
      <w:r w:rsidR="0022186F">
        <w:t>’</w:t>
      </w:r>
      <w:r w:rsidRPr="00E01392">
        <w:t>autorité en matière de brevets pour la validation de ces types de collections, le Bureau international propose la création d</w:t>
      </w:r>
      <w:r w:rsidR="0022186F">
        <w:t>’</w:t>
      </w:r>
      <w:r w:rsidRPr="00E01392">
        <w:t>une nouvelle tâche visant à encourager les offices de propriété intellectuelle à fournir au Bureau international leur fichier d</w:t>
      </w:r>
      <w:r w:rsidR="0022186F">
        <w:t>’</w:t>
      </w:r>
      <w:r w:rsidRPr="00E01392">
        <w:t>autorité en matière de brevets conforme à la norme</w:t>
      </w:r>
      <w:r w:rsidR="00C95CF7">
        <w:t> </w:t>
      </w:r>
      <w:r w:rsidRPr="00E01392">
        <w:t>ST.37 de l</w:t>
      </w:r>
      <w:r w:rsidR="0022186F">
        <w:t>’</w:t>
      </w:r>
      <w:r w:rsidRPr="00E01392">
        <w:t>O</w:t>
      </w:r>
      <w:r w:rsidR="004A0454" w:rsidRPr="00E01392">
        <w:t>MPI</w:t>
      </w:r>
      <w:r w:rsidR="004A0454">
        <w:t xml:space="preserve">.  </w:t>
      </w:r>
      <w:r w:rsidR="004A0454" w:rsidRPr="00E01392">
        <w:t>Un</w:t>
      </w:r>
      <w:r w:rsidRPr="00E01392">
        <w:t xml:space="preserve">e proposition </w:t>
      </w:r>
      <w:r>
        <w:t>exhaustive relative à</w:t>
      </w:r>
      <w:r w:rsidRPr="00E01392">
        <w:t xml:space="preserve"> la création de cette nouvelle tâche </w:t>
      </w:r>
      <w:r>
        <w:t>figure</w:t>
      </w:r>
      <w:r w:rsidRPr="00E01392">
        <w:t xml:space="preserve"> dans le document</w:t>
      </w:r>
      <w:r w:rsidR="00503323">
        <w:t> </w:t>
      </w:r>
      <w:r w:rsidRPr="00E01392">
        <w:t>CWS/11/15.</w:t>
      </w:r>
    </w:p>
    <w:p w14:paraId="7EE2E46D" w14:textId="77777777" w:rsidR="009E38A4" w:rsidRPr="00E01392" w:rsidRDefault="009E38A4" w:rsidP="00B76AA8">
      <w:pPr>
        <w:pStyle w:val="Heading3"/>
      </w:pPr>
      <w:r w:rsidRPr="00E01392">
        <w:t>Arrangement de travail pour</w:t>
      </w:r>
      <w:r>
        <w:t xml:space="preserve"> la</w:t>
      </w:r>
      <w:r w:rsidRPr="00E01392">
        <w:t xml:space="preserve"> mise à jour</w:t>
      </w:r>
      <w:r>
        <w:t xml:space="preserve"> de la </w:t>
      </w:r>
      <w:r w:rsidRPr="00E01392">
        <w:t>partie</w:t>
      </w:r>
      <w:r w:rsidR="00503323">
        <w:t> </w:t>
      </w:r>
      <w:r w:rsidRPr="00E01392">
        <w:t>6</w:t>
      </w:r>
      <w:r>
        <w:t xml:space="preserve"> du M</w:t>
      </w:r>
      <w:r w:rsidRPr="00E01392">
        <w:t>anuel de l</w:t>
      </w:r>
      <w:r w:rsidR="0022186F">
        <w:t>’</w:t>
      </w:r>
      <w:r w:rsidRPr="00E01392">
        <w:t>OMPI</w:t>
      </w:r>
    </w:p>
    <w:p w14:paraId="61621711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À sa dix</w:t>
      </w:r>
      <w:r w:rsidR="0022186F">
        <w:t>ième session</w:t>
      </w:r>
      <w:r w:rsidRPr="00E01392">
        <w:t>,</w:t>
      </w:r>
      <w:r w:rsidR="0022186F" w:rsidRPr="00E01392">
        <w:t xml:space="preserve"> le</w:t>
      </w:r>
      <w:r w:rsidR="0022186F">
        <w:t> </w:t>
      </w:r>
      <w:r w:rsidR="0022186F" w:rsidRPr="00E01392">
        <w:t>CWS</w:t>
      </w:r>
      <w:r w:rsidRPr="00E01392">
        <w:t xml:space="preserve"> a pris note des activités et du </w:t>
      </w:r>
      <w:r>
        <w:t>programme</w:t>
      </w:r>
      <w:r w:rsidRPr="00E01392">
        <w:t xml:space="preserve"> du Bureau international concernant la mise à jour du Manuel de l</w:t>
      </w:r>
      <w:r w:rsidR="0022186F">
        <w:t>’</w:t>
      </w:r>
      <w:r w:rsidRPr="00E01392">
        <w:t xml:space="preserve">OMPI, </w:t>
      </w:r>
      <w:r w:rsidR="0022186F">
        <w:t>y compris</w:t>
      </w:r>
      <w:r w:rsidRPr="00E01392">
        <w:t xml:space="preserve"> la mise à jour de la partie 6.1 </w:t>
      </w:r>
      <w:r w:rsidR="0022186F">
        <w:t>“</w:t>
      </w:r>
      <w:r w:rsidR="0022186F" w:rsidRPr="00312DB6">
        <w:rPr>
          <w:i/>
          <w:iCs/>
        </w:rPr>
        <w:t>C</w:t>
      </w:r>
      <w:r w:rsidRPr="00312DB6">
        <w:rPr>
          <w:i/>
          <w:iCs/>
        </w:rPr>
        <w:t>ontenu minimum recommandé pour les sites Web des offices de propriété intellectuelle</w:t>
      </w:r>
      <w:r w:rsidRPr="00E01392">
        <w:t>” (voir le document</w:t>
      </w:r>
      <w:r w:rsidR="00503323">
        <w:t> </w:t>
      </w:r>
      <w:r w:rsidRPr="00E01392">
        <w:t>CWS/10/ITEM</w:t>
      </w:r>
      <w:r w:rsidR="00503323">
        <w:t> </w:t>
      </w:r>
      <w:r w:rsidRPr="00E01392">
        <w:t>21 IB).  La mise à jour de la partie</w:t>
      </w:r>
      <w:r w:rsidR="00503323">
        <w:t> </w:t>
      </w:r>
      <w:r w:rsidRPr="00E01392">
        <w:t>6 du Manuel de l</w:t>
      </w:r>
      <w:r w:rsidR="0022186F">
        <w:t>’</w:t>
      </w:r>
      <w:r w:rsidRPr="00E01392">
        <w:t>OMPI est actuellement dirigée par l</w:t>
      </w:r>
      <w:r w:rsidR="0022186F">
        <w:t>’</w:t>
      </w:r>
      <w:r w:rsidRPr="00E01392">
        <w:t>Équipe d</w:t>
      </w:r>
      <w:r w:rsidR="0022186F">
        <w:t>’</w:t>
      </w:r>
      <w:r w:rsidRPr="00E01392">
        <w:t xml:space="preserve">experts </w:t>
      </w:r>
      <w:r>
        <w:t>chargée de</w:t>
      </w:r>
      <w:r w:rsidRPr="00E01392">
        <w:t xml:space="preserve"> la transformation numérique dans le cadre de la tâche n°</w:t>
      </w:r>
      <w:r w:rsidR="00C95CF7">
        <w:t> </w:t>
      </w:r>
      <w:r w:rsidRPr="00E01392">
        <w:t>62, dont la description est la suivante</w:t>
      </w:r>
      <w:r w:rsidR="0022186F">
        <w:t> :</w:t>
      </w:r>
    </w:p>
    <w:p w14:paraId="0B1BCF8E" w14:textId="77777777" w:rsidR="009E38A4" w:rsidRPr="00312DB6" w:rsidRDefault="0022186F" w:rsidP="009E50AD">
      <w:pPr>
        <w:spacing w:after="220"/>
        <w:ind w:left="567"/>
        <w:rPr>
          <w:rFonts w:eastAsia="Batang"/>
          <w:lang w:eastAsia="ko-KR"/>
        </w:rPr>
      </w:pPr>
      <w:r>
        <w:rPr>
          <w:rFonts w:eastAsia="Batang"/>
          <w:lang w:eastAsia="ko-KR"/>
        </w:rPr>
        <w:t>“</w:t>
      </w:r>
      <w:r w:rsidRPr="00312DB6">
        <w:rPr>
          <w:rFonts w:eastAsia="Batang"/>
          <w:lang w:eastAsia="ko-KR"/>
        </w:rPr>
        <w:t>E</w:t>
      </w:r>
      <w:r w:rsidR="009E38A4" w:rsidRPr="00312DB6">
        <w:rPr>
          <w:rFonts w:eastAsia="Batang"/>
          <w:lang w:eastAsia="ko-KR"/>
        </w:rPr>
        <w:t>xamen des normes ST.6, ST.8, ST.10, ST.11, ST.15, ST.17, ST.18, ST.63 et ST.81 de l</w:t>
      </w:r>
      <w:r>
        <w:rPr>
          <w:rFonts w:eastAsia="Batang"/>
          <w:lang w:eastAsia="ko-KR"/>
        </w:rPr>
        <w:t>’</w:t>
      </w:r>
      <w:r w:rsidR="009E38A4" w:rsidRPr="00312DB6">
        <w:rPr>
          <w:rFonts w:eastAsia="Batang"/>
          <w:lang w:eastAsia="ko-KR"/>
        </w:rPr>
        <w:t>OMPI et de la sixième partie du Manuel de l</w:t>
      </w:r>
      <w:r>
        <w:rPr>
          <w:rFonts w:eastAsia="Batang"/>
          <w:lang w:eastAsia="ko-KR"/>
        </w:rPr>
        <w:t>’</w:t>
      </w:r>
      <w:r w:rsidR="009E38A4" w:rsidRPr="00312DB6">
        <w:rPr>
          <w:rFonts w:eastAsia="Batang"/>
          <w:lang w:eastAsia="ko-KR"/>
        </w:rPr>
        <w:t>OMPI, au regard de la publication par voie électronique des documents relatifs à la propriété intellectuelle, et propositions de modification de ces normes et documents, le cas échéant.”</w:t>
      </w:r>
    </w:p>
    <w:p w14:paraId="44F62F09" w14:textId="77777777" w:rsidR="0022186F" w:rsidRDefault="009E38A4" w:rsidP="009E50AD">
      <w:pPr>
        <w:pStyle w:val="ONUMFS"/>
        <w:numPr>
          <w:ilvl w:val="0"/>
          <w:numId w:val="11"/>
        </w:numPr>
      </w:pPr>
      <w:r w:rsidRPr="00E01392">
        <w:t>L</w:t>
      </w:r>
      <w:r w:rsidR="0022186F">
        <w:t>’</w:t>
      </w:r>
      <w:r w:rsidRPr="00E01392">
        <w:t>Équipe d</w:t>
      </w:r>
      <w:r w:rsidR="0022186F">
        <w:t>’</w:t>
      </w:r>
      <w:r w:rsidRPr="00E01392">
        <w:t>experts chargée de l</w:t>
      </w:r>
      <w:r w:rsidR="0022186F">
        <w:t>’</w:t>
      </w:r>
      <w:r w:rsidRPr="00E01392">
        <w:t>accès public à l</w:t>
      </w:r>
      <w:r w:rsidR="0022186F">
        <w:t>’</w:t>
      </w:r>
      <w:r w:rsidRPr="00E01392">
        <w:t>information en matière de brevets a travaillé sur l</w:t>
      </w:r>
      <w:r w:rsidR="0022186F">
        <w:t>’</w:t>
      </w:r>
      <w:r w:rsidRPr="00E01392">
        <w:t>information en matière de brevets accessible au public, ce qui présente un intérêt pour la partie</w:t>
      </w:r>
      <w:r w:rsidR="00503323">
        <w:t> </w:t>
      </w:r>
      <w:r w:rsidRPr="00E01392">
        <w:t>6, dans le cadre de la tâche n°</w:t>
      </w:r>
      <w:r w:rsidR="00C95CF7">
        <w:t> </w:t>
      </w:r>
      <w:r w:rsidRPr="00E01392">
        <w:t>52, dont la description est la suivante</w:t>
      </w:r>
      <w:r w:rsidR="0022186F">
        <w:t> :</w:t>
      </w:r>
    </w:p>
    <w:p w14:paraId="33774BCE" w14:textId="77777777" w:rsidR="009E38A4" w:rsidRPr="00312DB6" w:rsidRDefault="0022186F" w:rsidP="009E50AD">
      <w:pPr>
        <w:spacing w:after="220"/>
        <w:ind w:left="567"/>
        <w:rPr>
          <w:rFonts w:eastAsia="Batang"/>
          <w:lang w:eastAsia="ko-KR"/>
        </w:rPr>
      </w:pPr>
      <w:r>
        <w:rPr>
          <w:rFonts w:eastAsia="Batang"/>
          <w:lang w:eastAsia="ko-KR"/>
        </w:rPr>
        <w:t>“</w:t>
      </w:r>
      <w:r w:rsidRPr="00312DB6">
        <w:rPr>
          <w:rFonts w:eastAsia="Batang"/>
          <w:lang w:eastAsia="ko-KR"/>
        </w:rPr>
        <w:t>É</w:t>
      </w:r>
      <w:r w:rsidR="009E38A4" w:rsidRPr="00312DB6">
        <w:rPr>
          <w:rFonts w:eastAsia="Batang"/>
          <w:lang w:eastAsia="ko-KR"/>
        </w:rPr>
        <w:t>laborer des recommandations relatives aux systèmes permettant de donner accès à l</w:t>
      </w:r>
      <w:r>
        <w:rPr>
          <w:rFonts w:eastAsia="Batang"/>
          <w:lang w:eastAsia="ko-KR"/>
        </w:rPr>
        <w:t>’</w:t>
      </w:r>
      <w:r w:rsidR="009E38A4" w:rsidRPr="00312DB6">
        <w:rPr>
          <w:rFonts w:eastAsia="Batang"/>
          <w:lang w:eastAsia="ko-KR"/>
        </w:rPr>
        <w:t>information en matière de brevets accessible au public des offices de propriété industriell</w:t>
      </w:r>
      <w:r w:rsidRPr="00312DB6">
        <w:rPr>
          <w:rFonts w:eastAsia="Batang"/>
          <w:lang w:eastAsia="ko-KR"/>
        </w:rPr>
        <w:t>e</w:t>
      </w:r>
      <w:r>
        <w:rPr>
          <w:rFonts w:eastAsia="Batang"/>
          <w:lang w:eastAsia="ko-KR"/>
        </w:rPr>
        <w:t>”</w:t>
      </w:r>
      <w:r w:rsidR="009E38A4" w:rsidRPr="00312DB6">
        <w:rPr>
          <w:rFonts w:eastAsia="Batang"/>
          <w:lang w:eastAsia="ko-KR"/>
        </w:rPr>
        <w:t>.</w:t>
      </w:r>
    </w:p>
    <w:p w14:paraId="02A3E805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Étant donné que plusieurs tâches sont confiées à l</w:t>
      </w:r>
      <w:r w:rsidR="0022186F">
        <w:t>’</w:t>
      </w:r>
      <w:r w:rsidRPr="00E01392">
        <w:t>Équipe d</w:t>
      </w:r>
      <w:r w:rsidR="0022186F">
        <w:t>’</w:t>
      </w:r>
      <w:r w:rsidRPr="00E01392">
        <w:t xml:space="preserve">experts </w:t>
      </w:r>
      <w:r>
        <w:t xml:space="preserve">chargée de la transformation </w:t>
      </w:r>
      <w:r w:rsidRPr="00E01392">
        <w:t>numérique et qu</w:t>
      </w:r>
      <w:r w:rsidR="0022186F">
        <w:t>’</w:t>
      </w:r>
      <w:r w:rsidRPr="00E01392">
        <w:t>aucune activité concrète n</w:t>
      </w:r>
      <w:r w:rsidR="0022186F">
        <w:t>’</w:t>
      </w:r>
      <w:r w:rsidRPr="00E01392">
        <w:t>est entreprise par l</w:t>
      </w:r>
      <w:r w:rsidR="0022186F">
        <w:t>’</w:t>
      </w:r>
      <w:r w:rsidRPr="00E01392">
        <w:t>Équipe d</w:t>
      </w:r>
      <w:r w:rsidR="0022186F">
        <w:t>’</w:t>
      </w:r>
      <w:r w:rsidRPr="00E01392">
        <w:t>experts chargée de l</w:t>
      </w:r>
      <w:r w:rsidR="0022186F">
        <w:t>’</w:t>
      </w:r>
      <w:r w:rsidRPr="00E01392">
        <w:t>accès public à l</w:t>
      </w:r>
      <w:r w:rsidR="0022186F">
        <w:t>’</w:t>
      </w:r>
      <w:r w:rsidRPr="00E01392">
        <w:t>information en matière de brevets, le Bureau international, en tant que responsable de l</w:t>
      </w:r>
      <w:r w:rsidR="0022186F">
        <w:t>’</w:t>
      </w:r>
      <w:r w:rsidRPr="00E01392">
        <w:t>Équipe d</w:t>
      </w:r>
      <w:r w:rsidR="0022186F">
        <w:t>’</w:t>
      </w:r>
      <w:r w:rsidRPr="00E01392">
        <w:t>experts chargée de l</w:t>
      </w:r>
      <w:r w:rsidR="0022186F">
        <w:t>’</w:t>
      </w:r>
      <w:r w:rsidRPr="00E01392">
        <w:t>accès public à l</w:t>
      </w:r>
      <w:r w:rsidR="0022186F">
        <w:t>’</w:t>
      </w:r>
      <w:r w:rsidRPr="00E01392">
        <w:t>information en matière de brevets, en consultation avec le responsable de l</w:t>
      </w:r>
      <w:r w:rsidR="0022186F">
        <w:t>’</w:t>
      </w:r>
      <w:r w:rsidRPr="00E01392">
        <w:t>Équipe d</w:t>
      </w:r>
      <w:r w:rsidR="0022186F">
        <w:t>’</w:t>
      </w:r>
      <w:r w:rsidRPr="00E01392">
        <w:t>experts chargée de la transformation numérique</w:t>
      </w:r>
      <w:r>
        <w:t xml:space="preserve"> et </w:t>
      </w:r>
      <w:r w:rsidRPr="00E01392">
        <w:t>l</w:t>
      </w:r>
      <w:r w:rsidR="0022186F">
        <w:t>’</w:t>
      </w:r>
      <w:r w:rsidRPr="00E01392">
        <w:t>Office des brevets et des marques des États</w:t>
      </w:r>
      <w:r w:rsidR="00503323">
        <w:noBreakHyphen/>
      </w:r>
      <w:r w:rsidRPr="00E01392">
        <w:t>Unis d</w:t>
      </w:r>
      <w:r w:rsidR="0022186F">
        <w:t>’</w:t>
      </w:r>
      <w:r w:rsidRPr="00E01392">
        <w:t>Amérique (USPTO), propose de transférer la responsabilité de la mise à jour de la partie 6 du Manuel de l</w:t>
      </w:r>
      <w:r w:rsidR="0022186F">
        <w:t>’</w:t>
      </w:r>
      <w:r w:rsidRPr="00E01392">
        <w:t>OMPI à l</w:t>
      </w:r>
      <w:r w:rsidR="0022186F">
        <w:t>’</w:t>
      </w:r>
      <w:r w:rsidRPr="00E01392">
        <w:t>Équipe d</w:t>
      </w:r>
      <w:r w:rsidR="0022186F">
        <w:t>’</w:t>
      </w:r>
      <w:r w:rsidRPr="00E01392">
        <w:t>experts chargée de l</w:t>
      </w:r>
      <w:r w:rsidR="0022186F">
        <w:t>’</w:t>
      </w:r>
      <w:r w:rsidRPr="00E01392">
        <w:t>accès public à l</w:t>
      </w:r>
      <w:r w:rsidR="0022186F">
        <w:t>’</w:t>
      </w:r>
      <w:r w:rsidRPr="00E01392">
        <w:t>information en matière de brevets et non plus à l</w:t>
      </w:r>
      <w:r w:rsidR="0022186F">
        <w:t>’</w:t>
      </w:r>
      <w:r w:rsidRPr="00E01392">
        <w:t>Équipe d</w:t>
      </w:r>
      <w:r w:rsidR="0022186F">
        <w:t>’</w:t>
      </w:r>
      <w:r w:rsidRPr="00E01392">
        <w:t>experts chargée de la transformation numérique.</w:t>
      </w:r>
    </w:p>
    <w:p w14:paraId="6508B48C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Les révisions des descriptions des tâches n°</w:t>
      </w:r>
      <w:r w:rsidR="00C95CF7">
        <w:t> </w:t>
      </w:r>
      <w:r w:rsidRPr="00E01392">
        <w:t>52 et n°</w:t>
      </w:r>
      <w:r w:rsidR="00C95CF7">
        <w:t> </w:t>
      </w:r>
      <w:r w:rsidRPr="00E01392">
        <w:t>62 sont proposées dans les rapports des équipes d</w:t>
      </w:r>
      <w:r w:rsidR="0022186F">
        <w:t>’</w:t>
      </w:r>
      <w:r w:rsidRPr="00E01392">
        <w:t>experts respectiv</w:t>
      </w:r>
      <w:r w:rsidR="004A0454" w:rsidRPr="00E01392">
        <w:t>es</w:t>
      </w:r>
      <w:r w:rsidR="004A0454">
        <w:t xml:space="preserve">.  </w:t>
      </w:r>
      <w:r w:rsidR="004A0454" w:rsidRPr="00E01392">
        <w:t>Le</w:t>
      </w:r>
      <w:r w:rsidRPr="00E01392">
        <w:t>s documents</w:t>
      </w:r>
      <w:r w:rsidR="00503323">
        <w:t> </w:t>
      </w:r>
      <w:r w:rsidRPr="00E01392">
        <w:t>CWS/11/12 et CWS/11/11 contiennent de plus amples informations sur ces propositions.</w:t>
      </w:r>
    </w:p>
    <w:p w14:paraId="1A034990" w14:textId="77777777" w:rsidR="009E38A4" w:rsidRPr="00312DB6" w:rsidRDefault="009E38A4" w:rsidP="00B76AA8">
      <w:pPr>
        <w:pStyle w:val="Heading3"/>
      </w:pPr>
      <w:r w:rsidRPr="00312DB6">
        <w:t>Examen de la tâche n°</w:t>
      </w:r>
      <w:r w:rsidR="00C95CF7">
        <w:t> </w:t>
      </w:r>
      <w:r w:rsidRPr="00312DB6">
        <w:t>24 – Rapports techniques annuels</w:t>
      </w:r>
    </w:p>
    <w:p w14:paraId="0B29D69B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À sa neuv</w:t>
      </w:r>
      <w:r w:rsidR="0022186F">
        <w:t>ième session</w:t>
      </w:r>
      <w:r w:rsidRPr="00E01392">
        <w:t xml:space="preserve">, le CWS </w:t>
      </w:r>
      <w:r>
        <w:t>est convenu d</w:t>
      </w:r>
      <w:r w:rsidR="0022186F">
        <w:t>’</w:t>
      </w:r>
      <w:r>
        <w:t xml:space="preserve">utiliser </w:t>
      </w:r>
      <w:r w:rsidRPr="00E01392">
        <w:t xml:space="preserve">un processus simplifié pour les rapports techniques annuels pendant trois ans, puis </w:t>
      </w:r>
      <w:r>
        <w:t>d</w:t>
      </w:r>
      <w:r w:rsidR="0022186F">
        <w:t>’</w:t>
      </w:r>
      <w:r>
        <w:t>examiner la question de savoir s</w:t>
      </w:r>
      <w:r w:rsidR="0022186F">
        <w:t>’</w:t>
      </w:r>
      <w:r>
        <w:t>il convient d</w:t>
      </w:r>
      <w:r w:rsidR="0022186F">
        <w:t>’</w:t>
      </w:r>
      <w:r w:rsidRPr="00E01392">
        <w:t xml:space="preserve">arrêter la compilation des rapports techniques annuels (voir les paragraphes 97 à </w:t>
      </w:r>
      <w:r w:rsidRPr="00E01392">
        <w:lastRenderedPageBreak/>
        <w:t>105 du document</w:t>
      </w:r>
      <w:r w:rsidR="00503323">
        <w:t> </w:t>
      </w:r>
      <w:r w:rsidRPr="00E01392">
        <w:t xml:space="preserve">CWS/9/25). </w:t>
      </w:r>
      <w:r w:rsidR="00C95CF7">
        <w:t xml:space="preserve"> </w:t>
      </w:r>
      <w:r w:rsidRPr="00E01392">
        <w:t xml:space="preserve">Les offices de propriété intellectuelle ont été invités à communiquer leurs rapports techniques annuels </w:t>
      </w:r>
      <w:r w:rsidR="0022186F" w:rsidRPr="00E01392">
        <w:t>pour</w:t>
      </w:r>
      <w:r w:rsidR="0022186F">
        <w:t> </w:t>
      </w:r>
      <w:r w:rsidR="0022186F" w:rsidRPr="00E01392">
        <w:t>2022</w:t>
      </w:r>
      <w:r w:rsidRPr="00E01392">
        <w:t xml:space="preserve"> </w:t>
      </w:r>
      <w:r>
        <w:t>dans l</w:t>
      </w:r>
      <w:r w:rsidRPr="00E01392">
        <w:t>e</w:t>
      </w:r>
      <w:r>
        <w:t>s</w:t>
      </w:r>
      <w:r w:rsidRPr="00E01392">
        <w:t xml:space="preserve"> circulaires C.CWS</w:t>
      </w:r>
      <w:r w:rsidR="00503323">
        <w:t> </w:t>
      </w:r>
      <w:r w:rsidRPr="00E01392">
        <w:t>166, 167 et 168 et le processus simplifié pour les rapports techniques annuels est mis en œuvre pour la deuxième année consécuti</w:t>
      </w:r>
      <w:r w:rsidR="004A0454" w:rsidRPr="00E01392">
        <w:t>ve</w:t>
      </w:r>
      <w:r w:rsidR="004A0454">
        <w:t>.  À</w:t>
      </w:r>
      <w:r w:rsidR="004A0454" w:rsidRPr="00E01392">
        <w:t xml:space="preserve"> </w:t>
      </w:r>
      <w:r w:rsidRPr="00E01392">
        <w:t>sa 12e</w:t>
      </w:r>
      <w:r w:rsidR="00503323">
        <w:t> </w:t>
      </w:r>
      <w:r w:rsidRPr="00E01392">
        <w:t>session,</w:t>
      </w:r>
      <w:r w:rsidR="0022186F" w:rsidRPr="00E01392">
        <w:t xml:space="preserve"> le</w:t>
      </w:r>
      <w:r w:rsidR="0022186F">
        <w:t> </w:t>
      </w:r>
      <w:r w:rsidR="0022186F" w:rsidRPr="00E01392">
        <w:t>CWS</w:t>
      </w:r>
      <w:r w:rsidRPr="00E01392">
        <w:t xml:space="preserve"> examinera </w:t>
      </w:r>
      <w:r>
        <w:t>la question de savoir s</w:t>
      </w:r>
      <w:r w:rsidR="0022186F">
        <w:t>’</w:t>
      </w:r>
      <w:r>
        <w:t>il convient</w:t>
      </w:r>
      <w:r w:rsidRPr="00E01392">
        <w:t xml:space="preserve"> d</w:t>
      </w:r>
      <w:r w:rsidR="0022186F">
        <w:t>’</w:t>
      </w:r>
      <w:r w:rsidRPr="00E01392">
        <w:t>arrêter la compilation des rapports techniques annuels</w:t>
      </w:r>
      <w:r>
        <w:t xml:space="preserve"> et rendra une décision à cet égard</w:t>
      </w:r>
      <w:r w:rsidRPr="00E01392">
        <w:t>.</w:t>
      </w:r>
    </w:p>
    <w:p w14:paraId="5F1AC21D" w14:textId="77777777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Il convient de noter que 24</w:t>
      </w:r>
      <w:r w:rsidR="00503323">
        <w:t> </w:t>
      </w:r>
      <w:r w:rsidRPr="00E01392">
        <w:t xml:space="preserve">offices ont communiqué leurs rapports techniques annuels </w:t>
      </w:r>
      <w:r w:rsidR="0022186F" w:rsidRPr="00E01392">
        <w:t>pour</w:t>
      </w:r>
      <w:r w:rsidR="0022186F">
        <w:t> </w:t>
      </w:r>
      <w:r w:rsidR="0022186F" w:rsidRPr="00E01392">
        <w:t>2022</w:t>
      </w:r>
      <w:r>
        <w:t>,</w:t>
      </w:r>
      <w:r w:rsidRPr="00E01392">
        <w:t xml:space="preserve"> tandis que 17</w:t>
      </w:r>
      <w:r w:rsidR="00503323">
        <w:t> </w:t>
      </w:r>
      <w:r w:rsidRPr="00E01392">
        <w:t xml:space="preserve">offices ont participé aux rapports techniques annuels </w:t>
      </w:r>
      <w:r w:rsidR="0022186F" w:rsidRPr="00E01392">
        <w:t>pour</w:t>
      </w:r>
      <w:r w:rsidR="0022186F">
        <w:t> </w:t>
      </w:r>
      <w:r w:rsidR="0022186F" w:rsidRPr="00E01392">
        <w:t>2021</w:t>
      </w:r>
      <w:r w:rsidRPr="00E01392">
        <w:t xml:space="preserve"> au cours de l</w:t>
      </w:r>
      <w:r w:rsidR="0022186F">
        <w:t>’</w:t>
      </w:r>
      <w:r w:rsidRPr="00E01392">
        <w:t>année</w:t>
      </w:r>
      <w:r w:rsidR="00503323">
        <w:t> </w:t>
      </w:r>
      <w:r w:rsidRPr="00E01392">
        <w:t>2022.  Le tableau ci</w:t>
      </w:r>
      <w:r w:rsidR="00503323">
        <w:noBreakHyphen/>
      </w:r>
      <w:r w:rsidRPr="00E01392">
        <w:t>dessous donne de plus amples informations concernant les chiffres propres à chaque type de droit de propriété intellectuelle</w:t>
      </w:r>
      <w:r w:rsidR="0022186F">
        <w:t> :</w:t>
      </w:r>
    </w:p>
    <w:tbl>
      <w:tblPr>
        <w:tblStyle w:val="TableGrid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38A4" w:rsidRPr="00E01392" w14:paraId="6D1320C1" w14:textId="77777777" w:rsidTr="001602F7">
        <w:tc>
          <w:tcPr>
            <w:tcW w:w="3115" w:type="dxa"/>
          </w:tcPr>
          <w:p w14:paraId="2095A928" w14:textId="77777777" w:rsidR="009E38A4" w:rsidRPr="00312DB6" w:rsidRDefault="009E38A4" w:rsidP="009E50AD">
            <w:pPr>
              <w:jc w:val="center"/>
              <w:rPr>
                <w:szCs w:val="22"/>
              </w:rPr>
            </w:pPr>
            <w:r w:rsidRPr="00E01392">
              <w:t>Type de rapport technique annuel</w:t>
            </w:r>
          </w:p>
        </w:tc>
        <w:tc>
          <w:tcPr>
            <w:tcW w:w="3115" w:type="dxa"/>
          </w:tcPr>
          <w:p w14:paraId="2887161C" w14:textId="77777777" w:rsidR="009E38A4" w:rsidRPr="00312DB6" w:rsidRDefault="009E38A4" w:rsidP="009E50AD">
            <w:pPr>
              <w:jc w:val="center"/>
              <w:rPr>
                <w:szCs w:val="22"/>
              </w:rPr>
            </w:pPr>
            <w:r w:rsidRPr="00E01392">
              <w:t>Activités</w:t>
            </w:r>
            <w:r w:rsidR="00503323">
              <w:t> </w:t>
            </w:r>
            <w:r w:rsidRPr="00E01392">
              <w:t>2022</w:t>
            </w:r>
          </w:p>
        </w:tc>
        <w:tc>
          <w:tcPr>
            <w:tcW w:w="3115" w:type="dxa"/>
          </w:tcPr>
          <w:p w14:paraId="6167FAF3" w14:textId="77777777" w:rsidR="009E38A4" w:rsidRPr="00312DB6" w:rsidRDefault="009E38A4" w:rsidP="009E50AD">
            <w:pPr>
              <w:jc w:val="center"/>
              <w:rPr>
                <w:szCs w:val="22"/>
              </w:rPr>
            </w:pPr>
            <w:r w:rsidRPr="00E01392">
              <w:t>Activités</w:t>
            </w:r>
            <w:r w:rsidR="00503323">
              <w:t> </w:t>
            </w:r>
            <w:r w:rsidRPr="00E01392">
              <w:t>2021</w:t>
            </w:r>
          </w:p>
        </w:tc>
      </w:tr>
      <w:tr w:rsidR="009E38A4" w:rsidRPr="00E01392" w14:paraId="2AC6E597" w14:textId="77777777" w:rsidTr="001602F7">
        <w:tc>
          <w:tcPr>
            <w:tcW w:w="3115" w:type="dxa"/>
          </w:tcPr>
          <w:p w14:paraId="11DC7C36" w14:textId="77777777" w:rsidR="009E38A4" w:rsidRPr="00312DB6" w:rsidRDefault="009E38A4" w:rsidP="009E50AD">
            <w:pPr>
              <w:rPr>
                <w:szCs w:val="22"/>
              </w:rPr>
            </w:pPr>
            <w:r w:rsidRPr="00E01392">
              <w:t>Information en matière de dessins et modèles industriels</w:t>
            </w:r>
          </w:p>
        </w:tc>
        <w:tc>
          <w:tcPr>
            <w:tcW w:w="3115" w:type="dxa"/>
          </w:tcPr>
          <w:p w14:paraId="5295CCE7" w14:textId="77777777" w:rsidR="009E38A4" w:rsidRPr="00312DB6" w:rsidRDefault="009E38A4" w:rsidP="009E50AD">
            <w:pPr>
              <w:jc w:val="center"/>
              <w:rPr>
                <w:szCs w:val="22"/>
              </w:rPr>
            </w:pPr>
            <w:r w:rsidRPr="00312DB6">
              <w:rPr>
                <w:szCs w:val="22"/>
              </w:rPr>
              <w:t>18</w:t>
            </w:r>
          </w:p>
        </w:tc>
        <w:tc>
          <w:tcPr>
            <w:tcW w:w="3115" w:type="dxa"/>
          </w:tcPr>
          <w:p w14:paraId="57E296FA" w14:textId="77777777" w:rsidR="009E38A4" w:rsidRPr="00312DB6" w:rsidRDefault="009E38A4" w:rsidP="009E50AD">
            <w:pPr>
              <w:jc w:val="center"/>
              <w:rPr>
                <w:szCs w:val="22"/>
              </w:rPr>
            </w:pPr>
            <w:r w:rsidRPr="00312DB6">
              <w:rPr>
                <w:szCs w:val="22"/>
              </w:rPr>
              <w:t>15</w:t>
            </w:r>
          </w:p>
        </w:tc>
      </w:tr>
      <w:tr w:rsidR="009E38A4" w:rsidRPr="00E01392" w14:paraId="77AA74BB" w14:textId="77777777" w:rsidTr="001602F7">
        <w:tc>
          <w:tcPr>
            <w:tcW w:w="3115" w:type="dxa"/>
          </w:tcPr>
          <w:p w14:paraId="2B62937F" w14:textId="77777777" w:rsidR="009E38A4" w:rsidRPr="00312DB6" w:rsidRDefault="009E38A4" w:rsidP="009E50AD">
            <w:pPr>
              <w:rPr>
                <w:szCs w:val="22"/>
              </w:rPr>
            </w:pPr>
            <w:r w:rsidRPr="00E01392">
              <w:t>Information en matière de brevets</w:t>
            </w:r>
          </w:p>
        </w:tc>
        <w:tc>
          <w:tcPr>
            <w:tcW w:w="3115" w:type="dxa"/>
          </w:tcPr>
          <w:p w14:paraId="7FC1271B" w14:textId="77777777" w:rsidR="009E38A4" w:rsidRPr="00312DB6" w:rsidRDefault="009E38A4" w:rsidP="009E50AD">
            <w:pPr>
              <w:jc w:val="center"/>
              <w:rPr>
                <w:szCs w:val="22"/>
              </w:rPr>
            </w:pPr>
            <w:r w:rsidRPr="00312DB6">
              <w:rPr>
                <w:szCs w:val="22"/>
              </w:rPr>
              <w:t>17</w:t>
            </w:r>
          </w:p>
        </w:tc>
        <w:tc>
          <w:tcPr>
            <w:tcW w:w="3115" w:type="dxa"/>
          </w:tcPr>
          <w:p w14:paraId="30062AF3" w14:textId="77777777" w:rsidR="009E38A4" w:rsidRPr="00312DB6" w:rsidRDefault="009E38A4" w:rsidP="009E50AD">
            <w:pPr>
              <w:jc w:val="center"/>
              <w:rPr>
                <w:szCs w:val="22"/>
              </w:rPr>
            </w:pPr>
            <w:r w:rsidRPr="00312DB6">
              <w:rPr>
                <w:szCs w:val="22"/>
              </w:rPr>
              <w:t>17</w:t>
            </w:r>
          </w:p>
        </w:tc>
      </w:tr>
      <w:tr w:rsidR="009E38A4" w:rsidRPr="00E01392" w14:paraId="6C0B855D" w14:textId="77777777" w:rsidTr="001602F7">
        <w:tc>
          <w:tcPr>
            <w:tcW w:w="3115" w:type="dxa"/>
          </w:tcPr>
          <w:p w14:paraId="614D1C92" w14:textId="77777777" w:rsidR="009E38A4" w:rsidRPr="00E01392" w:rsidRDefault="009E38A4" w:rsidP="009E50AD">
            <w:pPr>
              <w:pStyle w:val="ONUMFS"/>
              <w:numPr>
                <w:ilvl w:val="0"/>
                <w:numId w:val="0"/>
              </w:numPr>
              <w:spacing w:after="0"/>
            </w:pPr>
            <w:r w:rsidRPr="00E01392">
              <w:t>Information en matière de marques</w:t>
            </w:r>
          </w:p>
        </w:tc>
        <w:tc>
          <w:tcPr>
            <w:tcW w:w="3115" w:type="dxa"/>
          </w:tcPr>
          <w:p w14:paraId="664E09F1" w14:textId="77777777" w:rsidR="009E38A4" w:rsidRPr="00312DB6" w:rsidRDefault="009E38A4" w:rsidP="009E50AD">
            <w:pPr>
              <w:jc w:val="center"/>
              <w:rPr>
                <w:szCs w:val="22"/>
              </w:rPr>
            </w:pPr>
            <w:r w:rsidRPr="00312DB6">
              <w:rPr>
                <w:szCs w:val="22"/>
              </w:rPr>
              <w:t>18</w:t>
            </w:r>
          </w:p>
        </w:tc>
        <w:tc>
          <w:tcPr>
            <w:tcW w:w="3115" w:type="dxa"/>
          </w:tcPr>
          <w:p w14:paraId="5AE05AE2" w14:textId="77777777" w:rsidR="009E38A4" w:rsidRPr="00312DB6" w:rsidRDefault="009E38A4" w:rsidP="009E50AD">
            <w:pPr>
              <w:jc w:val="center"/>
              <w:rPr>
                <w:szCs w:val="22"/>
              </w:rPr>
            </w:pPr>
            <w:r w:rsidRPr="00312DB6">
              <w:rPr>
                <w:szCs w:val="22"/>
              </w:rPr>
              <w:t>15</w:t>
            </w:r>
          </w:p>
        </w:tc>
      </w:tr>
    </w:tbl>
    <w:p w14:paraId="110824E4" w14:textId="77777777" w:rsidR="009E38A4" w:rsidRPr="00E01392" w:rsidRDefault="00B76AA8" w:rsidP="00B76AA8">
      <w:pPr>
        <w:pStyle w:val="Heading2"/>
      </w:pPr>
      <w:r>
        <w:t>P</w:t>
      </w:r>
      <w:r w:rsidRPr="00E01392">
        <w:t>roposition de questionnaire d</w:t>
      </w:r>
      <w:r>
        <w:t>’</w:t>
      </w:r>
      <w:r w:rsidRPr="00E01392">
        <w:t>enquête sur la définition de l</w:t>
      </w:r>
      <w:r>
        <w:t>’</w:t>
      </w:r>
      <w:r w:rsidRPr="00E01392">
        <w:t>ordre de priorité des tâches</w:t>
      </w:r>
    </w:p>
    <w:p w14:paraId="007C0C15" w14:textId="2FF96D7D" w:rsidR="009E38A4" w:rsidRPr="00E01392" w:rsidRDefault="009E38A4" w:rsidP="009E50AD">
      <w:pPr>
        <w:pStyle w:val="ONUMFS"/>
        <w:numPr>
          <w:ilvl w:val="0"/>
          <w:numId w:val="11"/>
        </w:numPr>
      </w:pPr>
      <w:r w:rsidRPr="00E01392">
        <w:t>Comme l</w:t>
      </w:r>
      <w:r w:rsidR="0022186F">
        <w:t>’</w:t>
      </w:r>
      <w:r w:rsidRPr="00E01392">
        <w:t>a demandé</w:t>
      </w:r>
      <w:r w:rsidR="0022186F" w:rsidRPr="00E01392">
        <w:t xml:space="preserve"> le</w:t>
      </w:r>
      <w:r w:rsidR="0022186F">
        <w:t> </w:t>
      </w:r>
      <w:r w:rsidR="0022186F" w:rsidRPr="00E01392">
        <w:t>CWS</w:t>
      </w:r>
      <w:r w:rsidRPr="00E01392">
        <w:t xml:space="preserve"> à sa dernière session, le Secrétariat, en collaboration avec les responsables des équipes d</w:t>
      </w:r>
      <w:r w:rsidR="0022186F">
        <w:t>’</w:t>
      </w:r>
      <w:r w:rsidRPr="00E01392">
        <w:t>experts</w:t>
      </w:r>
      <w:r>
        <w:t xml:space="preserve"> du comité</w:t>
      </w:r>
      <w:r w:rsidRPr="00E01392">
        <w:t>, a établi un projet de questionnaire d</w:t>
      </w:r>
      <w:r w:rsidR="0022186F">
        <w:t>’</w:t>
      </w:r>
      <w:r w:rsidRPr="00E01392">
        <w:t xml:space="preserve">enquête visant à recenser les préférences des offices de propriété intellectuelle quant à </w:t>
      </w:r>
      <w:r w:rsidRPr="00416270">
        <w:t>l</w:t>
      </w:r>
      <w:r w:rsidR="0022186F">
        <w:t>’</w:t>
      </w:r>
      <w:r w:rsidRPr="00416270">
        <w:t>établissement d</w:t>
      </w:r>
      <w:r w:rsidR="0022186F">
        <w:t>’</w:t>
      </w:r>
      <w:r w:rsidRPr="00416270">
        <w:t xml:space="preserve">un ordre de priorité </w:t>
      </w:r>
      <w:r w:rsidRPr="00E01392">
        <w:t>dans le cadre du programme de travail</w:t>
      </w:r>
      <w:r w:rsidR="0022186F" w:rsidRPr="00E01392">
        <w:t xml:space="preserve"> du</w:t>
      </w:r>
      <w:r w:rsidR="0022186F">
        <w:t> </w:t>
      </w:r>
      <w:r w:rsidR="004A0454" w:rsidRPr="00E01392">
        <w:t>CWS</w:t>
      </w:r>
      <w:r w:rsidR="004A0454">
        <w:t xml:space="preserve">.  </w:t>
      </w:r>
      <w:r w:rsidR="004A0454" w:rsidRPr="00E01392">
        <w:t>Le</w:t>
      </w:r>
      <w:r w:rsidRPr="00E01392">
        <w:t xml:space="preserve"> questionnaire proposé est soumis à l</w:t>
      </w:r>
      <w:r w:rsidR="0022186F">
        <w:t>’</w:t>
      </w:r>
      <w:r w:rsidRPr="00E01392">
        <w:t>examen</w:t>
      </w:r>
      <w:r w:rsidR="0022186F" w:rsidRPr="00E01392">
        <w:t xml:space="preserve"> du</w:t>
      </w:r>
      <w:r w:rsidR="0022186F">
        <w:t> </w:t>
      </w:r>
      <w:r w:rsidR="0022186F" w:rsidRPr="00E01392">
        <w:t>CWS</w:t>
      </w:r>
      <w:r w:rsidRPr="00E01392">
        <w:t xml:space="preserve"> dans le document</w:t>
      </w:r>
      <w:r w:rsidR="00503323">
        <w:t> </w:t>
      </w:r>
      <w:r w:rsidRPr="00E01392">
        <w:t>CWS/11/6.</w:t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  <w:r w:rsidR="00021ACB">
        <w:br/>
      </w:r>
    </w:p>
    <w:p w14:paraId="31E83F85" w14:textId="77777777" w:rsidR="009E38A4" w:rsidRPr="00B76AA8" w:rsidRDefault="009E38A4" w:rsidP="00B76AA8">
      <w:pPr>
        <w:pStyle w:val="ONUMFS"/>
        <w:numPr>
          <w:ilvl w:val="0"/>
          <w:numId w:val="11"/>
        </w:numPr>
        <w:ind w:left="5533"/>
        <w:rPr>
          <w:i/>
        </w:rPr>
      </w:pPr>
      <w:r w:rsidRPr="00B76AA8">
        <w:rPr>
          <w:i/>
        </w:rPr>
        <w:lastRenderedPageBreak/>
        <w:t>Le CWS est invité à</w:t>
      </w:r>
      <w:r w:rsidR="0022186F" w:rsidRPr="00B76AA8">
        <w:rPr>
          <w:i/>
        </w:rPr>
        <w:t> :</w:t>
      </w:r>
    </w:p>
    <w:p w14:paraId="35D9AC82" w14:textId="77777777" w:rsidR="009E38A4" w:rsidRPr="00E01392" w:rsidRDefault="009E38A4" w:rsidP="00527762">
      <w:pPr>
        <w:pStyle w:val="ONUMFS"/>
        <w:numPr>
          <w:ilvl w:val="0"/>
          <w:numId w:val="7"/>
        </w:numPr>
        <w:ind w:left="5534" w:firstLine="709"/>
        <w:rPr>
          <w:i/>
        </w:rPr>
      </w:pPr>
      <w:proofErr w:type="gramStart"/>
      <w:r w:rsidRPr="00E01392">
        <w:rPr>
          <w:i/>
        </w:rPr>
        <w:t>prendre</w:t>
      </w:r>
      <w:proofErr w:type="gramEnd"/>
      <w:r w:rsidRPr="00E01392">
        <w:rPr>
          <w:i/>
        </w:rPr>
        <w:t xml:space="preserve"> note du contenu du présent document;</w:t>
      </w:r>
    </w:p>
    <w:p w14:paraId="7ABBB860" w14:textId="77777777" w:rsidR="009E38A4" w:rsidRPr="00E01392" w:rsidRDefault="009E38A4" w:rsidP="00527762">
      <w:pPr>
        <w:pStyle w:val="ONUMFS"/>
        <w:numPr>
          <w:ilvl w:val="0"/>
          <w:numId w:val="7"/>
        </w:numPr>
        <w:ind w:left="5529" w:firstLine="709"/>
        <w:rPr>
          <w:i/>
        </w:rPr>
      </w:pPr>
      <w:proofErr w:type="gramStart"/>
      <w:r w:rsidRPr="00E01392">
        <w:rPr>
          <w:i/>
        </w:rPr>
        <w:t>approuver</w:t>
      </w:r>
      <w:proofErr w:type="gramEnd"/>
      <w:r w:rsidRPr="00E01392">
        <w:rPr>
          <w:i/>
        </w:rPr>
        <w:t xml:space="preserve"> la fusion des tâches n°</w:t>
      </w:r>
      <w:r w:rsidR="00C95CF7">
        <w:rPr>
          <w:i/>
        </w:rPr>
        <w:t> </w:t>
      </w:r>
      <w:r w:rsidRPr="00E01392">
        <w:rPr>
          <w:i/>
        </w:rPr>
        <w:t>38, n°</w:t>
      </w:r>
      <w:r w:rsidR="00C95CF7">
        <w:rPr>
          <w:i/>
        </w:rPr>
        <w:t> </w:t>
      </w:r>
      <w:r w:rsidRPr="00E01392">
        <w:rPr>
          <w:i/>
        </w:rPr>
        <w:t>39 et n°</w:t>
      </w:r>
      <w:r w:rsidR="00C95CF7">
        <w:rPr>
          <w:i/>
        </w:rPr>
        <w:t> </w:t>
      </w:r>
      <w:r w:rsidRPr="00E01392">
        <w:rPr>
          <w:i/>
        </w:rPr>
        <w:t xml:space="preserve">42 </w:t>
      </w:r>
      <w:r>
        <w:rPr>
          <w:i/>
        </w:rPr>
        <w:t>avec</w:t>
      </w:r>
      <w:r w:rsidRPr="00E01392">
        <w:rPr>
          <w:i/>
        </w:rPr>
        <w:t xml:space="preserve"> la tâche n°</w:t>
      </w:r>
      <w:r w:rsidR="00C95CF7">
        <w:rPr>
          <w:i/>
        </w:rPr>
        <w:t> </w:t>
      </w:r>
      <w:r w:rsidRPr="00E01392">
        <w:rPr>
          <w:i/>
        </w:rPr>
        <w:t>41</w:t>
      </w:r>
      <w:r w:rsidR="00C95CF7">
        <w:rPr>
          <w:i/>
        </w:rPr>
        <w:t xml:space="preserve">; </w:t>
      </w:r>
      <w:r w:rsidRPr="00E01392">
        <w:rPr>
          <w:i/>
        </w:rPr>
        <w:t xml:space="preserve"> la proposition de mise à jour de la description de la tâche n°</w:t>
      </w:r>
      <w:r w:rsidR="00C95CF7">
        <w:rPr>
          <w:i/>
        </w:rPr>
        <w:t> </w:t>
      </w:r>
      <w:r w:rsidRPr="00E01392">
        <w:rPr>
          <w:i/>
        </w:rPr>
        <w:t xml:space="preserve">41, qui </w:t>
      </w:r>
      <w:r>
        <w:rPr>
          <w:i/>
        </w:rPr>
        <w:t>sera</w:t>
      </w:r>
      <w:r w:rsidRPr="00E01392">
        <w:rPr>
          <w:i/>
        </w:rPr>
        <w:t xml:space="preserve"> confiée</w:t>
      </w:r>
      <w:r>
        <w:rPr>
          <w:i/>
        </w:rPr>
        <w:t xml:space="preserve"> en permanence</w:t>
      </w:r>
      <w:r w:rsidRPr="00E01392">
        <w:rPr>
          <w:i/>
        </w:rPr>
        <w:t xml:space="preserve"> à </w:t>
      </w:r>
      <w:r w:rsidRPr="00312DB6">
        <w:rPr>
          <w:i/>
        </w:rPr>
        <w:t>l</w:t>
      </w:r>
      <w:r w:rsidR="0022186F">
        <w:rPr>
          <w:i/>
        </w:rPr>
        <w:t>’</w:t>
      </w:r>
      <w:r w:rsidRPr="00312DB6">
        <w:rPr>
          <w:i/>
        </w:rPr>
        <w:t>Équipe d</w:t>
      </w:r>
      <w:r w:rsidR="0022186F">
        <w:rPr>
          <w:i/>
        </w:rPr>
        <w:t>’</w:t>
      </w:r>
      <w:r w:rsidRPr="00312DB6">
        <w:rPr>
          <w:i/>
        </w:rPr>
        <w:t>experts chargée de la norme XML4IP</w:t>
      </w:r>
      <w:r w:rsidRPr="00E01392">
        <w:rPr>
          <w:i/>
        </w:rPr>
        <w:t xml:space="preserve">; </w:t>
      </w:r>
      <w:r w:rsidR="00C95CF7">
        <w:rPr>
          <w:i/>
        </w:rPr>
        <w:t xml:space="preserve"> </w:t>
      </w:r>
      <w:r w:rsidRPr="00E01392">
        <w:rPr>
          <w:i/>
        </w:rPr>
        <w:t xml:space="preserve">et la suppression des </w:t>
      </w:r>
      <w:r>
        <w:rPr>
          <w:i/>
        </w:rPr>
        <w:t>É</w:t>
      </w:r>
      <w:r w:rsidRPr="00E01392">
        <w:rPr>
          <w:i/>
        </w:rPr>
        <w:t>quipes d</w:t>
      </w:r>
      <w:r w:rsidR="0022186F">
        <w:rPr>
          <w:i/>
        </w:rPr>
        <w:t>’</w:t>
      </w:r>
      <w:r w:rsidRPr="00E01392">
        <w:rPr>
          <w:i/>
        </w:rPr>
        <w:t xml:space="preserve">experts </w:t>
      </w:r>
      <w:r>
        <w:rPr>
          <w:i/>
        </w:rPr>
        <w:t>chargées des normes</w:t>
      </w:r>
      <w:r w:rsidR="00C95CF7">
        <w:rPr>
          <w:i/>
        </w:rPr>
        <w:t> </w:t>
      </w:r>
      <w:r w:rsidRPr="00E01392">
        <w:rPr>
          <w:i/>
        </w:rPr>
        <w:t xml:space="preserve">ST.36, ST.66 et ST.86, comme proposé au </w:t>
      </w:r>
      <w:r w:rsidR="0022186F" w:rsidRPr="00E01392">
        <w:rPr>
          <w:i/>
        </w:rPr>
        <w:t>paragraphe</w:t>
      </w:r>
      <w:r w:rsidR="0022186F">
        <w:rPr>
          <w:i/>
        </w:rPr>
        <w:t> </w:t>
      </w:r>
      <w:r w:rsidR="0022186F" w:rsidRPr="00E01392">
        <w:rPr>
          <w:i/>
        </w:rPr>
        <w:t>1</w:t>
      </w:r>
      <w:r w:rsidRPr="00E01392">
        <w:rPr>
          <w:i/>
        </w:rPr>
        <w:t>4 ci</w:t>
      </w:r>
      <w:r w:rsidR="00503323">
        <w:rPr>
          <w:i/>
        </w:rPr>
        <w:noBreakHyphen/>
      </w:r>
      <w:r w:rsidRPr="00E01392">
        <w:rPr>
          <w:i/>
        </w:rPr>
        <w:t>dessus;</w:t>
      </w:r>
    </w:p>
    <w:p w14:paraId="0E9D256D" w14:textId="77777777" w:rsidR="0022186F" w:rsidRDefault="009E38A4" w:rsidP="00527762">
      <w:pPr>
        <w:pStyle w:val="ONUMFS"/>
        <w:numPr>
          <w:ilvl w:val="0"/>
          <w:numId w:val="7"/>
        </w:numPr>
        <w:ind w:left="5529" w:firstLine="709"/>
        <w:rPr>
          <w:i/>
          <w:iCs/>
        </w:rPr>
      </w:pPr>
      <w:proofErr w:type="gramStart"/>
      <w:r>
        <w:rPr>
          <w:i/>
          <w:iCs/>
        </w:rPr>
        <w:t>examiner</w:t>
      </w:r>
      <w:proofErr w:type="gramEnd"/>
      <w:r>
        <w:rPr>
          <w:i/>
          <w:iCs/>
        </w:rPr>
        <w:t xml:space="preserve"> et approuver le transfert de</w:t>
      </w:r>
      <w:r w:rsidRPr="00312DB6">
        <w:rPr>
          <w:i/>
          <w:iCs/>
        </w:rPr>
        <w:t xml:space="preserve"> la responsabilité de la mise à jour de la partie</w:t>
      </w:r>
      <w:r w:rsidR="00503323">
        <w:rPr>
          <w:i/>
          <w:iCs/>
        </w:rPr>
        <w:t> </w:t>
      </w:r>
      <w:r w:rsidRPr="00312DB6">
        <w:rPr>
          <w:i/>
          <w:iCs/>
        </w:rPr>
        <w:t>6 du Manuel de l</w:t>
      </w:r>
      <w:r w:rsidR="0022186F">
        <w:rPr>
          <w:i/>
          <w:iCs/>
        </w:rPr>
        <w:t>’</w:t>
      </w:r>
      <w:r w:rsidRPr="00312DB6">
        <w:rPr>
          <w:i/>
          <w:iCs/>
        </w:rPr>
        <w:t xml:space="preserve">OMPI </w:t>
      </w:r>
      <w:r>
        <w:rPr>
          <w:i/>
          <w:iCs/>
        </w:rPr>
        <w:t>de</w:t>
      </w:r>
      <w:r w:rsidRPr="00E01392">
        <w:rPr>
          <w:i/>
          <w:iCs/>
        </w:rPr>
        <w:t xml:space="preserve"> l</w:t>
      </w:r>
      <w:r w:rsidR="0022186F">
        <w:rPr>
          <w:i/>
          <w:iCs/>
        </w:rPr>
        <w:t>’</w:t>
      </w:r>
      <w:r w:rsidRPr="00E01392">
        <w:rPr>
          <w:i/>
          <w:iCs/>
        </w:rPr>
        <w:t>Équipe d</w:t>
      </w:r>
      <w:r w:rsidR="0022186F">
        <w:rPr>
          <w:i/>
          <w:iCs/>
        </w:rPr>
        <w:t>’</w:t>
      </w:r>
      <w:r w:rsidRPr="00E01392">
        <w:rPr>
          <w:i/>
          <w:iCs/>
        </w:rPr>
        <w:t xml:space="preserve">experts chargée de la transformation numérique </w:t>
      </w:r>
      <w:r w:rsidRPr="00312DB6">
        <w:rPr>
          <w:i/>
          <w:iCs/>
        </w:rPr>
        <w:t xml:space="preserve">à </w:t>
      </w:r>
      <w:r w:rsidRPr="00A77611">
        <w:rPr>
          <w:i/>
          <w:iCs/>
        </w:rPr>
        <w:t>l</w:t>
      </w:r>
      <w:r w:rsidR="0022186F">
        <w:rPr>
          <w:i/>
          <w:iCs/>
        </w:rPr>
        <w:t>’</w:t>
      </w:r>
      <w:r w:rsidRPr="00A77611">
        <w:rPr>
          <w:i/>
          <w:iCs/>
        </w:rPr>
        <w:t>Équipe d</w:t>
      </w:r>
      <w:r w:rsidR="0022186F">
        <w:rPr>
          <w:i/>
          <w:iCs/>
        </w:rPr>
        <w:t>’</w:t>
      </w:r>
      <w:r w:rsidRPr="00A77611">
        <w:rPr>
          <w:i/>
          <w:iCs/>
        </w:rPr>
        <w:t>experts chargée de l</w:t>
      </w:r>
      <w:r w:rsidR="0022186F">
        <w:rPr>
          <w:i/>
          <w:iCs/>
        </w:rPr>
        <w:t>’</w:t>
      </w:r>
      <w:r w:rsidRPr="00A77611">
        <w:rPr>
          <w:i/>
          <w:iCs/>
        </w:rPr>
        <w:t>accès public à l</w:t>
      </w:r>
      <w:r w:rsidR="0022186F">
        <w:rPr>
          <w:i/>
          <w:iCs/>
        </w:rPr>
        <w:t>’</w:t>
      </w:r>
      <w:r w:rsidRPr="00A77611">
        <w:rPr>
          <w:i/>
          <w:iCs/>
        </w:rPr>
        <w:t>information en matière de brevets</w:t>
      </w:r>
      <w:r w:rsidRPr="00E01392">
        <w:rPr>
          <w:i/>
          <w:iCs/>
        </w:rPr>
        <w:t xml:space="preserve">, comme proposé au </w:t>
      </w:r>
      <w:r w:rsidR="0022186F" w:rsidRPr="00E01392">
        <w:rPr>
          <w:i/>
          <w:iCs/>
        </w:rPr>
        <w:t>paragraphe</w:t>
      </w:r>
      <w:r w:rsidR="0022186F">
        <w:rPr>
          <w:i/>
          <w:iCs/>
        </w:rPr>
        <w:t> </w:t>
      </w:r>
      <w:r w:rsidR="0022186F" w:rsidRPr="00E01392">
        <w:rPr>
          <w:i/>
          <w:iCs/>
        </w:rPr>
        <w:t>1</w:t>
      </w:r>
      <w:r w:rsidRPr="00E01392">
        <w:rPr>
          <w:i/>
          <w:iCs/>
        </w:rPr>
        <w:t>9 ci</w:t>
      </w:r>
      <w:r w:rsidR="00503323">
        <w:rPr>
          <w:i/>
          <w:iCs/>
        </w:rPr>
        <w:noBreakHyphen/>
      </w:r>
      <w:r w:rsidRPr="00E01392">
        <w:rPr>
          <w:i/>
          <w:iCs/>
        </w:rPr>
        <w:t>dessus;</w:t>
      </w:r>
    </w:p>
    <w:p w14:paraId="3DB18577" w14:textId="77777777" w:rsidR="009E38A4" w:rsidRPr="00E01392" w:rsidRDefault="009E38A4" w:rsidP="00527762">
      <w:pPr>
        <w:pStyle w:val="ONUMFS"/>
        <w:numPr>
          <w:ilvl w:val="0"/>
          <w:numId w:val="7"/>
        </w:numPr>
        <w:ind w:left="5529" w:firstLine="709"/>
        <w:rPr>
          <w:i/>
        </w:rPr>
      </w:pPr>
      <w:proofErr w:type="gramStart"/>
      <w:r w:rsidRPr="00E01392">
        <w:rPr>
          <w:i/>
        </w:rPr>
        <w:t>examiner</w:t>
      </w:r>
      <w:proofErr w:type="gramEnd"/>
      <w:r w:rsidRPr="00E01392">
        <w:rPr>
          <w:i/>
        </w:rPr>
        <w:t xml:space="preserve"> la liste de tâches figurant à l</w:t>
      </w:r>
      <w:r w:rsidR="0022186F">
        <w:rPr>
          <w:i/>
        </w:rPr>
        <w:t>’</w:t>
      </w:r>
      <w:r w:rsidRPr="00E01392">
        <w:rPr>
          <w:i/>
        </w:rPr>
        <w:t>annexe du présent document, en tenant compte de la recommandation du rapport d</w:t>
      </w:r>
      <w:r w:rsidR="0022186F">
        <w:rPr>
          <w:i/>
        </w:rPr>
        <w:t>’</w:t>
      </w:r>
      <w:r w:rsidRPr="00E01392">
        <w:rPr>
          <w:i/>
        </w:rPr>
        <w:t>évaluation, notamment les incidences, pour les États membres et le Secrétariat de l</w:t>
      </w:r>
      <w:r w:rsidR="0022186F">
        <w:rPr>
          <w:i/>
        </w:rPr>
        <w:t>’</w:t>
      </w:r>
      <w:r w:rsidRPr="00E01392">
        <w:rPr>
          <w:i/>
        </w:rPr>
        <w:t>OMPI, en matière de volume de travail des équipes d</w:t>
      </w:r>
      <w:r w:rsidR="0022186F">
        <w:rPr>
          <w:i/>
        </w:rPr>
        <w:t>’</w:t>
      </w:r>
      <w:r w:rsidRPr="00E01392">
        <w:rPr>
          <w:i/>
        </w:rPr>
        <w:t>experts pour l</w:t>
      </w:r>
      <w:r w:rsidR="0022186F">
        <w:rPr>
          <w:i/>
        </w:rPr>
        <w:t>’</w:t>
      </w:r>
      <w:r w:rsidRPr="00E01392">
        <w:rPr>
          <w:i/>
        </w:rPr>
        <w:t>année à venir, comme l</w:t>
      </w:r>
      <w:r w:rsidR="0022186F">
        <w:rPr>
          <w:i/>
        </w:rPr>
        <w:t>’</w:t>
      </w:r>
      <w:r w:rsidRPr="00E01392">
        <w:rPr>
          <w:i/>
        </w:rPr>
        <w:t>indique le paragraphe 10 ci</w:t>
      </w:r>
      <w:r w:rsidR="00503323">
        <w:rPr>
          <w:i/>
        </w:rPr>
        <w:noBreakHyphen/>
      </w:r>
      <w:r w:rsidRPr="00E01392">
        <w:rPr>
          <w:i/>
        </w:rPr>
        <w:t>dessus;  et</w:t>
      </w:r>
    </w:p>
    <w:p w14:paraId="5E59E8EA" w14:textId="77777777" w:rsidR="009E38A4" w:rsidRPr="00E01392" w:rsidRDefault="009E38A4" w:rsidP="00527762">
      <w:pPr>
        <w:pStyle w:val="ONUMFS"/>
        <w:numPr>
          <w:ilvl w:val="0"/>
          <w:numId w:val="7"/>
        </w:numPr>
        <w:ind w:left="5529" w:firstLine="709"/>
        <w:rPr>
          <w:i/>
        </w:rPr>
      </w:pPr>
      <w:proofErr w:type="gramStart"/>
      <w:r w:rsidRPr="00E01392">
        <w:rPr>
          <w:i/>
        </w:rPr>
        <w:t>approuver</w:t>
      </w:r>
      <w:proofErr w:type="gramEnd"/>
      <w:r w:rsidRPr="00E01392">
        <w:rPr>
          <w:i/>
        </w:rPr>
        <w:t xml:space="preserve"> l</w:t>
      </w:r>
      <w:r w:rsidR="0022186F">
        <w:rPr>
          <w:i/>
        </w:rPr>
        <w:t>’</w:t>
      </w:r>
      <w:r w:rsidRPr="00E01392">
        <w:rPr>
          <w:i/>
        </w:rPr>
        <w:t>inclusion par le Secrétariat des accords auxquels la présente session a donné lieu, relatifs au programme de travail du CWS et à la présentation générale du programme de travail du CWS, et les publier sur le site Web de l</w:t>
      </w:r>
      <w:r w:rsidR="0022186F">
        <w:rPr>
          <w:i/>
        </w:rPr>
        <w:t>’</w:t>
      </w:r>
      <w:r w:rsidRPr="00E01392">
        <w:rPr>
          <w:i/>
        </w:rPr>
        <w:t>OMPI tels qu</w:t>
      </w:r>
      <w:r w:rsidR="0022186F">
        <w:rPr>
          <w:i/>
        </w:rPr>
        <w:t>’</w:t>
      </w:r>
      <w:r w:rsidRPr="00E01392">
        <w:rPr>
          <w:i/>
        </w:rPr>
        <w:t>ils figurent au paragraphe 11 ci</w:t>
      </w:r>
      <w:r w:rsidR="00503323">
        <w:rPr>
          <w:i/>
        </w:rPr>
        <w:noBreakHyphen/>
      </w:r>
      <w:r w:rsidRPr="00E01392">
        <w:rPr>
          <w:i/>
        </w:rPr>
        <w:t>dessus.</w:t>
      </w:r>
    </w:p>
    <w:p w14:paraId="3A494C2C" w14:textId="77777777" w:rsidR="009E38A4" w:rsidRPr="00E01392" w:rsidRDefault="009E38A4" w:rsidP="009E50AD">
      <w:pPr>
        <w:pStyle w:val="Endofdocument-Annex"/>
        <w:spacing w:before="720"/>
        <w:ind w:left="5529"/>
        <w:rPr>
          <w:lang w:val="fr-CH"/>
        </w:rPr>
      </w:pPr>
      <w:r w:rsidRPr="00E01392">
        <w:rPr>
          <w:lang w:val="fr-CH"/>
        </w:rPr>
        <w:t>[L</w:t>
      </w:r>
      <w:r w:rsidR="0022186F">
        <w:rPr>
          <w:lang w:val="fr-CH"/>
        </w:rPr>
        <w:t>’</w:t>
      </w:r>
      <w:r w:rsidRPr="00E01392">
        <w:rPr>
          <w:lang w:val="fr-CH"/>
        </w:rPr>
        <w:t>annexe suit]</w:t>
      </w:r>
    </w:p>
    <w:p w14:paraId="28FC14CB" w14:textId="77777777" w:rsidR="000F5E56" w:rsidRDefault="000F5E56" w:rsidP="009E50AD">
      <w:pPr>
        <w:spacing w:after="220"/>
      </w:pPr>
    </w:p>
    <w:sectPr w:rsidR="000F5E56" w:rsidSect="009E38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B01B" w14:textId="77777777" w:rsidR="00B57E07" w:rsidRDefault="00B57E07">
      <w:r>
        <w:separator/>
      </w:r>
    </w:p>
  </w:endnote>
  <w:endnote w:type="continuationSeparator" w:id="0">
    <w:p w14:paraId="73DDFF34" w14:textId="77777777" w:rsidR="00B57E07" w:rsidRPr="009D30E6" w:rsidRDefault="00B57E0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694639B" w14:textId="77777777" w:rsidR="00B57E07" w:rsidRPr="009D30E6" w:rsidRDefault="00B57E0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30FACE6" w14:textId="77777777" w:rsidR="00B57E07" w:rsidRPr="009D30E6" w:rsidRDefault="00B57E0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19D3" w14:textId="77777777" w:rsidR="00503323" w:rsidRDefault="00503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5711" w14:textId="77777777" w:rsidR="00533626" w:rsidRDefault="00533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ADA3" w14:textId="77777777" w:rsidR="00533626" w:rsidRDefault="0053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8334" w14:textId="77777777" w:rsidR="00B57E07" w:rsidRDefault="00B57E07">
      <w:r>
        <w:separator/>
      </w:r>
    </w:p>
  </w:footnote>
  <w:footnote w:type="continuationSeparator" w:id="0">
    <w:p w14:paraId="759C5E66" w14:textId="77777777" w:rsidR="00B57E07" w:rsidRDefault="00B57E07" w:rsidP="007461F1">
      <w:r>
        <w:separator/>
      </w:r>
    </w:p>
    <w:p w14:paraId="0ADE65F8" w14:textId="77777777" w:rsidR="00B57E07" w:rsidRPr="009D30E6" w:rsidRDefault="00B57E0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78C3371F" w14:textId="77777777" w:rsidR="00B57E07" w:rsidRPr="009D30E6" w:rsidRDefault="00B57E0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7278" w14:textId="77777777" w:rsidR="00503323" w:rsidRDefault="00503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84B3" w14:textId="77777777" w:rsidR="00F16975" w:rsidRPr="00B45C15" w:rsidRDefault="009E38A4" w:rsidP="00477D6B">
    <w:pPr>
      <w:jc w:val="right"/>
      <w:rPr>
        <w:caps/>
      </w:rPr>
    </w:pPr>
    <w:bookmarkStart w:id="5" w:name="Code2"/>
    <w:bookmarkEnd w:id="5"/>
    <w:r>
      <w:rPr>
        <w:caps/>
      </w:rPr>
      <w:t>C</w:t>
    </w:r>
    <w:r w:rsidR="0022186F">
      <w:rPr>
        <w:caps/>
      </w:rPr>
      <w:t>WS/11/</w:t>
    </w:r>
    <w:r>
      <w:rPr>
        <w:caps/>
      </w:rPr>
      <w:t>8</w:t>
    </w:r>
  </w:p>
  <w:p w14:paraId="7ABF9014" w14:textId="77777777" w:rsidR="00574036" w:rsidRDefault="00F16975" w:rsidP="0022186F">
    <w:pPr>
      <w:spacing w:after="480"/>
      <w:jc w:val="right"/>
    </w:pPr>
    <w:proofErr w:type="gramStart"/>
    <w:r>
      <w:t>page</w:t>
    </w:r>
    <w:proofErr w:type="gramEnd"/>
    <w:r w:rsidR="0050332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527762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AA11" w14:textId="77777777" w:rsidR="00503323" w:rsidRDefault="00503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7518EE"/>
    <w:multiLevelType w:val="hybridMultilevel"/>
    <w:tmpl w:val="3048B25E"/>
    <w:lvl w:ilvl="0" w:tplc="C6DEDF9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E33117"/>
    <w:multiLevelType w:val="hybridMultilevel"/>
    <w:tmpl w:val="E6F6077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F4D2C"/>
    <w:multiLevelType w:val="multilevel"/>
    <w:tmpl w:val="972E654E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2630F80"/>
    <w:multiLevelType w:val="hybridMultilevel"/>
    <w:tmpl w:val="994ED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3470238">
    <w:abstractNumId w:val="2"/>
  </w:num>
  <w:num w:numId="2" w16cid:durableId="615065921">
    <w:abstractNumId w:val="5"/>
  </w:num>
  <w:num w:numId="3" w16cid:durableId="1514224661">
    <w:abstractNumId w:val="0"/>
  </w:num>
  <w:num w:numId="4" w16cid:durableId="888223341">
    <w:abstractNumId w:val="6"/>
  </w:num>
  <w:num w:numId="5" w16cid:durableId="1402633173">
    <w:abstractNumId w:val="1"/>
  </w:num>
  <w:num w:numId="6" w16cid:durableId="116536583">
    <w:abstractNumId w:val="4"/>
  </w:num>
  <w:num w:numId="7" w16cid:durableId="1832258211">
    <w:abstractNumId w:val="8"/>
  </w:num>
  <w:num w:numId="8" w16cid:durableId="1689334407">
    <w:abstractNumId w:val="3"/>
  </w:num>
  <w:num w:numId="9" w16cid:durableId="265423746">
    <w:abstractNumId w:val="10"/>
  </w:num>
  <w:num w:numId="10" w16cid:durableId="2029915361">
    <w:abstractNumId w:val="7"/>
  </w:num>
  <w:num w:numId="11" w16cid:durableId="1511943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A4"/>
    <w:rsid w:val="00003CAA"/>
    <w:rsid w:val="00011B7D"/>
    <w:rsid w:val="00021ACB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22186F"/>
    <w:rsid w:val="00240654"/>
    <w:rsid w:val="002634C4"/>
    <w:rsid w:val="002956DE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D6B"/>
    <w:rsid w:val="004A0454"/>
    <w:rsid w:val="004D6471"/>
    <w:rsid w:val="00503323"/>
    <w:rsid w:val="0051455D"/>
    <w:rsid w:val="00525B63"/>
    <w:rsid w:val="00525E59"/>
    <w:rsid w:val="00527762"/>
    <w:rsid w:val="00533626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26A01"/>
    <w:rsid w:val="007461F1"/>
    <w:rsid w:val="007D6961"/>
    <w:rsid w:val="007E1113"/>
    <w:rsid w:val="007F07CB"/>
    <w:rsid w:val="00810CEF"/>
    <w:rsid w:val="0081208D"/>
    <w:rsid w:val="008B2CC1"/>
    <w:rsid w:val="008E7930"/>
    <w:rsid w:val="008F02A7"/>
    <w:rsid w:val="0090731E"/>
    <w:rsid w:val="00966A22"/>
    <w:rsid w:val="00974CD6"/>
    <w:rsid w:val="009D30E6"/>
    <w:rsid w:val="009E38A4"/>
    <w:rsid w:val="009E3F6F"/>
    <w:rsid w:val="009E50AD"/>
    <w:rsid w:val="009F499F"/>
    <w:rsid w:val="00A11D74"/>
    <w:rsid w:val="00A921B2"/>
    <w:rsid w:val="00AC0AE4"/>
    <w:rsid w:val="00AD61DB"/>
    <w:rsid w:val="00B1090C"/>
    <w:rsid w:val="00B35AF5"/>
    <w:rsid w:val="00B45C15"/>
    <w:rsid w:val="00B57E07"/>
    <w:rsid w:val="00B76AA8"/>
    <w:rsid w:val="00BE0BE0"/>
    <w:rsid w:val="00C664C8"/>
    <w:rsid w:val="00C95CF7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86445"/>
    <w:rsid w:val="00EE71CB"/>
    <w:rsid w:val="00F16975"/>
    <w:rsid w:val="00F1746D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EAD17"/>
  <w15:docId w15:val="{5597A184-2D03-48F1-AF84-D2FCBFFF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unhideWhenUsed/>
    <w:rsid w:val="009E38A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E38A4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9E38A4"/>
    <w:pPr>
      <w:ind w:left="720"/>
      <w:contextualSpacing/>
    </w:pPr>
    <w:rPr>
      <w:rFonts w:eastAsia="Times New Roman"/>
      <w:lang w:val="en-US" w:eastAsia="en-US"/>
    </w:rPr>
  </w:style>
  <w:style w:type="table" w:styleId="TableGrid">
    <w:name w:val="Table Grid"/>
    <w:basedOn w:val="TableNormal"/>
    <w:rsid w:val="009E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c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cws/en/taskforce/index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F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434B-07C9-4CB6-AC4E-4AF45D14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(F) .dotm</Template>
  <TotalTime>7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CWS/11/8</vt:lpstr>
    </vt:vector>
  </TitlesOfParts>
  <Company>WIPO</Company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CWS/11/8</dc:title>
  <dc:creator>WIPO</dc:creator>
  <cp:keywords>FOR OFFICIAL USE ONLY</cp:keywords>
  <cp:lastModifiedBy>SEILER Joséphine</cp:lastModifiedBy>
  <cp:revision>4</cp:revision>
  <cp:lastPrinted>2023-10-13T12:57:00Z</cp:lastPrinted>
  <dcterms:created xsi:type="dcterms:W3CDTF">2023-10-13T12:56:00Z</dcterms:created>
  <dcterms:modified xsi:type="dcterms:W3CDTF">2023-10-13T13:13:00Z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2023-10-12T09:38:21Z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4eed2c35-8115-463d-baf8-b6a3432c3f04</vt:lpwstr>
  </property>
  <property fmtid="{D5CDD505-2E9C-101B-9397-08002B2CF9AE}" pid="13" name="MSIP_Label_20773ee6-353b-4fb9-a59d-0b94c8c67bea_ContentBits">
    <vt:lpwstr>0</vt:lpwstr>
  </property>
</Properties>
</file>