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2B94" w14:textId="77777777" w:rsidR="008B2CC1" w:rsidRPr="0040540C" w:rsidRDefault="0040540C" w:rsidP="008C3899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9A7245B" wp14:editId="4C2AA85A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9645" w14:textId="77777777" w:rsidR="00B1090C" w:rsidRDefault="00533626" w:rsidP="008C3899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CWS/11</w:t>
      </w:r>
      <w:bookmarkStart w:id="0" w:name="Code"/>
      <w:bookmarkEnd w:id="0"/>
      <w:r w:rsidR="003C09D8">
        <w:rPr>
          <w:rFonts w:ascii="Arial Black" w:hAnsi="Arial Black"/>
          <w:caps/>
          <w:sz w:val="15"/>
        </w:rPr>
        <w:t>/</w:t>
      </w:r>
      <w:r w:rsidR="0075146B">
        <w:rPr>
          <w:rFonts w:ascii="Arial Black" w:hAnsi="Arial Black"/>
          <w:caps/>
          <w:sz w:val="15"/>
        </w:rPr>
        <w:t>9</w:t>
      </w:r>
    </w:p>
    <w:p w14:paraId="446EB62C" w14:textId="77777777" w:rsidR="008B2CC1" w:rsidRPr="0040540C" w:rsidRDefault="00B1090C" w:rsidP="008C3899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9034D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75146B">
        <w:rPr>
          <w:rFonts w:ascii="Arial Black" w:hAnsi="Arial Black"/>
          <w:caps/>
          <w:sz w:val="15"/>
        </w:rPr>
        <w:t>anglais</w:t>
      </w:r>
    </w:p>
    <w:bookmarkEnd w:id="1"/>
    <w:p w14:paraId="664F9F68" w14:textId="77777777" w:rsidR="008B2CC1" w:rsidRPr="0040540C" w:rsidRDefault="00B1090C" w:rsidP="008C3899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9034D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9034DF">
        <w:rPr>
          <w:rFonts w:ascii="Arial Black" w:hAnsi="Arial Black"/>
          <w:caps/>
          <w:sz w:val="15"/>
        </w:rPr>
        <w:t>5 octobre 20</w:t>
      </w:r>
      <w:r w:rsidR="0075146B">
        <w:rPr>
          <w:rFonts w:ascii="Arial Black" w:hAnsi="Arial Black"/>
          <w:caps/>
          <w:sz w:val="15"/>
        </w:rPr>
        <w:t>23</w:t>
      </w:r>
    </w:p>
    <w:bookmarkEnd w:id="2"/>
    <w:p w14:paraId="17A3486D" w14:textId="77777777" w:rsidR="00533626" w:rsidRPr="00197881" w:rsidRDefault="00533626" w:rsidP="008C389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9034DF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6E1E49CC" w14:textId="77777777" w:rsidR="00533626" w:rsidRDefault="00533626" w:rsidP="008C3899">
      <w:pPr>
        <w:tabs>
          <w:tab w:val="center" w:pos="4677"/>
        </w:tabs>
        <w:rPr>
          <w:b/>
          <w:sz w:val="24"/>
        </w:rPr>
      </w:pPr>
      <w:r>
        <w:rPr>
          <w:b/>
          <w:sz w:val="24"/>
        </w:rPr>
        <w:t>Onz</w:t>
      </w:r>
      <w:r w:rsidR="009034DF">
        <w:rPr>
          <w:b/>
          <w:sz w:val="24"/>
        </w:rPr>
        <w:t>ième session</w:t>
      </w:r>
    </w:p>
    <w:p w14:paraId="1B020CE6" w14:textId="77777777" w:rsidR="0075146B" w:rsidRPr="00197881" w:rsidRDefault="0075146B" w:rsidP="008C3899">
      <w:pPr>
        <w:spacing w:after="720"/>
        <w:rPr>
          <w:b/>
          <w:sz w:val="28"/>
          <w:szCs w:val="24"/>
        </w:rPr>
      </w:pPr>
      <w:r>
        <w:rPr>
          <w:b/>
          <w:sz w:val="24"/>
        </w:rPr>
        <w:t xml:space="preserve">Genève, 4 – </w:t>
      </w:r>
      <w:r w:rsidR="009034DF">
        <w:rPr>
          <w:b/>
          <w:sz w:val="24"/>
        </w:rPr>
        <w:t>8 décembre 20</w:t>
      </w:r>
      <w:r>
        <w:rPr>
          <w:b/>
          <w:sz w:val="24"/>
        </w:rPr>
        <w:t>23</w:t>
      </w:r>
    </w:p>
    <w:p w14:paraId="38B59BB6" w14:textId="77777777" w:rsidR="008B2CC1" w:rsidRPr="0075146B" w:rsidRDefault="0075146B" w:rsidP="008C3899">
      <w:pPr>
        <w:spacing w:after="360"/>
        <w:rPr>
          <w:caps/>
          <w:sz w:val="24"/>
        </w:rPr>
      </w:pPr>
      <w:bookmarkStart w:id="3" w:name="TitleOfDoc"/>
      <w:r w:rsidRPr="0075146B">
        <w:rPr>
          <w:caps/>
          <w:sz w:val="24"/>
        </w:rPr>
        <w:t>Proposition de révision de la norme</w:t>
      </w:r>
      <w:r w:rsidR="007C6EC6">
        <w:rPr>
          <w:caps/>
          <w:sz w:val="24"/>
        </w:rPr>
        <w:t> </w:t>
      </w:r>
      <w:r w:rsidRPr="0075146B">
        <w:rPr>
          <w:caps/>
          <w:sz w:val="24"/>
        </w:rPr>
        <w:t>ST.61 de l</w:t>
      </w:r>
      <w:r w:rsidR="009034DF">
        <w:rPr>
          <w:caps/>
          <w:sz w:val="24"/>
        </w:rPr>
        <w:t>’</w:t>
      </w:r>
      <w:r w:rsidRPr="0075146B">
        <w:rPr>
          <w:caps/>
          <w:sz w:val="24"/>
        </w:rPr>
        <w:t>OMPI</w:t>
      </w:r>
    </w:p>
    <w:p w14:paraId="2A236BE3" w14:textId="77777777" w:rsidR="008B2CC1" w:rsidRPr="008B2CC1" w:rsidRDefault="0075146B" w:rsidP="008C3899">
      <w:pPr>
        <w:spacing w:after="96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Bureau international</w:t>
      </w:r>
    </w:p>
    <w:p w14:paraId="2BEEA3FB" w14:textId="77777777" w:rsidR="0075146B" w:rsidRDefault="0075146B" w:rsidP="008C3899">
      <w:pPr>
        <w:pStyle w:val="Heading2"/>
      </w:pPr>
      <w:r>
        <w:t>Contexte</w:t>
      </w:r>
    </w:p>
    <w:p w14:paraId="7D1596B7" w14:textId="77777777" w:rsidR="009034DF" w:rsidRDefault="0075146B" w:rsidP="008C3899">
      <w:pPr>
        <w:pStyle w:val="ONUMFS"/>
      </w:pPr>
      <w:r>
        <w:t>À sa huit</w:t>
      </w:r>
      <w:r w:rsidR="009034DF">
        <w:t>ième session</w:t>
      </w:r>
      <w:r>
        <w:t xml:space="preserve">, le Comité des </w:t>
      </w:r>
      <w:r w:rsidR="008C3899">
        <w:t>n</w:t>
      </w:r>
      <w:r>
        <w:t>ormes de l</w:t>
      </w:r>
      <w:r w:rsidR="009034DF">
        <w:t>’</w:t>
      </w:r>
      <w:r>
        <w:t>OMPI (CWS) a adopté la norme ST.61 de l</w:t>
      </w:r>
      <w:r w:rsidR="009034DF">
        <w:t>’</w:t>
      </w:r>
      <w:r>
        <w:t>OMPI (voir le paragraphe 28 du document</w:t>
      </w:r>
      <w:r w:rsidR="00CD6C7F">
        <w:t> </w:t>
      </w:r>
      <w:r>
        <w:t>CWS/8/24).  Cette norme propose un modèle normalisé qui permet de décrire la situation juridique d</w:t>
      </w:r>
      <w:r w:rsidR="009034DF">
        <w:t>’</w:t>
      </w:r>
      <w:r>
        <w:t>une demande de marque durant son instruction dans un système d</w:t>
      </w:r>
      <w:r w:rsidR="009034DF">
        <w:t>’</w:t>
      </w:r>
      <w:r>
        <w:t>enregistrement ou bien d</w:t>
      </w:r>
      <w:r w:rsidR="009034DF">
        <w:t>’</w:t>
      </w:r>
      <w:r>
        <w:t>une marque enregistrée.</w:t>
      </w:r>
    </w:p>
    <w:p w14:paraId="4043F612" w14:textId="77777777" w:rsidR="009034DF" w:rsidRDefault="0075146B" w:rsidP="008C3899">
      <w:pPr>
        <w:pStyle w:val="ONUMFS"/>
      </w:pPr>
      <w:r>
        <w:t>À cette même session, les offices de propriété intellectuelle ont été priés de fournir une table de correspondance indiquant la correspondance entre leurs événements relatifs à la situation juridique existants et les événements définis dans la norme ST.61 de l</w:t>
      </w:r>
      <w:r w:rsidR="009034DF">
        <w:t>’</w:t>
      </w:r>
      <w:r>
        <w:t>OMPI ainsi qu</w:t>
      </w:r>
      <w:r w:rsidR="009034DF">
        <w:t>’</w:t>
      </w:r>
      <w:r>
        <w:t>un plan de future mise en œuvre (voir le paragraphe 30 du document</w:t>
      </w:r>
      <w:r w:rsidR="00CD6C7F">
        <w:t> </w:t>
      </w:r>
      <w:r>
        <w:t>CWS/8/24).  Ces tables de correspondance sont publiées en tant que partie 7.13.3 du Manuel de l</w:t>
      </w:r>
      <w:r w:rsidR="009034DF">
        <w:t>’</w:t>
      </w:r>
      <w:r w:rsidR="00CD6C7F">
        <w:t>OMPI sur le s</w:t>
      </w:r>
      <w:r>
        <w:t>ite</w:t>
      </w:r>
      <w:r w:rsidR="007C6EC6">
        <w:t> </w:t>
      </w:r>
      <w:r>
        <w:t>Web de l</w:t>
      </w:r>
      <w:r w:rsidR="009034DF">
        <w:t>’</w:t>
      </w:r>
      <w:r>
        <w:t>OMPI à l</w:t>
      </w:r>
      <w:r w:rsidR="009034DF">
        <w:t>’</w:t>
      </w:r>
      <w:r>
        <w:t>adresse suivante</w:t>
      </w:r>
      <w:r w:rsidR="009034DF">
        <w:t> :</w:t>
      </w:r>
      <w:r>
        <w:t xml:space="preserve"> </w:t>
      </w:r>
      <w:hyperlink r:id="rId9" w:history="1">
        <w:r>
          <w:rPr>
            <w:rStyle w:val="Hyperlink"/>
            <w:color w:val="000000" w:themeColor="text1"/>
          </w:rPr>
          <w:t>https://www.wipo.int/standards/fr/part_07.html</w:t>
        </w:r>
      </w:hyperlink>
      <w:r>
        <w:t>.</w:t>
      </w:r>
    </w:p>
    <w:p w14:paraId="0A43F9AB" w14:textId="77777777" w:rsidR="0075146B" w:rsidRDefault="0075146B" w:rsidP="008C3899">
      <w:pPr>
        <w:pStyle w:val="ONUMFS"/>
      </w:pPr>
      <w:r>
        <w:t>Des mises à jour de la norme ST.61 de l</w:t>
      </w:r>
      <w:r w:rsidR="009034DF">
        <w:t>’</w:t>
      </w:r>
      <w:r>
        <w:t>OMPI sont effectuées dans le cadre de la tâche n</w:t>
      </w:r>
      <w:r w:rsidR="00CD6C7F">
        <w:t>° </w:t>
      </w:r>
      <w:r>
        <w:t>47, dont la description se présente ainsi</w:t>
      </w:r>
      <w:r w:rsidR="009034DF">
        <w:t> :</w:t>
      </w:r>
    </w:p>
    <w:p w14:paraId="6CCDC286" w14:textId="77777777" w:rsidR="0075146B" w:rsidRPr="008C3899" w:rsidRDefault="0075146B" w:rsidP="008C3899">
      <w:pPr>
        <w:pStyle w:val="ONUMFS"/>
        <w:numPr>
          <w:ilvl w:val="0"/>
          <w:numId w:val="0"/>
        </w:numPr>
        <w:ind w:left="567"/>
        <w:rPr>
          <w:i/>
        </w:rPr>
      </w:pPr>
      <w:r w:rsidRPr="008C3899">
        <w:rPr>
          <w:i/>
        </w:rPr>
        <w:t>“Procéder aux révisions et mises à jour nécessaires des normes ST.27, ST.87 et ST.61 de l</w:t>
      </w:r>
      <w:r w:rsidR="009034DF" w:rsidRPr="008C3899">
        <w:rPr>
          <w:i/>
        </w:rPr>
        <w:t>’</w:t>
      </w:r>
      <w:r w:rsidRPr="008C3899">
        <w:rPr>
          <w:i/>
        </w:rPr>
        <w:t xml:space="preserve">OMPI; </w:t>
      </w:r>
      <w:r w:rsidR="007C6EC6" w:rsidRPr="008C3899">
        <w:rPr>
          <w:i/>
        </w:rPr>
        <w:t xml:space="preserve"> </w:t>
      </w:r>
      <w:r w:rsidRPr="008C3899">
        <w:rPr>
          <w:i/>
        </w:rPr>
        <w:t>établir des documents d</w:t>
      </w:r>
      <w:r w:rsidR="009034DF" w:rsidRPr="008C3899">
        <w:rPr>
          <w:i/>
        </w:rPr>
        <w:t>’</w:t>
      </w:r>
      <w:r w:rsidRPr="008C3899">
        <w:rPr>
          <w:i/>
        </w:rPr>
        <w:t>appui pour faciliter l</w:t>
      </w:r>
      <w:r w:rsidR="009034DF" w:rsidRPr="008C3899">
        <w:rPr>
          <w:i/>
        </w:rPr>
        <w:t>’</w:t>
      </w:r>
      <w:r w:rsidRPr="008C3899">
        <w:rPr>
          <w:i/>
        </w:rPr>
        <w:t xml:space="preserve">utilisation de ces normes dans la communauté de la propriété intellectuelle; </w:t>
      </w:r>
      <w:r w:rsidR="007C6EC6" w:rsidRPr="008C3899">
        <w:rPr>
          <w:i/>
        </w:rPr>
        <w:t xml:space="preserve"> </w:t>
      </w:r>
      <w:r w:rsidRPr="008C3899">
        <w:rPr>
          <w:i/>
        </w:rPr>
        <w:t>et soutenir l</w:t>
      </w:r>
      <w:r w:rsidR="009034DF" w:rsidRPr="008C3899">
        <w:rPr>
          <w:i/>
        </w:rPr>
        <w:t>’</w:t>
      </w:r>
      <w:r w:rsidRPr="008C3899">
        <w:rPr>
          <w:i/>
        </w:rPr>
        <w:t>Équipe d</w:t>
      </w:r>
      <w:r w:rsidR="009034DF" w:rsidRPr="008C3899">
        <w:rPr>
          <w:i/>
        </w:rPr>
        <w:t>’</w:t>
      </w:r>
      <w:r w:rsidRPr="008C3899">
        <w:rPr>
          <w:i/>
        </w:rPr>
        <w:t>experts chargée de la norme XML4IP dans l</w:t>
      </w:r>
      <w:r w:rsidR="009034DF" w:rsidRPr="008C3899">
        <w:rPr>
          <w:i/>
        </w:rPr>
        <w:t>’</w:t>
      </w:r>
      <w:r w:rsidRPr="008C3899">
        <w:rPr>
          <w:i/>
        </w:rPr>
        <w:t>élaboration des composantes du schéma XML pour les données relatives à la situation juridique.”</w:t>
      </w:r>
      <w:r w:rsidR="00627DB9">
        <w:rPr>
          <w:i/>
        </w:rPr>
        <w:br/>
      </w:r>
      <w:r w:rsidR="00627DB9">
        <w:rPr>
          <w:i/>
        </w:rPr>
        <w:br/>
      </w:r>
    </w:p>
    <w:p w14:paraId="2CAC91BB" w14:textId="77777777" w:rsidR="009034DF" w:rsidRDefault="0075146B" w:rsidP="008C3899">
      <w:pPr>
        <w:pStyle w:val="ONUMFS"/>
      </w:pPr>
      <w:r>
        <w:lastRenderedPageBreak/>
        <w:t>L</w:t>
      </w:r>
      <w:r w:rsidR="009034DF">
        <w:t>’</w:t>
      </w:r>
      <w:r>
        <w:t>une des priorités de l</w:t>
      </w:r>
      <w:r w:rsidR="009034DF">
        <w:t>’</w:t>
      </w:r>
      <w:r>
        <w:t>Équipe d</w:t>
      </w:r>
      <w:r w:rsidR="009034DF">
        <w:t>’</w:t>
      </w:r>
      <w:r>
        <w:t>experts sur la situation juridique depuis la dernière session du CWS était de collaborer avec l</w:t>
      </w:r>
      <w:r w:rsidR="009034DF">
        <w:t>’</w:t>
      </w:r>
      <w:r>
        <w:t>Équipe d</w:t>
      </w:r>
      <w:r w:rsidR="009034DF">
        <w:t>’</w:t>
      </w:r>
      <w:r>
        <w:t>experts chargée de la norme XML4IP afin d</w:t>
      </w:r>
      <w:r w:rsidR="009034DF">
        <w:t>’</w:t>
      </w:r>
      <w:r>
        <w:t>élaborer les composantes du schéma XML permettant de saisir des données sur la situation juridique des marques sur la base de la norme ST.61 de l</w:t>
      </w:r>
      <w:r w:rsidR="009034DF">
        <w:t>’</w:t>
      </w:r>
      <w:r>
        <w:t>O</w:t>
      </w:r>
      <w:r w:rsidR="00CD6C7F">
        <w:t>MPI.  Le</w:t>
      </w:r>
      <w:r>
        <w:t>ur travail consistait en particulier à examiner les contenus de l</w:t>
      </w:r>
      <w:r w:rsidR="009034DF">
        <w:t>’</w:t>
      </w:r>
      <w:r>
        <w:t>annexe II, qui comporte des données supplémentaires pouvant être enregistrées pour chaque catégorie particulière de la norme ST.61.</w:t>
      </w:r>
    </w:p>
    <w:p w14:paraId="735F80EE" w14:textId="77777777" w:rsidR="009034DF" w:rsidRDefault="0075146B" w:rsidP="008C3899">
      <w:pPr>
        <w:pStyle w:val="ONUMFS"/>
      </w:pPr>
      <w:r>
        <w:t>Les experts nommés par les offices des deux équipes d</w:t>
      </w:r>
      <w:r w:rsidR="009034DF">
        <w:t>’</w:t>
      </w:r>
      <w:r>
        <w:t>experts ont été invités à proposer les éléments potentiellement manquants pour chaque catégorie d</w:t>
      </w:r>
      <w:r w:rsidR="009034DF">
        <w:t>’</w:t>
      </w:r>
      <w:r>
        <w:t>événeme</w:t>
      </w:r>
      <w:r w:rsidR="00CD6C7F">
        <w:t>nt.  Un</w:t>
      </w:r>
      <w:r>
        <w:t>e réunion en ligne de ces experts s</w:t>
      </w:r>
      <w:r w:rsidR="009034DF">
        <w:t>’</w:t>
      </w:r>
      <w:r>
        <w:t>est tenue en août 2023 afin d</w:t>
      </w:r>
      <w:r w:rsidR="009034DF">
        <w:t>’</w:t>
      </w:r>
      <w:r>
        <w:t>analyser les contributions des deux équipes d</w:t>
      </w:r>
      <w:r w:rsidR="009034DF">
        <w:t>’</w:t>
      </w:r>
      <w:r>
        <w:t>experts et d</w:t>
      </w:r>
      <w:r w:rsidR="009034DF">
        <w:t>’</w:t>
      </w:r>
      <w:r>
        <w:t>établir une proposition pour la révision de l</w:t>
      </w:r>
      <w:r w:rsidR="009034DF">
        <w:t>’</w:t>
      </w:r>
      <w:r>
        <w:t>annexe II de la norme ST.61 de l</w:t>
      </w:r>
      <w:r w:rsidR="009034DF">
        <w:t>’</w:t>
      </w:r>
      <w:r>
        <w:t>OMPI.</w:t>
      </w:r>
    </w:p>
    <w:p w14:paraId="31E22E09" w14:textId="77777777" w:rsidR="0075146B" w:rsidRDefault="0075146B" w:rsidP="008C3899">
      <w:pPr>
        <w:pStyle w:val="Heading2"/>
      </w:pPr>
      <w:r>
        <w:t>Projet de révision de la norme ST.61 de l</w:t>
      </w:r>
      <w:r w:rsidR="009034DF">
        <w:t>’</w:t>
      </w:r>
      <w:r>
        <w:t>OMPI</w:t>
      </w:r>
    </w:p>
    <w:p w14:paraId="4D0CE79C" w14:textId="77777777" w:rsidR="009034DF" w:rsidRDefault="0075146B" w:rsidP="008C3899">
      <w:pPr>
        <w:pStyle w:val="ONUMFS"/>
      </w:pPr>
      <w:r>
        <w:t>Dans le cadre de la tâche n</w:t>
      </w:r>
      <w:r w:rsidR="00CD6C7F">
        <w:t>° </w:t>
      </w:r>
      <w:r>
        <w:t>47, l</w:t>
      </w:r>
      <w:r w:rsidR="009034DF">
        <w:t>’</w:t>
      </w:r>
      <w:r>
        <w:t>Équipe d</w:t>
      </w:r>
      <w:r w:rsidR="009034DF">
        <w:t>’</w:t>
      </w:r>
      <w:r>
        <w:t>experts chargée de la situation juridique propose de réviser l</w:t>
      </w:r>
      <w:r w:rsidR="009034DF">
        <w:t>’</w:t>
      </w:r>
      <w:r>
        <w:t>annexe II de la norme ST.61 de l</w:t>
      </w:r>
      <w:r w:rsidR="009034DF">
        <w:t>’</w:t>
      </w:r>
      <w:r>
        <w:t>O</w:t>
      </w:r>
      <w:r w:rsidR="00CD6C7F">
        <w:t>MPI.  Le</w:t>
      </w:r>
      <w:r>
        <w:t xml:space="preserve"> projet de révision de l</w:t>
      </w:r>
      <w:r w:rsidR="009034DF">
        <w:t>’</w:t>
      </w:r>
      <w:r>
        <w:t>annexe II de la norme ST.61 de l</w:t>
      </w:r>
      <w:r w:rsidR="009034DF">
        <w:t>’</w:t>
      </w:r>
      <w:r>
        <w:t>OMPI figure en annexe du présent docume</w:t>
      </w:r>
      <w:r w:rsidR="00CD6C7F">
        <w:t>nt.  L’a</w:t>
      </w:r>
      <w:r>
        <w:t>nnexe comprend uniquement l</w:t>
      </w:r>
      <w:r w:rsidR="009034DF">
        <w:t>’</w:t>
      </w:r>
      <w:r>
        <w:t>annexe II de la norme ST.61, mais ne contient pas le corps de la norme</w:t>
      </w:r>
      <w:r w:rsidR="007C6EC6">
        <w:t> </w:t>
      </w:r>
      <w:r>
        <w:t>ST.61 ni les autres annex</w:t>
      </w:r>
      <w:r w:rsidR="00CD6C7F">
        <w:t>es.  Le</w:t>
      </w:r>
      <w:r>
        <w:t>s révisions sont indiquées en mode suivi des modifications</w:t>
      </w:r>
      <w:r w:rsidR="009034DF">
        <w:t> :</w:t>
      </w:r>
      <w:r>
        <w:t xml:space="preserve"> tout texte barré indique une suppression et tout texte souligné un ajout.</w:t>
      </w:r>
    </w:p>
    <w:p w14:paraId="031E2B6F" w14:textId="77777777" w:rsidR="0075146B" w:rsidRDefault="0075146B" w:rsidP="008C3899">
      <w:pPr>
        <w:pStyle w:val="ONUMFS"/>
      </w:pPr>
      <w:r>
        <w:t>Les modifications qu</w:t>
      </w:r>
      <w:r w:rsidR="009034DF">
        <w:t>’</w:t>
      </w:r>
      <w:r>
        <w:t>il est proposé d</w:t>
      </w:r>
      <w:r w:rsidR="009034DF">
        <w:t>’</w:t>
      </w:r>
      <w:r>
        <w:t>apporter à l</w:t>
      </w:r>
      <w:r w:rsidR="009034DF">
        <w:t>’</w:t>
      </w:r>
      <w:r>
        <w:t>annexe II de la norme ST.61 de l</w:t>
      </w:r>
      <w:r w:rsidR="009034DF">
        <w:t>’</w:t>
      </w:r>
      <w:r>
        <w:t>OMPI peuvent être résumées comme suit</w:t>
      </w:r>
      <w:r w:rsidR="009034DF"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22"/>
      </w:tblGrid>
      <w:tr w:rsidR="0075146B" w14:paraId="15FD9219" w14:textId="77777777" w:rsidTr="001602F7">
        <w:tc>
          <w:tcPr>
            <w:tcW w:w="1555" w:type="dxa"/>
            <w:shd w:val="pct10" w:color="auto" w:fill="auto"/>
          </w:tcPr>
          <w:p w14:paraId="3774FA0C" w14:textId="77777777" w:rsidR="0075146B" w:rsidRDefault="0075146B" w:rsidP="008C3899">
            <w:pPr>
              <w:jc w:val="center"/>
            </w:pPr>
            <w:r>
              <w:t>Catégorie</w:t>
            </w:r>
          </w:p>
        </w:tc>
        <w:tc>
          <w:tcPr>
            <w:tcW w:w="2268" w:type="dxa"/>
            <w:shd w:val="pct10" w:color="auto" w:fill="auto"/>
          </w:tcPr>
          <w:p w14:paraId="1DA96519" w14:textId="77777777" w:rsidR="0075146B" w:rsidRDefault="0075146B" w:rsidP="008C3899">
            <w:pPr>
              <w:jc w:val="center"/>
            </w:pPr>
            <w:r>
              <w:t>Événement</w:t>
            </w:r>
          </w:p>
        </w:tc>
        <w:tc>
          <w:tcPr>
            <w:tcW w:w="5522" w:type="dxa"/>
            <w:shd w:val="pct10" w:color="auto" w:fill="auto"/>
          </w:tcPr>
          <w:p w14:paraId="0698262F" w14:textId="77777777" w:rsidR="0075146B" w:rsidRDefault="0075146B" w:rsidP="008C3899">
            <w:pPr>
              <w:jc w:val="center"/>
            </w:pPr>
            <w:r>
              <w:t>Ajout proposé</w:t>
            </w:r>
          </w:p>
        </w:tc>
      </w:tr>
      <w:tr w:rsidR="0075146B" w14:paraId="2EB3F69E" w14:textId="77777777" w:rsidTr="001602F7">
        <w:tc>
          <w:tcPr>
            <w:tcW w:w="1555" w:type="dxa"/>
          </w:tcPr>
          <w:p w14:paraId="3BDA8553" w14:textId="77777777" w:rsidR="0075146B" w:rsidRDefault="0075146B" w:rsidP="008C3899">
            <w:pPr>
              <w:spacing w:after="240"/>
              <w:jc w:val="center"/>
            </w:pPr>
            <w:r>
              <w:t>A</w:t>
            </w:r>
          </w:p>
        </w:tc>
        <w:tc>
          <w:tcPr>
            <w:tcW w:w="2268" w:type="dxa"/>
          </w:tcPr>
          <w:p w14:paraId="49399C7D" w14:textId="77777777" w:rsidR="0075146B" w:rsidRDefault="0075146B" w:rsidP="008C3899">
            <w:pPr>
              <w:spacing w:after="240"/>
            </w:pPr>
            <w:r>
              <w:t>Dépôt de la demande</w:t>
            </w:r>
          </w:p>
        </w:tc>
        <w:tc>
          <w:tcPr>
            <w:tcW w:w="5522" w:type="dxa"/>
          </w:tcPr>
          <w:p w14:paraId="4235515C" w14:textId="77777777" w:rsidR="0075146B" w:rsidRDefault="0075146B" w:rsidP="00354880">
            <w:pPr>
              <w:pStyle w:val="ListParagraph"/>
              <w:numPr>
                <w:ilvl w:val="0"/>
                <w:numId w:val="8"/>
              </w:numPr>
              <w:spacing w:after="240"/>
              <w:ind w:hanging="541"/>
            </w:pPr>
            <w:r>
              <w:t>Type de marque (par exemple, marque collective)</w:t>
            </w:r>
          </w:p>
          <w:p w14:paraId="127F0A1F" w14:textId="77777777" w:rsidR="0075146B" w:rsidRDefault="0075146B" w:rsidP="00354880">
            <w:pPr>
              <w:pStyle w:val="ListParagraph"/>
              <w:numPr>
                <w:ilvl w:val="0"/>
                <w:numId w:val="8"/>
              </w:numPr>
              <w:spacing w:after="240"/>
              <w:ind w:hanging="541"/>
            </w:pPr>
            <w:r>
              <w:t>Type de marque (par exemple, marque figurative)</w:t>
            </w:r>
          </w:p>
        </w:tc>
      </w:tr>
      <w:tr w:rsidR="0075146B" w14:paraId="2CB7C8C8" w14:textId="77777777" w:rsidTr="001602F7">
        <w:tc>
          <w:tcPr>
            <w:tcW w:w="1555" w:type="dxa"/>
          </w:tcPr>
          <w:p w14:paraId="4908DD72" w14:textId="77777777" w:rsidR="0075146B" w:rsidRDefault="0075146B" w:rsidP="008C3899">
            <w:pPr>
              <w:spacing w:after="240"/>
              <w:jc w:val="center"/>
            </w:pPr>
            <w:r>
              <w:t>B</w:t>
            </w:r>
          </w:p>
        </w:tc>
        <w:tc>
          <w:tcPr>
            <w:tcW w:w="2268" w:type="dxa"/>
          </w:tcPr>
          <w:p w14:paraId="74243447" w14:textId="77777777" w:rsidR="0075146B" w:rsidRDefault="0075146B" w:rsidP="008C3899">
            <w:pPr>
              <w:spacing w:after="240"/>
            </w:pPr>
            <w:r>
              <w:t>Suspension de la demande</w:t>
            </w:r>
          </w:p>
        </w:tc>
        <w:tc>
          <w:tcPr>
            <w:tcW w:w="5522" w:type="dxa"/>
          </w:tcPr>
          <w:p w14:paraId="2BF68E24" w14:textId="77777777" w:rsidR="0075146B" w:rsidRDefault="0075146B" w:rsidP="00354880">
            <w:pPr>
              <w:pStyle w:val="ListParagraph"/>
              <w:numPr>
                <w:ilvl w:val="0"/>
                <w:numId w:val="9"/>
              </w:numPr>
              <w:spacing w:after="240"/>
              <w:ind w:hanging="541"/>
            </w:pPr>
            <w:r>
              <w:t>Informations judiciaires</w:t>
            </w:r>
          </w:p>
        </w:tc>
      </w:tr>
      <w:tr w:rsidR="0075146B" w14:paraId="022B65C8" w14:textId="77777777" w:rsidTr="001602F7">
        <w:tc>
          <w:tcPr>
            <w:tcW w:w="1555" w:type="dxa"/>
          </w:tcPr>
          <w:p w14:paraId="219E61FF" w14:textId="77777777" w:rsidR="0075146B" w:rsidRDefault="0075146B" w:rsidP="008C3899">
            <w:pPr>
              <w:spacing w:after="240"/>
              <w:jc w:val="center"/>
            </w:pPr>
            <w:r>
              <w:t>C</w:t>
            </w:r>
          </w:p>
        </w:tc>
        <w:tc>
          <w:tcPr>
            <w:tcW w:w="2268" w:type="dxa"/>
          </w:tcPr>
          <w:p w14:paraId="54223619" w14:textId="77777777" w:rsidR="0075146B" w:rsidRDefault="0075146B" w:rsidP="008C3899">
            <w:pPr>
              <w:spacing w:after="240"/>
            </w:pPr>
            <w:r>
              <w:t>Réactivation de la demande</w:t>
            </w:r>
          </w:p>
        </w:tc>
        <w:tc>
          <w:tcPr>
            <w:tcW w:w="5522" w:type="dxa"/>
          </w:tcPr>
          <w:p w14:paraId="3F823B58" w14:textId="77777777" w:rsidR="0075146B" w:rsidRDefault="0075146B" w:rsidP="00354880">
            <w:pPr>
              <w:pStyle w:val="ListParagraph"/>
              <w:numPr>
                <w:ilvl w:val="0"/>
                <w:numId w:val="9"/>
              </w:numPr>
              <w:spacing w:after="240"/>
              <w:ind w:hanging="541"/>
            </w:pPr>
            <w:r>
              <w:t>Motif de réactivation</w:t>
            </w:r>
          </w:p>
        </w:tc>
      </w:tr>
      <w:tr w:rsidR="0075146B" w14:paraId="41B28B7A" w14:textId="77777777" w:rsidTr="001602F7">
        <w:tc>
          <w:tcPr>
            <w:tcW w:w="1555" w:type="dxa"/>
          </w:tcPr>
          <w:p w14:paraId="55EC4FB8" w14:textId="77777777" w:rsidR="0075146B" w:rsidRDefault="0075146B" w:rsidP="008C3899">
            <w:pPr>
              <w:spacing w:after="240"/>
              <w:jc w:val="center"/>
            </w:pPr>
            <w:r>
              <w:t>D</w:t>
            </w:r>
          </w:p>
        </w:tc>
        <w:tc>
          <w:tcPr>
            <w:tcW w:w="2268" w:type="dxa"/>
          </w:tcPr>
          <w:p w14:paraId="65BB2A2C" w14:textId="77777777" w:rsidR="0075146B" w:rsidRDefault="0075146B" w:rsidP="008C3899">
            <w:pPr>
              <w:spacing w:after="240"/>
            </w:pPr>
            <w:r>
              <w:t>Recherche et examen</w:t>
            </w:r>
          </w:p>
        </w:tc>
        <w:tc>
          <w:tcPr>
            <w:tcW w:w="5522" w:type="dxa"/>
          </w:tcPr>
          <w:p w14:paraId="584DD324" w14:textId="77777777" w:rsidR="0075146B" w:rsidRDefault="0075146B" w:rsidP="00354880">
            <w:pPr>
              <w:pStyle w:val="ListParagraph"/>
              <w:numPr>
                <w:ilvl w:val="0"/>
                <w:numId w:val="9"/>
              </w:numPr>
              <w:spacing w:after="240"/>
              <w:ind w:hanging="541"/>
            </w:pPr>
            <w:r>
              <w:t>Type d</w:t>
            </w:r>
            <w:r w:rsidR="009034DF">
              <w:t>’</w:t>
            </w:r>
            <w:r>
              <w:t>examen (par exemple, examen quant au fond)</w:t>
            </w:r>
          </w:p>
          <w:p w14:paraId="3CAA0144" w14:textId="77777777" w:rsidR="0075146B" w:rsidRDefault="0075146B" w:rsidP="00354880">
            <w:pPr>
              <w:pStyle w:val="ListParagraph"/>
              <w:numPr>
                <w:ilvl w:val="0"/>
                <w:numId w:val="9"/>
              </w:numPr>
              <w:spacing w:after="240"/>
              <w:ind w:hanging="541"/>
            </w:pPr>
            <w:r>
              <w:t>Données du rapport d</w:t>
            </w:r>
            <w:r w:rsidR="009034DF">
              <w:t>’</w:t>
            </w:r>
            <w:r>
              <w:t>examen</w:t>
            </w:r>
          </w:p>
          <w:p w14:paraId="60FF6AD6" w14:textId="77777777" w:rsidR="0075146B" w:rsidRDefault="0075146B" w:rsidP="00354880">
            <w:pPr>
              <w:pStyle w:val="ListParagraph"/>
              <w:numPr>
                <w:ilvl w:val="0"/>
                <w:numId w:val="9"/>
              </w:numPr>
              <w:spacing w:after="240"/>
              <w:ind w:hanging="541"/>
            </w:pPr>
            <w:r>
              <w:t>Données du rapport de recherche</w:t>
            </w:r>
          </w:p>
        </w:tc>
      </w:tr>
      <w:tr w:rsidR="0075146B" w14:paraId="0F0F092B" w14:textId="77777777" w:rsidTr="001602F7">
        <w:tc>
          <w:tcPr>
            <w:tcW w:w="1555" w:type="dxa"/>
          </w:tcPr>
          <w:p w14:paraId="799DAB32" w14:textId="77777777" w:rsidR="0075146B" w:rsidRDefault="0075146B" w:rsidP="008C3899">
            <w:pPr>
              <w:spacing w:after="240"/>
              <w:jc w:val="center"/>
            </w:pPr>
            <w:r>
              <w:t>F</w:t>
            </w:r>
          </w:p>
        </w:tc>
        <w:tc>
          <w:tcPr>
            <w:tcW w:w="2268" w:type="dxa"/>
          </w:tcPr>
          <w:p w14:paraId="30BDA23D" w14:textId="77777777" w:rsidR="0075146B" w:rsidRDefault="0075146B" w:rsidP="008C3899">
            <w:pPr>
              <w:spacing w:after="240"/>
            </w:pPr>
            <w:r>
              <w:t>Enregistrement de la marque</w:t>
            </w:r>
          </w:p>
        </w:tc>
        <w:tc>
          <w:tcPr>
            <w:tcW w:w="5522" w:type="dxa"/>
          </w:tcPr>
          <w:p w14:paraId="7605C869" w14:textId="77777777" w:rsidR="0075146B" w:rsidRDefault="0075146B" w:rsidP="00354880">
            <w:pPr>
              <w:pStyle w:val="ListParagraph"/>
              <w:numPr>
                <w:ilvl w:val="0"/>
                <w:numId w:val="10"/>
              </w:numPr>
              <w:spacing w:after="240"/>
              <w:ind w:hanging="541"/>
            </w:pPr>
            <w:r>
              <w:t>Type de marque (par exemple, marque collective)</w:t>
            </w:r>
          </w:p>
          <w:p w14:paraId="56E66492" w14:textId="77777777" w:rsidR="0075146B" w:rsidRDefault="0075146B" w:rsidP="00354880">
            <w:pPr>
              <w:pStyle w:val="ListParagraph"/>
              <w:numPr>
                <w:ilvl w:val="0"/>
                <w:numId w:val="10"/>
              </w:numPr>
              <w:spacing w:after="240"/>
              <w:ind w:hanging="541"/>
            </w:pPr>
            <w:r>
              <w:t>Type de marque (par exemple, marque figurative)</w:t>
            </w:r>
          </w:p>
          <w:p w14:paraId="5FAD1BC4" w14:textId="77777777" w:rsidR="0075146B" w:rsidRDefault="0075146B" w:rsidP="00354880">
            <w:pPr>
              <w:pStyle w:val="ListParagraph"/>
              <w:spacing w:after="240"/>
              <w:ind w:hanging="541"/>
            </w:pPr>
          </w:p>
        </w:tc>
      </w:tr>
      <w:tr w:rsidR="0075146B" w14:paraId="58A946A8" w14:textId="77777777" w:rsidTr="001602F7">
        <w:tc>
          <w:tcPr>
            <w:tcW w:w="1555" w:type="dxa"/>
          </w:tcPr>
          <w:p w14:paraId="4EDF7DBA" w14:textId="77777777" w:rsidR="0075146B" w:rsidRDefault="0075146B" w:rsidP="008C3899">
            <w:pPr>
              <w:spacing w:after="240"/>
              <w:jc w:val="center"/>
            </w:pPr>
            <w:r>
              <w:t>H</w:t>
            </w:r>
          </w:p>
        </w:tc>
        <w:tc>
          <w:tcPr>
            <w:tcW w:w="2268" w:type="dxa"/>
          </w:tcPr>
          <w:p w14:paraId="6EE730DE" w14:textId="77777777" w:rsidR="0075146B" w:rsidRDefault="0075146B" w:rsidP="008C3899">
            <w:pPr>
              <w:spacing w:after="240"/>
            </w:pPr>
            <w:r>
              <w:t>Suspension du droit de propriété industrielle</w:t>
            </w:r>
          </w:p>
          <w:p w14:paraId="364AAEDB" w14:textId="77777777" w:rsidR="00627DB9" w:rsidRDefault="00627DB9" w:rsidP="008C3899">
            <w:pPr>
              <w:spacing w:after="240"/>
            </w:pPr>
          </w:p>
        </w:tc>
        <w:tc>
          <w:tcPr>
            <w:tcW w:w="5522" w:type="dxa"/>
          </w:tcPr>
          <w:p w14:paraId="6A22EB49" w14:textId="77777777" w:rsidR="0075146B" w:rsidRDefault="0075146B" w:rsidP="00354880">
            <w:pPr>
              <w:pStyle w:val="ListParagraph"/>
              <w:numPr>
                <w:ilvl w:val="0"/>
                <w:numId w:val="11"/>
              </w:numPr>
              <w:spacing w:after="240"/>
              <w:ind w:hanging="541"/>
            </w:pPr>
            <w:r>
              <w:t>Informations judiciaires</w:t>
            </w:r>
          </w:p>
        </w:tc>
      </w:tr>
      <w:tr w:rsidR="0075146B" w14:paraId="2B3C0829" w14:textId="77777777" w:rsidTr="001602F7">
        <w:tc>
          <w:tcPr>
            <w:tcW w:w="1555" w:type="dxa"/>
          </w:tcPr>
          <w:p w14:paraId="71086D86" w14:textId="77777777" w:rsidR="0075146B" w:rsidRDefault="0075146B" w:rsidP="008C3899">
            <w:pPr>
              <w:spacing w:after="240"/>
              <w:jc w:val="center"/>
            </w:pPr>
            <w:r>
              <w:lastRenderedPageBreak/>
              <w:t>L</w:t>
            </w:r>
          </w:p>
        </w:tc>
        <w:tc>
          <w:tcPr>
            <w:tcW w:w="2268" w:type="dxa"/>
          </w:tcPr>
          <w:p w14:paraId="6B5EAD5B" w14:textId="77777777" w:rsidR="0075146B" w:rsidRDefault="0075146B" w:rsidP="008C3899">
            <w:pPr>
              <w:spacing w:after="240"/>
            </w:pPr>
            <w:r>
              <w:t>Demande de réexamen du droit de propriété industrielle</w:t>
            </w:r>
          </w:p>
        </w:tc>
        <w:tc>
          <w:tcPr>
            <w:tcW w:w="5522" w:type="dxa"/>
          </w:tcPr>
          <w:p w14:paraId="2A2D69AE" w14:textId="77777777" w:rsidR="0075146B" w:rsidRDefault="0075146B" w:rsidP="00354880">
            <w:pPr>
              <w:pStyle w:val="ListParagraph"/>
              <w:numPr>
                <w:ilvl w:val="0"/>
                <w:numId w:val="11"/>
              </w:numPr>
              <w:spacing w:after="240"/>
              <w:ind w:hanging="541"/>
            </w:pPr>
            <w:r>
              <w:t>Motif de demande de réexamen du droit de propriété industrielle</w:t>
            </w:r>
          </w:p>
        </w:tc>
      </w:tr>
      <w:tr w:rsidR="0075146B" w14:paraId="2CD3399B" w14:textId="77777777" w:rsidTr="001602F7">
        <w:tc>
          <w:tcPr>
            <w:tcW w:w="1555" w:type="dxa"/>
          </w:tcPr>
          <w:p w14:paraId="3911DF77" w14:textId="77777777" w:rsidR="0075146B" w:rsidRDefault="0075146B" w:rsidP="008C3899">
            <w:pPr>
              <w:spacing w:after="240"/>
              <w:jc w:val="center"/>
            </w:pPr>
            <w:r>
              <w:t>R</w:t>
            </w:r>
          </w:p>
        </w:tc>
        <w:tc>
          <w:tcPr>
            <w:tcW w:w="2268" w:type="dxa"/>
          </w:tcPr>
          <w:p w14:paraId="7DB6B883" w14:textId="77777777" w:rsidR="0075146B" w:rsidRDefault="0075146B" w:rsidP="008C3899">
            <w:pPr>
              <w:spacing w:after="240"/>
            </w:pPr>
            <w:r>
              <w:t>Modification des données concernant les parties</w:t>
            </w:r>
          </w:p>
        </w:tc>
        <w:tc>
          <w:tcPr>
            <w:tcW w:w="5522" w:type="dxa"/>
          </w:tcPr>
          <w:p w14:paraId="65D16316" w14:textId="77777777" w:rsidR="0075146B" w:rsidRDefault="0075146B" w:rsidP="00354880">
            <w:pPr>
              <w:pStyle w:val="ListParagraph"/>
              <w:numPr>
                <w:ilvl w:val="0"/>
                <w:numId w:val="11"/>
              </w:numPr>
              <w:spacing w:after="240"/>
              <w:ind w:hanging="541"/>
            </w:pPr>
            <w:r>
              <w:t>Produits/services transférés</w:t>
            </w:r>
          </w:p>
        </w:tc>
      </w:tr>
    </w:tbl>
    <w:p w14:paraId="3E55B764" w14:textId="77777777" w:rsidR="00627DB9" w:rsidRDefault="00627DB9" w:rsidP="00627DB9">
      <w:pPr>
        <w:pStyle w:val="ONUMFS"/>
        <w:numPr>
          <w:ilvl w:val="0"/>
          <w:numId w:val="0"/>
        </w:numPr>
        <w:ind w:left="5533"/>
        <w:rPr>
          <w:i/>
        </w:rPr>
      </w:pPr>
    </w:p>
    <w:p w14:paraId="79694720" w14:textId="77777777" w:rsidR="0075146B" w:rsidRPr="008C3899" w:rsidRDefault="0075146B" w:rsidP="008C3899">
      <w:pPr>
        <w:pStyle w:val="ONUMFS"/>
        <w:ind w:left="5533"/>
        <w:rPr>
          <w:i/>
        </w:rPr>
      </w:pPr>
      <w:r w:rsidRPr="008C3899">
        <w:rPr>
          <w:i/>
        </w:rPr>
        <w:t>Le CWS est invité à</w:t>
      </w:r>
      <w:r w:rsidR="009034DF" w:rsidRPr="008C3899">
        <w:rPr>
          <w:i/>
        </w:rPr>
        <w:t> :</w:t>
      </w:r>
    </w:p>
    <w:p w14:paraId="56DA819F" w14:textId="77777777" w:rsidR="0075146B" w:rsidRPr="008C3899" w:rsidRDefault="0075146B" w:rsidP="008C3899">
      <w:pPr>
        <w:pStyle w:val="ONUMFS"/>
        <w:numPr>
          <w:ilvl w:val="0"/>
          <w:numId w:val="13"/>
        </w:numPr>
        <w:ind w:left="5534" w:firstLine="709"/>
        <w:rPr>
          <w:i/>
          <w:szCs w:val="22"/>
        </w:rPr>
      </w:pPr>
      <w:proofErr w:type="gramStart"/>
      <w:r w:rsidRPr="008C3899">
        <w:rPr>
          <w:i/>
        </w:rPr>
        <w:t>prendre</w:t>
      </w:r>
      <w:proofErr w:type="gramEnd"/>
      <w:r w:rsidRPr="008C3899">
        <w:rPr>
          <w:i/>
        </w:rPr>
        <w:t xml:space="preserve"> note du contenu du présent document et de son annexe et</w:t>
      </w:r>
    </w:p>
    <w:p w14:paraId="17AB994A" w14:textId="77777777" w:rsidR="009034DF" w:rsidRPr="008C3899" w:rsidRDefault="0075146B" w:rsidP="008C3899">
      <w:pPr>
        <w:pStyle w:val="ONUMFS"/>
        <w:numPr>
          <w:ilvl w:val="0"/>
          <w:numId w:val="13"/>
        </w:numPr>
        <w:ind w:left="5534" w:firstLine="709"/>
        <w:rPr>
          <w:i/>
        </w:rPr>
      </w:pPr>
      <w:proofErr w:type="gramStart"/>
      <w:r w:rsidRPr="008C3899">
        <w:rPr>
          <w:i/>
        </w:rPr>
        <w:t>examiner</w:t>
      </w:r>
      <w:proofErr w:type="gramEnd"/>
      <w:r w:rsidRPr="008C3899">
        <w:rPr>
          <w:i/>
        </w:rPr>
        <w:t xml:space="preserve"> et approuver le projet de révision de la norme ST.61, tel que présenté dans les paragraphes 6 et 7 ci</w:t>
      </w:r>
      <w:r w:rsidR="008C3899" w:rsidRPr="008C3899">
        <w:rPr>
          <w:i/>
        </w:rPr>
        <w:noBreakHyphen/>
      </w:r>
      <w:r w:rsidRPr="008C3899">
        <w:rPr>
          <w:i/>
        </w:rPr>
        <w:t>dessus et reproduit en annexe du présent document.</w:t>
      </w:r>
    </w:p>
    <w:p w14:paraId="2D246E45" w14:textId="77777777" w:rsidR="0075146B" w:rsidRPr="001D7E0A" w:rsidRDefault="0075146B" w:rsidP="008C3899">
      <w:pPr>
        <w:pStyle w:val="Endofdocument-Annex"/>
        <w:spacing w:before="720"/>
      </w:pPr>
      <w:r>
        <w:t>[</w:t>
      </w:r>
      <w:r w:rsidRPr="008C3899">
        <w:rPr>
          <w:lang w:val="fr-FR"/>
        </w:rPr>
        <w:t>L</w:t>
      </w:r>
      <w:r w:rsidR="009034DF" w:rsidRPr="008C3899">
        <w:rPr>
          <w:lang w:val="fr-FR"/>
        </w:rPr>
        <w:t>’</w:t>
      </w:r>
      <w:r w:rsidRPr="008C3899">
        <w:rPr>
          <w:lang w:val="fr-FR"/>
        </w:rPr>
        <w:t>annexe</w:t>
      </w:r>
      <w:r>
        <w:t xml:space="preserve"> suit]</w:t>
      </w:r>
    </w:p>
    <w:sectPr w:rsidR="0075146B" w:rsidRPr="001D7E0A" w:rsidSect="008C38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B4C6" w14:textId="77777777" w:rsidR="000B6EBF" w:rsidRDefault="000B6EBF">
      <w:r>
        <w:separator/>
      </w:r>
    </w:p>
  </w:endnote>
  <w:endnote w:type="continuationSeparator" w:id="0">
    <w:p w14:paraId="48247CF1" w14:textId="77777777" w:rsidR="000B6EBF" w:rsidRPr="009D30E6" w:rsidRDefault="000B6EB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ADA17D9" w14:textId="77777777" w:rsidR="000B6EBF" w:rsidRPr="009D30E6" w:rsidRDefault="000B6EB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434F68B" w14:textId="77777777" w:rsidR="000B6EBF" w:rsidRPr="009D30E6" w:rsidRDefault="000B6EB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A1BC" w14:textId="77777777" w:rsidR="00CD6C7F" w:rsidRDefault="00CD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D821" w14:textId="77777777" w:rsidR="00533626" w:rsidRDefault="0053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F5A7" w14:textId="77777777" w:rsidR="00533626" w:rsidRDefault="0053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836A" w14:textId="77777777" w:rsidR="000B6EBF" w:rsidRDefault="000B6EBF">
      <w:r>
        <w:separator/>
      </w:r>
    </w:p>
  </w:footnote>
  <w:footnote w:type="continuationSeparator" w:id="0">
    <w:p w14:paraId="29701F6A" w14:textId="77777777" w:rsidR="000B6EBF" w:rsidRDefault="000B6EBF" w:rsidP="007461F1">
      <w:r>
        <w:separator/>
      </w:r>
    </w:p>
    <w:p w14:paraId="4D71EA84" w14:textId="77777777" w:rsidR="000B6EBF" w:rsidRPr="009D30E6" w:rsidRDefault="000B6EB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DCAC126" w14:textId="77777777" w:rsidR="000B6EBF" w:rsidRPr="009D30E6" w:rsidRDefault="000B6EB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7F52" w14:textId="77777777" w:rsidR="00CD6C7F" w:rsidRDefault="00CD6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1FD8" w14:textId="77777777" w:rsidR="00F16975" w:rsidRPr="00B45C15" w:rsidRDefault="0075146B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3C09D8">
      <w:rPr>
        <w:caps/>
      </w:rPr>
      <w:t>WS/11/</w:t>
    </w:r>
    <w:r>
      <w:rPr>
        <w:caps/>
      </w:rPr>
      <w:t>9</w:t>
    </w:r>
  </w:p>
  <w:p w14:paraId="4FBC8712" w14:textId="77777777" w:rsidR="00574036" w:rsidRDefault="00F16975" w:rsidP="003C09D8">
    <w:pPr>
      <w:spacing w:after="48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93FB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26B7" w14:textId="77777777" w:rsidR="00CD6C7F" w:rsidRDefault="00CD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5B5167"/>
    <w:multiLevelType w:val="multilevel"/>
    <w:tmpl w:val="60B8E3A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567985"/>
    <w:multiLevelType w:val="hybridMultilevel"/>
    <w:tmpl w:val="0FEE6670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D36C9"/>
    <w:multiLevelType w:val="hybridMultilevel"/>
    <w:tmpl w:val="E44AA230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B2931"/>
    <w:multiLevelType w:val="hybridMultilevel"/>
    <w:tmpl w:val="D092FBA2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52C1"/>
    <w:multiLevelType w:val="hybridMultilevel"/>
    <w:tmpl w:val="9D6243EE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0E1"/>
    <w:multiLevelType w:val="hybridMultilevel"/>
    <w:tmpl w:val="43661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11257"/>
    <w:multiLevelType w:val="hybridMultilevel"/>
    <w:tmpl w:val="4A62DFDE"/>
    <w:lvl w:ilvl="0" w:tplc="BFE65F60">
      <w:start w:val="8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 w16cid:durableId="411440261">
    <w:abstractNumId w:val="4"/>
  </w:num>
  <w:num w:numId="2" w16cid:durableId="1956674004">
    <w:abstractNumId w:val="7"/>
  </w:num>
  <w:num w:numId="3" w16cid:durableId="2024671076">
    <w:abstractNumId w:val="0"/>
  </w:num>
  <w:num w:numId="4" w16cid:durableId="369502653">
    <w:abstractNumId w:val="8"/>
  </w:num>
  <w:num w:numId="5" w16cid:durableId="30305616">
    <w:abstractNumId w:val="1"/>
  </w:num>
  <w:num w:numId="6" w16cid:durableId="549145388">
    <w:abstractNumId w:val="6"/>
  </w:num>
  <w:num w:numId="7" w16cid:durableId="486673548">
    <w:abstractNumId w:val="11"/>
  </w:num>
  <w:num w:numId="8" w16cid:durableId="1545874648">
    <w:abstractNumId w:val="9"/>
  </w:num>
  <w:num w:numId="9" w16cid:durableId="1055741910">
    <w:abstractNumId w:val="3"/>
  </w:num>
  <w:num w:numId="10" w16cid:durableId="1003702675">
    <w:abstractNumId w:val="5"/>
  </w:num>
  <w:num w:numId="11" w16cid:durableId="823426277">
    <w:abstractNumId w:val="10"/>
  </w:num>
  <w:num w:numId="12" w16cid:durableId="528685924">
    <w:abstractNumId w:val="12"/>
  </w:num>
  <w:num w:numId="13" w16cid:durableId="178087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B"/>
    <w:rsid w:val="00011B7D"/>
    <w:rsid w:val="00075432"/>
    <w:rsid w:val="0009458A"/>
    <w:rsid w:val="000B6EBF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F16BC"/>
    <w:rsid w:val="002F4E68"/>
    <w:rsid w:val="00322C0B"/>
    <w:rsid w:val="00354880"/>
    <w:rsid w:val="00381798"/>
    <w:rsid w:val="003845C1"/>
    <w:rsid w:val="003A67A3"/>
    <w:rsid w:val="003C09D8"/>
    <w:rsid w:val="004008A2"/>
    <w:rsid w:val="004025DF"/>
    <w:rsid w:val="0040540C"/>
    <w:rsid w:val="00423E3E"/>
    <w:rsid w:val="00427AF4"/>
    <w:rsid w:val="004647DA"/>
    <w:rsid w:val="00477D6B"/>
    <w:rsid w:val="004D6471"/>
    <w:rsid w:val="004F2AE2"/>
    <w:rsid w:val="0051455D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27DB9"/>
    <w:rsid w:val="006B0DB5"/>
    <w:rsid w:val="00726A01"/>
    <w:rsid w:val="007461F1"/>
    <w:rsid w:val="0075146B"/>
    <w:rsid w:val="00751809"/>
    <w:rsid w:val="007C6EC6"/>
    <w:rsid w:val="007D6961"/>
    <w:rsid w:val="007F07CB"/>
    <w:rsid w:val="00810CEF"/>
    <w:rsid w:val="0081208D"/>
    <w:rsid w:val="008B2CC1"/>
    <w:rsid w:val="008C3899"/>
    <w:rsid w:val="008E7930"/>
    <w:rsid w:val="009034DF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E0BE0"/>
    <w:rsid w:val="00C42541"/>
    <w:rsid w:val="00C664C8"/>
    <w:rsid w:val="00CD6C7F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93FB5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97B20"/>
  <w15:docId w15:val="{E35D8885-0975-4A67-9A65-884F13A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751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75146B"/>
    <w:pPr>
      <w:ind w:left="720"/>
      <w:contextualSpacing/>
    </w:pPr>
    <w:rPr>
      <w:lang w:val="fr-FR"/>
    </w:rPr>
  </w:style>
  <w:style w:type="table" w:styleId="TableGrid">
    <w:name w:val="Table Grid"/>
    <w:basedOn w:val="TableNormal"/>
    <w:rsid w:val="0075146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ONUMFSItalic">
    <w:name w:val="Style ONUM FS + Italic"/>
    <w:basedOn w:val="ONUMFS"/>
    <w:rsid w:val="008C3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fr/part_07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56BB-D80A-4E98-86DB-55313B97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CWS/11/9</vt:lpstr>
    </vt:vector>
  </TitlesOfParts>
  <Company>WIPO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CWS/11/9</dc:title>
  <dc:creator>WIPO</dc:creator>
  <cp:keywords>FOR OFFICIAL USE ONLY</cp:keywords>
  <cp:lastModifiedBy>SEILER Joséphine</cp:lastModifiedBy>
  <cp:revision>5</cp:revision>
  <cp:lastPrinted>2023-10-12T14:39:00Z</cp:lastPrinted>
  <dcterms:created xsi:type="dcterms:W3CDTF">2023-10-12T14:38:00Z</dcterms:created>
  <dcterms:modified xsi:type="dcterms:W3CDTF">2023-10-13T08:22:00Z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2023-10-12T14:00:21Z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b71fc80f-e777-4dcd-b185-0c5e1c81aa2d</vt:lpwstr>
  </property>
  <property fmtid="{D5CDD505-2E9C-101B-9397-08002B2CF9AE}" pid="13" name="MSIP_Label_20773ee6-353b-4fb9-a59d-0b94c8c67bea_ContentBits">
    <vt:lpwstr>0</vt:lpwstr>
  </property>
</Properties>
</file>