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3F6D" w14:textId="0D815B71" w:rsidR="008B2CC1" w:rsidRPr="00F043DE" w:rsidRDefault="006D7383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77D89473" wp14:editId="4AC3FF88">
            <wp:extent cx="3246120" cy="1630680"/>
            <wp:effectExtent l="0" t="0" r="0" b="7620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3745BC45" w:rsidR="008B2CC1" w:rsidRPr="00CC3FC1" w:rsidRDefault="00D05A1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CWS/11/</w:t>
      </w:r>
      <w:bookmarkStart w:id="0" w:name="Code"/>
      <w:bookmarkEnd w:id="0"/>
      <w:r>
        <w:rPr>
          <w:rFonts w:ascii="Arial Black" w:hAnsi="Arial Black"/>
          <w:caps/>
          <w:sz w:val="15"/>
        </w:rPr>
        <w:t>8</w:t>
      </w:r>
      <w:r w:rsidR="00CE69DA" w:rsidRPr="007878B8">
        <w:rPr>
          <w:rFonts w:ascii="Arial Black" w:hAnsi="Arial Black"/>
          <w:caps/>
          <w:sz w:val="15"/>
        </w:rPr>
        <w:t xml:space="preserve"> </w:t>
      </w:r>
      <w:r w:rsidR="00CE69DA">
        <w:rPr>
          <w:rFonts w:ascii="Arial Black" w:hAnsi="Arial Black"/>
          <w:caps/>
          <w:sz w:val="15"/>
          <w:lang w:val="en-US"/>
        </w:rPr>
        <w:t>CORR</w:t>
      </w:r>
      <w:r w:rsidR="00CE69DA" w:rsidRPr="007878B8">
        <w:rPr>
          <w:rFonts w:ascii="Arial Black" w:hAnsi="Arial Black"/>
          <w:caps/>
          <w:sz w:val="15"/>
        </w:rPr>
        <w:t>.</w:t>
      </w:r>
    </w:p>
    <w:p w14:paraId="56156CD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0EFE54A5" w14:textId="0FDB87A9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5 </w:t>
      </w:r>
      <w:r w:rsidR="00CC3FC1">
        <w:rPr>
          <w:rFonts w:ascii="Arial Black" w:hAnsi="Arial Black"/>
          <w:caps/>
          <w:sz w:val="15"/>
        </w:rPr>
        <w:t>декабря</w:t>
      </w:r>
      <w:r>
        <w:rPr>
          <w:rFonts w:ascii="Arial Black" w:hAnsi="Arial Black"/>
          <w:caps/>
          <w:sz w:val="15"/>
        </w:rPr>
        <w:t xml:space="preserve"> 2023 г</w:t>
      </w:r>
      <w:r w:rsidR="00434B5E">
        <w:rPr>
          <w:rFonts w:ascii="Arial Black" w:hAnsi="Arial Black"/>
          <w:caps/>
          <w:sz w:val="15"/>
        </w:rPr>
        <w:t>ода</w:t>
      </w:r>
    </w:p>
    <w:bookmarkEnd w:id="2"/>
    <w:p w14:paraId="4E02092B" w14:textId="27EEBAB1" w:rsidR="008B2CC1" w:rsidRPr="00261643" w:rsidRDefault="00E45755" w:rsidP="00261643">
      <w:pPr>
        <w:pStyle w:val="Heading1"/>
        <w:numPr>
          <w:ilvl w:val="0"/>
          <w:numId w:val="0"/>
        </w:numPr>
      </w:pPr>
      <w:r>
        <w:t>Комитет по стандартам ВОИС (КСВ)</w:t>
      </w:r>
    </w:p>
    <w:p w14:paraId="3F269E8C" w14:textId="071034E3" w:rsidR="00E45755" w:rsidRPr="00846CF6" w:rsidRDefault="00A35557" w:rsidP="00E45755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Одиннадцатая сессия</w:t>
      </w:r>
    </w:p>
    <w:p w14:paraId="479D383A" w14:textId="4F30661F" w:rsidR="008B2CC1" w:rsidRPr="003845C1" w:rsidRDefault="00846CF6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4–8 декабря 2023 года</w:t>
      </w:r>
    </w:p>
    <w:p w14:paraId="02619D7C" w14:textId="4A16CF04" w:rsidR="004F4293" w:rsidRDefault="00913A36" w:rsidP="004F4293">
      <w:pPr>
        <w:rPr>
          <w:caps/>
          <w:sz w:val="24"/>
        </w:rPr>
      </w:pPr>
      <w:bookmarkStart w:id="3" w:name="Prepared"/>
      <w:bookmarkEnd w:id="3"/>
      <w:r>
        <w:rPr>
          <w:caps/>
          <w:sz w:val="24"/>
        </w:rPr>
        <w:t>Программа работы и перечень задач КСВ</w:t>
      </w:r>
    </w:p>
    <w:p w14:paraId="4C0BA64F" w14:textId="77777777" w:rsidR="004F4293" w:rsidRDefault="004F4293" w:rsidP="004F4293">
      <w:pPr>
        <w:rPr>
          <w:caps/>
          <w:sz w:val="24"/>
        </w:rPr>
      </w:pPr>
    </w:p>
    <w:p w14:paraId="38172407" w14:textId="71A4E26D" w:rsidR="002928D3" w:rsidRDefault="002E585B" w:rsidP="001D4107">
      <w:pPr>
        <w:spacing w:after="1040"/>
        <w:rPr>
          <w:i/>
        </w:rPr>
      </w:pPr>
      <w:r>
        <w:rPr>
          <w:i/>
        </w:rPr>
        <w:t>Документ подготовлен Секретариатом</w:t>
      </w:r>
    </w:p>
    <w:p w14:paraId="314062F6" w14:textId="77777777" w:rsidR="00C63AD7" w:rsidRDefault="00C63AD7" w:rsidP="00FA679E">
      <w:pPr>
        <w:pStyle w:val="Heading2"/>
        <w:numPr>
          <w:ilvl w:val="0"/>
          <w:numId w:val="0"/>
        </w:numPr>
      </w:pPr>
      <w:r>
        <w:t>ВВЕДЕНИЕ</w:t>
      </w:r>
    </w:p>
    <w:p w14:paraId="28F4432B" w14:textId="5FF8F9E0" w:rsidR="004C7545" w:rsidRDefault="00C63AD7" w:rsidP="0026164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D0095">
        <w:t>Комитет по стандартам ВОИС</w:t>
      </w:r>
      <w:r w:rsidR="006042CA">
        <w:t xml:space="preserve"> </w:t>
      </w:r>
      <w:r w:rsidR="00AD0095">
        <w:t>(КСВ) н</w:t>
      </w:r>
      <w:r>
        <w:t xml:space="preserve">а десятой сессии, состоявшейся в 2022 году, одобрил пересмотренный перечень задач, </w:t>
      </w:r>
      <w:r w:rsidR="00AD0095">
        <w:t xml:space="preserve">который </w:t>
      </w:r>
      <w:r w:rsidR="004645D8">
        <w:t>при</w:t>
      </w:r>
      <w:r>
        <w:t>в</w:t>
      </w:r>
      <w:r w:rsidR="00AD0095">
        <w:t xml:space="preserve">одится </w:t>
      </w:r>
      <w:r>
        <w:t>в приложении IV к документу</w:t>
      </w:r>
      <w:r w:rsidR="004645D8">
        <w:t> </w:t>
      </w:r>
      <w:r>
        <w:t xml:space="preserve">CWS/10/22.  </w:t>
      </w:r>
      <w:r w:rsidR="004645D8">
        <w:t xml:space="preserve">На этой сессии </w:t>
      </w:r>
      <w:r w:rsidR="009D4C5E">
        <w:t xml:space="preserve">ни одна из задач </w:t>
      </w:r>
      <w:r w:rsidR="004645D8">
        <w:t>не</w:t>
      </w:r>
      <w:r w:rsidR="009D4C5E">
        <w:t xml:space="preserve"> была</w:t>
      </w:r>
      <w:r w:rsidR="004645D8">
        <w:t xml:space="preserve"> перев</w:t>
      </w:r>
      <w:r w:rsidR="009D4C5E">
        <w:t>е</w:t>
      </w:r>
      <w:r w:rsidR="004645D8">
        <w:t>д</w:t>
      </w:r>
      <w:r w:rsidR="009D4C5E">
        <w:t xml:space="preserve">ена </w:t>
      </w:r>
      <w:r w:rsidR="004645D8">
        <w:t>в категорию выполненных, две задачи были пересмотрены</w:t>
      </w:r>
      <w:r w:rsidR="00B77CE1">
        <w:t xml:space="preserve">, одна – </w:t>
      </w:r>
      <w:r w:rsidR="009E51A4">
        <w:t>создана</w:t>
      </w:r>
      <w:r>
        <w:t>.</w:t>
      </w:r>
    </w:p>
    <w:p w14:paraId="5F74EFED" w14:textId="737A8A5D" w:rsidR="00020691" w:rsidRDefault="00816986" w:rsidP="0026164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</w:t>
      </w:r>
      <w:r w:rsidR="00E32464">
        <w:t xml:space="preserve">той же </w:t>
      </w:r>
      <w:r>
        <w:t xml:space="preserve">десятой сессии КСВ отметил, что его деятельность и </w:t>
      </w:r>
      <w:r w:rsidR="0071349A">
        <w:t>усилия</w:t>
      </w:r>
      <w:r w:rsidR="007660D2">
        <w:t xml:space="preserve"> по </w:t>
      </w:r>
      <w:r w:rsidR="00044C57">
        <w:t>с</w:t>
      </w:r>
      <w:r>
        <w:t>тандарт</w:t>
      </w:r>
      <w:r w:rsidR="007660D2">
        <w:t xml:space="preserve">изации в рамках </w:t>
      </w:r>
      <w:r>
        <w:t xml:space="preserve">ВОИС </w:t>
      </w:r>
      <w:r w:rsidR="00044C57">
        <w:t>связаны с</w:t>
      </w:r>
      <w:r w:rsidR="00726A4C">
        <w:t>о</w:t>
      </w:r>
      <w:r>
        <w:t xml:space="preserve"> стратегическ</w:t>
      </w:r>
      <w:r w:rsidR="00726A4C">
        <w:t>им</w:t>
      </w:r>
      <w:r>
        <w:t xml:space="preserve"> направлени</w:t>
      </w:r>
      <w:r w:rsidR="00726A4C">
        <w:t>ем</w:t>
      </w:r>
      <w:r>
        <w:t xml:space="preserve"> работы 2</w:t>
      </w:r>
      <w:r w:rsidR="00726A4C">
        <w:t xml:space="preserve">, предусмотренным в </w:t>
      </w:r>
      <w:r>
        <w:t>Среднесрочно</w:t>
      </w:r>
      <w:r w:rsidR="00726A4C">
        <w:t>м</w:t>
      </w:r>
      <w:r>
        <w:t xml:space="preserve"> стратегическо</w:t>
      </w:r>
      <w:r w:rsidR="00726A4C">
        <w:t>м</w:t>
      </w:r>
      <w:r>
        <w:t xml:space="preserve"> план</w:t>
      </w:r>
      <w:r w:rsidR="00726A4C">
        <w:t>е</w:t>
      </w:r>
      <w:r>
        <w:t xml:space="preserve"> (СССП)</w:t>
      </w:r>
      <w:r w:rsidR="00726A4C">
        <w:t>:</w:t>
      </w:r>
      <w:r>
        <w:t xml:space="preserve"> </w:t>
      </w:r>
    </w:p>
    <w:p w14:paraId="50EFB8BE" w14:textId="3FA61941" w:rsidR="00A35557" w:rsidRDefault="00A35557" w:rsidP="00020691">
      <w:pPr>
        <w:spacing w:after="220"/>
        <w:ind w:left="567"/>
      </w:pPr>
      <w:r>
        <w:t>«Объединение людей и сотрудничество с заинтересованными сторонами для формирования будущего глобальной экосистемы ИС»</w:t>
      </w:r>
      <w:r w:rsidR="00726A4C">
        <w:t xml:space="preserve">, а точнее </w:t>
      </w:r>
      <w:r>
        <w:t>подпункт</w:t>
      </w:r>
      <w:r w:rsidR="00726A4C">
        <w:t>ом </w:t>
      </w:r>
      <w:r>
        <w:t>2.1 «Разработка сбалансированной и эффективной международной правовой базы в области ИС»</w:t>
      </w:r>
      <w:r w:rsidR="00726A4C">
        <w:t>.</w:t>
      </w:r>
    </w:p>
    <w:p w14:paraId="3EA25BF6" w14:textId="359CB94A" w:rsidR="0062695D" w:rsidRPr="00E71B94" w:rsidRDefault="00816986" w:rsidP="00C66B10">
      <w:pPr>
        <w:spacing w:after="240"/>
        <w:rPr>
          <w:color w:val="000000" w:themeColor="text1"/>
        </w:rPr>
      </w:pPr>
      <w:r w:rsidRPr="00E71B94">
        <w:rPr>
          <w:color w:val="000000" w:themeColor="text1"/>
        </w:rPr>
        <w:fldChar w:fldCharType="begin"/>
      </w:r>
      <w:r w:rsidRPr="00E71B94">
        <w:rPr>
          <w:color w:val="000000" w:themeColor="text1"/>
        </w:rPr>
        <w:instrText xml:space="preserve"> AUTONUM  </w:instrText>
      </w:r>
      <w:r w:rsidRPr="00E71B94">
        <w:rPr>
          <w:color w:val="000000" w:themeColor="text1"/>
        </w:rPr>
        <w:fldChar w:fldCharType="end"/>
      </w:r>
      <w:r>
        <w:rPr>
          <w:color w:val="000000" w:themeColor="text1"/>
        </w:rPr>
        <w:tab/>
      </w:r>
      <w:r w:rsidR="00C023F0">
        <w:rPr>
          <w:color w:val="000000" w:themeColor="text1"/>
        </w:rPr>
        <w:t xml:space="preserve">КСВ также принял к сведению рекомендации, сформулированные в </w:t>
      </w:r>
      <w:hyperlink r:id="rId9" w:history="1">
        <w:r w:rsidR="00C023F0">
          <w:rPr>
            <w:rStyle w:val="Hyperlink"/>
            <w:color w:val="000000" w:themeColor="text1"/>
          </w:rPr>
          <w:t>отчете об оценке постоянных комитетов ВОИС</w:t>
        </w:r>
      </w:hyperlink>
      <w:r>
        <w:rPr>
          <w:color w:val="000000" w:themeColor="text1"/>
        </w:rPr>
        <w:t xml:space="preserve">, </w:t>
      </w:r>
      <w:r w:rsidR="00C023F0">
        <w:rPr>
          <w:color w:val="000000" w:themeColor="text1"/>
        </w:rPr>
        <w:t>в частности рекомендацию </w:t>
      </w:r>
      <w:r>
        <w:rPr>
          <w:color w:val="000000" w:themeColor="text1"/>
        </w:rPr>
        <w:t>3</w:t>
      </w:r>
      <w:r w:rsidR="00C023F0">
        <w:rPr>
          <w:color w:val="000000" w:themeColor="text1"/>
        </w:rPr>
        <w:t xml:space="preserve">, касающуюся КСВ и </w:t>
      </w:r>
      <w:r w:rsidR="0043653E">
        <w:rPr>
          <w:color w:val="000000" w:themeColor="text1"/>
        </w:rPr>
        <w:t>применяемых им</w:t>
      </w:r>
      <w:r w:rsidR="00C023F0">
        <w:rPr>
          <w:color w:val="000000" w:themeColor="text1"/>
        </w:rPr>
        <w:t xml:space="preserve"> критериев выполнения (привод</w:t>
      </w:r>
      <w:r w:rsidR="0043653E">
        <w:rPr>
          <w:color w:val="000000" w:themeColor="text1"/>
        </w:rPr>
        <w:t>я</w:t>
      </w:r>
      <w:r w:rsidR="00C023F0">
        <w:rPr>
          <w:color w:val="000000" w:themeColor="text1"/>
        </w:rPr>
        <w:t>тся ниже)</w:t>
      </w:r>
      <w:r>
        <w:rPr>
          <w:color w:val="000000" w:themeColor="text1"/>
        </w:rPr>
        <w:t>:</w:t>
      </w:r>
    </w:p>
    <w:p w14:paraId="2414AE9A" w14:textId="4BF89C88" w:rsidR="0062695D" w:rsidRPr="0062695D" w:rsidRDefault="00AC7624" w:rsidP="009718C0">
      <w:pPr>
        <w:ind w:left="567"/>
        <w:rPr>
          <w:i/>
        </w:rPr>
      </w:pPr>
      <w:r>
        <w:rPr>
          <w:i/>
        </w:rPr>
        <w:t>«</w:t>
      </w:r>
      <w:r w:rsidR="0062695D">
        <w:rPr>
          <w:i/>
        </w:rPr>
        <w:t>Критерии выполнения</w:t>
      </w:r>
    </w:p>
    <w:p w14:paraId="288593FC" w14:textId="7C68751D" w:rsidR="0062695D" w:rsidRPr="00DC0026" w:rsidRDefault="003578D1" w:rsidP="009718C0">
      <w:pPr>
        <w:ind w:left="567"/>
        <w:rPr>
          <w:i/>
          <w:iCs/>
        </w:rPr>
      </w:pPr>
      <w:r w:rsidRPr="00DC0026">
        <w:rPr>
          <w:i/>
          <w:iCs/>
        </w:rPr>
        <w:t>3d.</w:t>
      </w:r>
      <w:r w:rsidR="00AC7624">
        <w:rPr>
          <w:i/>
          <w:iCs/>
        </w:rPr>
        <w:tab/>
      </w:r>
      <w:r w:rsidRPr="00DC0026">
        <w:rPr>
          <w:i/>
          <w:iCs/>
        </w:rPr>
        <w:t>Проведение КСВ ежегодного обзора объема работы его целевых групп (как действующих, так и «спящих») и определение приоритетов на следующий год по согласованию с государствами-членами, а также активное поощрение расширения участия государств-членов в работе его целевых групп</w:t>
      </w:r>
      <w:r w:rsidR="0043653E" w:rsidRPr="00DC0026">
        <w:rPr>
          <w:i/>
          <w:iCs/>
        </w:rPr>
        <w:t>.</w:t>
      </w:r>
    </w:p>
    <w:p w14:paraId="46D1F201" w14:textId="75ECBE7E" w:rsidR="0062695D" w:rsidRDefault="0062695D" w:rsidP="009718C0">
      <w:pPr>
        <w:ind w:left="567"/>
      </w:pPr>
    </w:p>
    <w:p w14:paraId="1654D41F" w14:textId="58110536" w:rsidR="0062695D" w:rsidRPr="00B9653E" w:rsidRDefault="0062695D" w:rsidP="009718C0">
      <w:pPr>
        <w:ind w:left="567"/>
        <w:rPr>
          <w:i/>
        </w:rPr>
      </w:pPr>
      <w:r w:rsidRPr="00B9653E">
        <w:rPr>
          <w:i/>
        </w:rPr>
        <w:t>Мероприятия</w:t>
      </w:r>
    </w:p>
    <w:p w14:paraId="56C4261F" w14:textId="2501FF05" w:rsidR="00851529" w:rsidRDefault="003578D1" w:rsidP="009E0BF7">
      <w:pPr>
        <w:spacing w:after="220"/>
        <w:ind w:left="562"/>
      </w:pPr>
      <w:r w:rsidRPr="00B9653E">
        <w:rPr>
          <w:i/>
          <w:iCs/>
        </w:rPr>
        <w:t>Секретарь будет направлять</w:t>
      </w:r>
      <w:r w:rsidRPr="00DC0026">
        <w:rPr>
          <w:i/>
          <w:iCs/>
        </w:rPr>
        <w:t xml:space="preserve"> работу КСВ в целях выделения больших временных ресурсов для анализа рабочей нагрузки и согласования приоритетов на следующий год.  Секретарь</w:t>
      </w:r>
      <w:r>
        <w:rPr>
          <w:i/>
        </w:rPr>
        <w:t xml:space="preserve"> подготовит соответствующее циркулярное письмо и будет тесно сотрудничать с региональными бюро, с тем чтобы побудить ведомства к участию в работе целевых групп КСВ».</w:t>
      </w:r>
    </w:p>
    <w:p w14:paraId="19BC26E5" w14:textId="507A891B" w:rsidR="00816986" w:rsidRDefault="00816986" w:rsidP="009E0BF7">
      <w:pPr>
        <w:spacing w:after="220"/>
        <w:ind w:left="562"/>
      </w:pPr>
      <w:r>
        <w:t>(См. пункт 7 документа CWS/10/3).</w:t>
      </w:r>
    </w:p>
    <w:p w14:paraId="51CF0CF3" w14:textId="1F9B1856" w:rsidR="00816986" w:rsidRDefault="00816986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B9653E">
        <w:t xml:space="preserve">На этой же сессии </w:t>
      </w:r>
      <w:r w:rsidR="00BF3DA0">
        <w:t xml:space="preserve">КСВ обсудил </w:t>
      </w:r>
      <w:r w:rsidR="000F373F">
        <w:t xml:space="preserve">в рамках выполнения рекомендации 3 </w:t>
      </w:r>
      <w:r w:rsidR="00BF3DA0">
        <w:t>способы определения приоритетности своих задач с учетом вопросов и действий, изложенных Секретариатом в пунктах</w:t>
      </w:r>
      <w:r>
        <w:t xml:space="preserve"> 11</w:t>
      </w:r>
      <w:r w:rsidR="00BF3DA0">
        <w:t>–</w:t>
      </w:r>
      <w:r>
        <w:t xml:space="preserve">14 </w:t>
      </w:r>
      <w:r w:rsidR="00BF3DA0">
        <w:t>документа</w:t>
      </w:r>
      <w:r>
        <w:t xml:space="preserve"> CWS/10/3.  </w:t>
      </w:r>
      <w:r w:rsidR="004B5842" w:rsidRPr="004B5842">
        <w:t>КСВ поручил Секретариату совместно с руководителями целевых групп подготовить</w:t>
      </w:r>
      <w:r w:rsidR="004C06E9">
        <w:t xml:space="preserve"> </w:t>
      </w:r>
      <w:r w:rsidR="004B5842" w:rsidRPr="004B5842">
        <w:t xml:space="preserve">вопросник для целей обследования и представить его на </w:t>
      </w:r>
      <w:r w:rsidR="004B5842">
        <w:t xml:space="preserve">одиннадцатой </w:t>
      </w:r>
      <w:r w:rsidR="004B5842" w:rsidRPr="004B5842">
        <w:t>сессии Комитета с тем, чтобы выяснить предпочтения</w:t>
      </w:r>
      <w:r w:rsidR="004B5842">
        <w:t xml:space="preserve"> ведомств интеллектуальной собственности</w:t>
      </w:r>
      <w:r w:rsidR="004B5842" w:rsidRPr="004B5842">
        <w:t xml:space="preserve"> </w:t>
      </w:r>
      <w:r w:rsidR="004B5842">
        <w:t>(</w:t>
      </w:r>
      <w:r w:rsidR="004B5842" w:rsidRPr="004B5842">
        <w:t>ВИС</w:t>
      </w:r>
      <w:r w:rsidR="004B5842">
        <w:t>)</w:t>
      </w:r>
      <w:r w:rsidR="004B5842" w:rsidRPr="004B5842">
        <w:t xml:space="preserve"> в плане определения приоритетности задач</w:t>
      </w:r>
      <w:r>
        <w:t xml:space="preserve"> (</w:t>
      </w:r>
      <w:r w:rsidR="004B5842">
        <w:t>с</w:t>
      </w:r>
      <w:r>
        <w:t>м. пункты 26–28 документа CWS/10/22).</w:t>
      </w:r>
    </w:p>
    <w:p w14:paraId="211ED54F" w14:textId="5C9F43C7" w:rsidR="000B32A9" w:rsidRDefault="000B32A9" w:rsidP="000B32A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63CC3">
        <w:t>Тогда же КСВ</w:t>
      </w:r>
      <w:r>
        <w:t xml:space="preserve"> </w:t>
      </w:r>
      <w:r w:rsidR="00063CC3" w:rsidRPr="00063CC3">
        <w:t>постановил, что каждая целевая группа определит для себя цели и мероприятия на год и на ежегодной встрече Комитета оценит достигнутый прогресс с учетом этих показателей</w:t>
      </w:r>
      <w:r>
        <w:t xml:space="preserve">.  </w:t>
      </w:r>
      <w:r w:rsidR="00063CC3" w:rsidRPr="00063CC3">
        <w:t xml:space="preserve">КСВ просил Секретариат распространить единый шаблон для представления отчетности целевых групп </w:t>
      </w:r>
      <w:r w:rsidR="00063CC3">
        <w:t>о ходе выполнения порученных им задач; соответсвующий отчет представляется на ежеквартальных заседаниях всех целевых групп</w:t>
      </w:r>
      <w:r>
        <w:t xml:space="preserve">.  Секретариат согласился во взаимодействии с руководителями </w:t>
      </w:r>
      <w:r w:rsidR="00063CC3">
        <w:t>ц</w:t>
      </w:r>
      <w:r>
        <w:t>елев</w:t>
      </w:r>
      <w:r w:rsidR="0099337B">
        <w:t>ых</w:t>
      </w:r>
      <w:r>
        <w:t xml:space="preserve"> групп подготовить упомянутый шаблон и проводить ежеквартальные заседания целевых групп для целей актуализации (</w:t>
      </w:r>
      <w:r w:rsidR="0099337B">
        <w:t>с</w:t>
      </w:r>
      <w:r>
        <w:t>м. пункт 30 документа CWS/10/22).</w:t>
      </w:r>
    </w:p>
    <w:p w14:paraId="41F3CAB9" w14:textId="28451D58" w:rsidR="00851529" w:rsidRPr="00EA54BD" w:rsidRDefault="00691252" w:rsidP="009E0BF7">
      <w:pPr>
        <w:pStyle w:val="Heading2"/>
        <w:numPr>
          <w:ilvl w:val="0"/>
          <w:numId w:val="0"/>
        </w:numPr>
      </w:pPr>
      <w:r w:rsidRPr="00691252">
        <w:t xml:space="preserve">ОТЧЕТ О </w:t>
      </w:r>
      <w:r w:rsidR="0071473C">
        <w:t xml:space="preserve">МЕРОПРИЯТИЯХ, ПРОВЕДЕННЫХ </w:t>
      </w:r>
      <w:r w:rsidRPr="00691252">
        <w:t>В РАМКАХ ПРОГРАММЫ РАБОТЫ КСВ</w:t>
      </w:r>
    </w:p>
    <w:p w14:paraId="2D1C08E6" w14:textId="5CBA40CD" w:rsidR="00200E98" w:rsidRDefault="00FA679E" w:rsidP="00C64A44">
      <w:pPr>
        <w:spacing w:after="240"/>
      </w:pPr>
      <w:r w:rsidRPr="00EA54BD">
        <w:fldChar w:fldCharType="begin"/>
      </w:r>
      <w:r w:rsidRPr="00EA54BD">
        <w:instrText xml:space="preserve"> AUTONUM  </w:instrText>
      </w:r>
      <w:r w:rsidRPr="00EA54BD">
        <w:fldChar w:fldCharType="end"/>
      </w:r>
      <w:r w:rsidRPr="00EA54BD">
        <w:tab/>
      </w:r>
      <w:r w:rsidR="00427ACC">
        <w:t xml:space="preserve">С момента окончания десятой сессии Комитета целевые группы КСВ </w:t>
      </w:r>
      <w:r w:rsidR="001C6E5E">
        <w:t>работали в рамках задач, формирующих программу работы КСВ, утвержденную на упомянутой выше десятой сессии</w:t>
      </w:r>
      <w:r>
        <w:t xml:space="preserve">.  </w:t>
      </w:r>
      <w:r w:rsidR="008B1356">
        <w:t>П</w:t>
      </w:r>
      <w:r w:rsidR="0054144F">
        <w:t>ереч</w:t>
      </w:r>
      <w:r w:rsidR="008B1356">
        <w:t>е</w:t>
      </w:r>
      <w:r w:rsidR="0054144F">
        <w:t>н</w:t>
      </w:r>
      <w:r w:rsidR="008B1356">
        <w:t>ь</w:t>
      </w:r>
      <w:r w:rsidR="0054144F">
        <w:t xml:space="preserve"> задач </w:t>
      </w:r>
      <w:r w:rsidR="008B1356">
        <w:t>на</w:t>
      </w:r>
      <w:r w:rsidR="0054144F">
        <w:t>с</w:t>
      </w:r>
      <w:r w:rsidR="008B1356">
        <w:t xml:space="preserve">читывает </w:t>
      </w:r>
      <w:r w:rsidR="0054144F">
        <w:t xml:space="preserve">24 задачи: </w:t>
      </w:r>
      <w:r>
        <w:t>19</w:t>
      </w:r>
      <w:r w:rsidR="0054144F">
        <w:t xml:space="preserve"> из них поручены той или иной целевой группе, 5 не имеют такой привязки</w:t>
      </w:r>
      <w:r>
        <w:t>.</w:t>
      </w:r>
    </w:p>
    <w:p w14:paraId="2490CC20" w14:textId="3A4A2380" w:rsidR="00E145CF" w:rsidRDefault="000B32A9" w:rsidP="00C66B1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A3F40">
        <w:t>В соответствии с поручением КСВ все действующие целевые группы Комитета провели ежеквартальные заседания</w:t>
      </w:r>
      <w:r w:rsidR="00340B1E" w:rsidRPr="00340B1E">
        <w:t xml:space="preserve"> </w:t>
      </w:r>
      <w:r w:rsidR="00340B1E">
        <w:t>в марте, июне и сентябре</w:t>
      </w:r>
      <w:r w:rsidR="00FA3F40">
        <w:t>, на которые были приглашены все члены и наблюдатели, для оценки и актуализации своих целей</w:t>
      </w:r>
      <w:r>
        <w:t xml:space="preserve">.  </w:t>
      </w:r>
      <w:r w:rsidR="00BE7F7C">
        <w:t xml:space="preserve">Участники таких встреч приняли к сведению </w:t>
      </w:r>
      <w:r w:rsidR="00652625">
        <w:t xml:space="preserve">проделанную </w:t>
      </w:r>
      <w:r w:rsidR="00BE7F7C">
        <w:t>работу по выполнению соответствующих задач, о которой доложили руководители целевых групп, опираясь на шаблон, подготовленный Секретариатом во взаимодействии с руководителями целевых групп</w:t>
      </w:r>
      <w:r>
        <w:t xml:space="preserve">.  </w:t>
      </w:r>
      <w:r w:rsidR="00BE7F7C">
        <w:t>В указанном шаблоне приводится описание</w:t>
      </w:r>
      <w:r>
        <w:t>:</w:t>
      </w:r>
    </w:p>
    <w:p w14:paraId="622B0A10" w14:textId="3579C0E6" w:rsidR="000B32A9" w:rsidRDefault="00BE7F7C" w:rsidP="00EF4CC1">
      <w:pPr>
        <w:pStyle w:val="ListParagraph"/>
        <w:numPr>
          <w:ilvl w:val="0"/>
          <w:numId w:val="38"/>
        </w:numPr>
      </w:pPr>
      <w:r>
        <w:t>целей</w:t>
      </w:r>
      <w:r w:rsidR="000B32A9">
        <w:t>;</w:t>
      </w:r>
    </w:p>
    <w:p w14:paraId="0818FD16" w14:textId="5D58DF10" w:rsidR="000B32A9" w:rsidRDefault="00BE7F7C" w:rsidP="00EF4CC1">
      <w:pPr>
        <w:pStyle w:val="ListParagraph"/>
        <w:numPr>
          <w:ilvl w:val="0"/>
          <w:numId w:val="38"/>
        </w:numPr>
      </w:pPr>
      <w:r>
        <w:t xml:space="preserve">соответствующих действий на </w:t>
      </w:r>
      <w:r w:rsidR="000B32A9">
        <w:t>2023</w:t>
      </w:r>
      <w:r>
        <w:t xml:space="preserve"> и предстоящий годы</w:t>
      </w:r>
      <w:r w:rsidR="000B32A9">
        <w:t>;</w:t>
      </w:r>
    </w:p>
    <w:p w14:paraId="62AE6410" w14:textId="270EAC36" w:rsidR="000B32A9" w:rsidRDefault="00BE7F7C" w:rsidP="00EF4CC1">
      <w:pPr>
        <w:pStyle w:val="ListParagraph"/>
        <w:numPr>
          <w:ilvl w:val="0"/>
          <w:numId w:val="38"/>
        </w:numPr>
      </w:pPr>
      <w:r>
        <w:t>потенциальных трудностей и взаимозависимости</w:t>
      </w:r>
      <w:r w:rsidR="000B32A9">
        <w:t xml:space="preserve">; </w:t>
      </w:r>
      <w:r>
        <w:t>и</w:t>
      </w:r>
    </w:p>
    <w:p w14:paraId="05022482" w14:textId="038FE02E" w:rsidR="000B32A9" w:rsidRDefault="00BE7F7C" w:rsidP="00C64A44">
      <w:pPr>
        <w:pStyle w:val="ListParagraph"/>
        <w:numPr>
          <w:ilvl w:val="0"/>
          <w:numId w:val="38"/>
        </w:numPr>
        <w:spacing w:after="240"/>
        <w:contextualSpacing w:val="0"/>
      </w:pPr>
      <w:r>
        <w:t>о</w:t>
      </w:r>
      <w:r w:rsidR="000B32A9">
        <w:t>ценк</w:t>
      </w:r>
      <w:r>
        <w:t>и</w:t>
      </w:r>
      <w:r w:rsidR="000B32A9">
        <w:t xml:space="preserve"> проделанной работы.</w:t>
      </w:r>
    </w:p>
    <w:p w14:paraId="7709B7B1" w14:textId="2B4D7785" w:rsidR="00C66B10" w:rsidRDefault="00C66B10" w:rsidP="00C64A44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46D90">
        <w:t>В порядке поддержки организаци</w:t>
      </w:r>
      <w:r w:rsidR="003A4B49">
        <w:t xml:space="preserve">и </w:t>
      </w:r>
      <w:r w:rsidR="00C46D90">
        <w:t xml:space="preserve">и сопровождения </w:t>
      </w:r>
      <w:r w:rsidR="003A4B49">
        <w:t xml:space="preserve">работы </w:t>
      </w:r>
      <w:r w:rsidR="00C46D90">
        <w:t>целевых групп Секретариат распространил в начале 2023 года циркуляр C.CWS 165 с графиком мероприятий по тематике стандартов ВОИС и соответствующие приглашения на дистанционные мероприятия</w:t>
      </w:r>
      <w:r>
        <w:t>.</w:t>
      </w:r>
    </w:p>
    <w:p w14:paraId="274A2C5F" w14:textId="30A666C2" w:rsidR="008318E0" w:rsidRDefault="000B32A9" w:rsidP="008318E0">
      <w:r w:rsidRPr="004176E0">
        <w:fldChar w:fldCharType="begin"/>
      </w:r>
      <w:r w:rsidRPr="004176E0">
        <w:instrText xml:space="preserve"> AUTONUM  </w:instrText>
      </w:r>
      <w:r w:rsidRPr="004176E0">
        <w:fldChar w:fldCharType="end"/>
      </w:r>
      <w:r>
        <w:tab/>
      </w:r>
      <w:r w:rsidR="00125242">
        <w:t>На этих заседаниях 12 целевых групп отчитались о проведенных мероприятиях и работе по выполнению порученных им задач с момента окончания последней сессии КСВ</w:t>
      </w:r>
      <w:r>
        <w:t xml:space="preserve">.  </w:t>
      </w:r>
      <w:r w:rsidR="00754A74">
        <w:t>Информация о выполнении задач, которые не были поручены определенной целевой группе, приводится в приложении к настоящему документу</w:t>
      </w:r>
      <w:r>
        <w:t>.</w:t>
      </w:r>
    </w:p>
    <w:p w14:paraId="521A6EB0" w14:textId="7D85990A" w:rsidR="006B24D1" w:rsidRDefault="00D87BB8" w:rsidP="00B035BB">
      <w:pPr>
        <w:pStyle w:val="Heading3"/>
      </w:pPr>
      <w:r>
        <w:t>Перечень текущих задач</w:t>
      </w:r>
    </w:p>
    <w:p w14:paraId="3BB62BC3" w14:textId="57377FF2" w:rsidR="00A34EE9" w:rsidRDefault="005620DC" w:rsidP="00B035B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Секретариат подготовил для рассмотрения КСВ новый пересмотренный перечень задач, </w:t>
      </w:r>
      <w:r w:rsidR="00E454A4">
        <w:t xml:space="preserve">который </w:t>
      </w:r>
      <w:r>
        <w:t>представлен в приложении к настоящему документу.  По каждой задаче в приложении содержится следующая информация:</w:t>
      </w:r>
    </w:p>
    <w:p w14:paraId="4A585CAC" w14:textId="6B6A7B67" w:rsidR="00A34EE9" w:rsidRDefault="006B24D1" w:rsidP="00B035BB">
      <w:pPr>
        <w:pStyle w:val="ListParagraph"/>
        <w:numPr>
          <w:ilvl w:val="0"/>
          <w:numId w:val="39"/>
        </w:numPr>
      </w:pPr>
      <w:r>
        <w:t>описание задачи;</w:t>
      </w:r>
    </w:p>
    <w:p w14:paraId="1784641A" w14:textId="76A9BDB5" w:rsidR="00A34EE9" w:rsidRDefault="006B24D1" w:rsidP="00B035BB">
      <w:pPr>
        <w:pStyle w:val="ListParagraph"/>
        <w:numPr>
          <w:ilvl w:val="0"/>
          <w:numId w:val="39"/>
        </w:numPr>
      </w:pPr>
      <w:r>
        <w:t xml:space="preserve">ответственный за </w:t>
      </w:r>
      <w:r w:rsidR="0019004F">
        <w:t xml:space="preserve">ее </w:t>
      </w:r>
      <w:r>
        <w:t>выполнение или руководитель целевой группы</w:t>
      </w:r>
      <w:r w:rsidR="00D87BB8">
        <w:t>;</w:t>
      </w:r>
    </w:p>
    <w:p w14:paraId="2050BDB3" w14:textId="0D98DEC6" w:rsidR="00034A9F" w:rsidRDefault="006B24D1" w:rsidP="00B035BB">
      <w:pPr>
        <w:pStyle w:val="ListParagraph"/>
        <w:numPr>
          <w:ilvl w:val="0"/>
          <w:numId w:val="39"/>
        </w:numPr>
      </w:pPr>
      <w:r>
        <w:t>запланированные действия, подлежащие выполнению;</w:t>
      </w:r>
    </w:p>
    <w:p w14:paraId="4E5FD948" w14:textId="6EA3F728" w:rsidR="00034A9F" w:rsidRDefault="006B24D1" w:rsidP="00B035BB">
      <w:pPr>
        <w:pStyle w:val="ListParagraph"/>
        <w:numPr>
          <w:ilvl w:val="0"/>
          <w:numId w:val="39"/>
        </w:numPr>
      </w:pPr>
      <w:r>
        <w:t>примечания; и</w:t>
      </w:r>
    </w:p>
    <w:p w14:paraId="12F83AD8" w14:textId="775CB8BB" w:rsidR="00034A9F" w:rsidRPr="00B035BB" w:rsidRDefault="00ED11F7" w:rsidP="00B035BB">
      <w:pPr>
        <w:pStyle w:val="ListParagraph"/>
        <w:numPr>
          <w:ilvl w:val="0"/>
          <w:numId w:val="39"/>
        </w:numPr>
        <w:spacing w:after="240"/>
      </w:pPr>
      <w:r>
        <w:t>при необходимости, предложения КСВ для рассмотрения и принятия решения.</w:t>
      </w:r>
    </w:p>
    <w:p w14:paraId="70A64087" w14:textId="2564C0F9" w:rsidR="003578D1" w:rsidRPr="00E71B94" w:rsidRDefault="00034A9F" w:rsidP="00E71B94">
      <w:pPr>
        <w:spacing w:after="240"/>
        <w:rPr>
          <w:color w:val="000000" w:themeColor="text1"/>
        </w:rPr>
      </w:pPr>
      <w:r w:rsidRPr="00E71B94">
        <w:rPr>
          <w:rFonts w:eastAsia="Batang"/>
          <w:color w:val="000000" w:themeColor="text1"/>
        </w:rPr>
        <w:fldChar w:fldCharType="begin"/>
      </w:r>
      <w:r w:rsidRPr="00E71B94">
        <w:rPr>
          <w:rFonts w:eastAsia="Batang"/>
          <w:color w:val="000000" w:themeColor="text1"/>
        </w:rPr>
        <w:instrText xml:space="preserve"> AUTONUM  </w:instrText>
      </w:r>
      <w:r w:rsidRPr="00E71B94">
        <w:rPr>
          <w:rFonts w:eastAsia="Batang"/>
          <w:color w:val="000000" w:themeColor="text1"/>
        </w:rPr>
        <w:fldChar w:fldCharType="end"/>
      </w:r>
      <w:r>
        <w:tab/>
        <w:t xml:space="preserve">Перечень </w:t>
      </w:r>
      <w:r w:rsidR="0019004F">
        <w:t xml:space="preserve">текущих </w:t>
      </w:r>
      <w:r>
        <w:t xml:space="preserve">задач </w:t>
      </w:r>
      <w:r w:rsidR="00D87BB8">
        <w:t>о</w:t>
      </w:r>
      <w:r>
        <w:t>публик</w:t>
      </w:r>
      <w:r w:rsidR="00D87BB8">
        <w:t xml:space="preserve">ован </w:t>
      </w:r>
      <w:r>
        <w:t>на веб-сайте ВОИС по адресу</w:t>
      </w:r>
      <w:r>
        <w:rPr>
          <w:color w:val="000000" w:themeColor="text1"/>
        </w:rPr>
        <w:t xml:space="preserve"> </w:t>
      </w:r>
      <w:hyperlink r:id="rId10" w:history="1">
        <w:r>
          <w:rPr>
            <w:rStyle w:val="Hyperlink"/>
            <w:color w:val="000000" w:themeColor="text1"/>
          </w:rPr>
          <w:t>https://www.wipo.int/cws/ru/work-program.html</w:t>
        </w:r>
      </w:hyperlink>
      <w:r w:rsidR="00D87BB8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Информация о целевых группах КСВ и соответствующая документация доступны на веб-сайте по адресу </w:t>
      </w:r>
      <w:hyperlink r:id="rId11" w:history="1">
        <w:r w:rsidR="00691252" w:rsidRPr="007878B8">
          <w:rPr>
            <w:rStyle w:val="Hyperlink"/>
            <w:color w:val="auto"/>
          </w:rPr>
          <w:t>https://www.wipo.int/cws/</w:t>
        </w:r>
        <w:r w:rsidR="00691252" w:rsidRPr="007878B8">
          <w:rPr>
            <w:rStyle w:val="Hyperlink"/>
            <w:color w:val="auto"/>
            <w:lang w:val="en-US"/>
          </w:rPr>
          <w:t>en</w:t>
        </w:r>
        <w:r w:rsidR="00691252" w:rsidRPr="007878B8">
          <w:rPr>
            <w:rStyle w:val="Hyperlink"/>
            <w:color w:val="auto"/>
          </w:rPr>
          <w:t>/taskforce/index.html</w:t>
        </w:r>
      </w:hyperlink>
      <w:r w:rsidRPr="007878B8">
        <w:t xml:space="preserve">.  </w:t>
      </w:r>
      <w:r w:rsidR="00691252">
        <w:rPr>
          <w:color w:val="000000" w:themeColor="text1"/>
        </w:rPr>
        <w:t>Эта</w:t>
      </w:r>
      <w:r>
        <w:rPr>
          <w:color w:val="000000" w:themeColor="text1"/>
        </w:rPr>
        <w:t xml:space="preserve"> информация будет пересмотрена и обновлена по итогам одиннадцатой сессии</w:t>
      </w:r>
      <w:r w:rsidR="000B18E2">
        <w:rPr>
          <w:color w:val="000000" w:themeColor="text1"/>
        </w:rPr>
        <w:t xml:space="preserve">: в ней будут </w:t>
      </w:r>
      <w:r>
        <w:rPr>
          <w:color w:val="000000" w:themeColor="text1"/>
        </w:rPr>
        <w:t>отра</w:t>
      </w:r>
      <w:r w:rsidR="000B18E2">
        <w:rPr>
          <w:color w:val="000000" w:themeColor="text1"/>
        </w:rPr>
        <w:t xml:space="preserve">жены </w:t>
      </w:r>
      <w:r>
        <w:rPr>
          <w:color w:val="000000" w:themeColor="text1"/>
        </w:rPr>
        <w:t xml:space="preserve">любые договоренности, достигнутые КСВ.  </w:t>
      </w:r>
      <w:r>
        <w:t>По окончании</w:t>
      </w:r>
      <w:r w:rsidR="00B35D99">
        <w:t xml:space="preserve"> одиннадцатой</w:t>
      </w:r>
      <w:r>
        <w:t xml:space="preserve"> сессии Международное бюро опубликует обновленную версию обзора программы работы КСВ на веб-сайте ВОИС по адресу</w:t>
      </w:r>
      <w:r w:rsidR="00691252">
        <w:t xml:space="preserve"> </w:t>
      </w:r>
      <w:hyperlink r:id="rId12" w:history="1">
        <w:r>
          <w:rPr>
            <w:rStyle w:val="Hyperlink"/>
            <w:color w:val="000000" w:themeColor="text1"/>
          </w:rPr>
          <w:t>https://www.wipo.int/cws/</w:t>
        </w:r>
      </w:hyperlink>
      <w:r>
        <w:t>.</w:t>
      </w:r>
    </w:p>
    <w:p w14:paraId="2CA9D808" w14:textId="1ED8A468" w:rsidR="00816986" w:rsidRDefault="00340D7F" w:rsidP="004B5C2B">
      <w:pPr>
        <w:pStyle w:val="Heading2"/>
        <w:numPr>
          <w:ilvl w:val="0"/>
          <w:numId w:val="0"/>
        </w:numPr>
      </w:pPr>
      <w:r>
        <w:t>ПРЕДЛОЖЕНИЯ ПО МОДЕРНИЗАЦИИ ПРОГРАММЫ РАБОТЫ</w:t>
      </w:r>
    </w:p>
    <w:p w14:paraId="38CBA7B4" w14:textId="73513F3F" w:rsidR="008318E0" w:rsidRDefault="00615545" w:rsidP="009010E5">
      <w:pPr>
        <w:pStyle w:val="Heading3"/>
      </w:pPr>
      <w:r>
        <w:t xml:space="preserve">Объединение задач, касающихся стандартов </w:t>
      </w:r>
      <w:r w:rsidR="00975F7B">
        <w:t xml:space="preserve">в области </w:t>
      </w:r>
      <w:r w:rsidR="008318E0">
        <w:t>XML</w:t>
      </w:r>
    </w:p>
    <w:p w14:paraId="4720B37D" w14:textId="1BAEF037" w:rsidR="008318E0" w:rsidRDefault="006B00C1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2C0951">
        <w:t xml:space="preserve">На десятой сессии КСВ одна из делегаций поинтересовалась, можно ли </w:t>
      </w:r>
      <w:r w:rsidR="006C50F5">
        <w:t xml:space="preserve">упразднить </w:t>
      </w:r>
      <w:r w:rsidR="002C0951">
        <w:t>задачи №№</w:t>
      </w:r>
      <w:r>
        <w:t xml:space="preserve"> 38 </w:t>
      </w:r>
      <w:r w:rsidR="002C0951">
        <w:t>и</w:t>
      </w:r>
      <w:r>
        <w:t xml:space="preserve"> 39</w:t>
      </w:r>
      <w:r w:rsidR="002C0951">
        <w:t xml:space="preserve"> с учетом того, что задача № </w:t>
      </w:r>
      <w:r>
        <w:t xml:space="preserve">33 </w:t>
      </w:r>
      <w:r w:rsidR="002C0951">
        <w:t>уже предусматривает пересмотр действующих стандартов, что включает в себя внесение любых необходимых изменений в</w:t>
      </w:r>
      <w:r>
        <w:t xml:space="preserve"> </w:t>
      </w:r>
      <w:r w:rsidR="002C0951">
        <w:t>стандарты ВОИС</w:t>
      </w:r>
      <w:r>
        <w:t xml:space="preserve"> ST.36 </w:t>
      </w:r>
      <w:r w:rsidR="002C0951">
        <w:t>и</w:t>
      </w:r>
      <w:r>
        <w:t xml:space="preserve"> ST.66.  </w:t>
      </w:r>
      <w:r w:rsidR="009A709A" w:rsidRPr="009A709A">
        <w:t>Секретариат принял к сведению это</w:t>
      </w:r>
      <w:r w:rsidR="009A709A">
        <w:t xml:space="preserve"> </w:t>
      </w:r>
      <w:r w:rsidR="006C50F5">
        <w:t xml:space="preserve">соображение и </w:t>
      </w:r>
      <w:r w:rsidR="009A709A">
        <w:t>предлож</w:t>
      </w:r>
      <w:r w:rsidR="006C50F5">
        <w:t>и</w:t>
      </w:r>
      <w:r w:rsidR="009A709A">
        <w:t>л</w:t>
      </w:r>
      <w:r w:rsidR="009A709A" w:rsidRPr="009A709A">
        <w:t xml:space="preserve"> каждой целевой группе проанализировать перечень задач и рекомендовать необходимые изменения к программе работы на следующей сессии Комитета</w:t>
      </w:r>
      <w:r w:rsidR="009A709A">
        <w:t>.</w:t>
      </w:r>
    </w:p>
    <w:p w14:paraId="68CBCC22" w14:textId="3759C300" w:rsidR="006B00C1" w:rsidRPr="009010E5" w:rsidRDefault="006B00C1" w:rsidP="006B00C1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AB73CF">
        <w:t xml:space="preserve">Международное бюро на правах руководителя целевых групп по </w:t>
      </w:r>
      <w:r>
        <w:t>XML</w:t>
      </w:r>
      <w:r w:rsidR="009C390A" w:rsidRPr="007878B8">
        <w:t xml:space="preserve"> </w:t>
      </w:r>
      <w:r w:rsidR="009C390A">
        <w:t>для ИС</w:t>
      </w:r>
      <w:r>
        <w:t xml:space="preserve">, </w:t>
      </w:r>
      <w:r w:rsidR="009C390A">
        <w:t xml:space="preserve">по </w:t>
      </w:r>
      <w:r w:rsidR="006C50F5">
        <w:t xml:space="preserve">стандартам </w:t>
      </w:r>
      <w:r>
        <w:t xml:space="preserve">ST.36, ST.66 </w:t>
      </w:r>
      <w:r w:rsidR="009C390A">
        <w:t>и</w:t>
      </w:r>
      <w:r>
        <w:t xml:space="preserve"> ST.86 </w:t>
      </w:r>
      <w:r w:rsidR="009C390A">
        <w:t>провело консультации с членами</w:t>
      </w:r>
      <w:r w:rsidR="006C50F5">
        <w:t xml:space="preserve"> этих</w:t>
      </w:r>
      <w:r w:rsidR="009C390A">
        <w:t xml:space="preserve"> четырех групп, занимающихся вопросами</w:t>
      </w:r>
      <w:r>
        <w:t xml:space="preserve"> XML</w:t>
      </w:r>
      <w:r w:rsidR="009C390A">
        <w:t xml:space="preserve">, </w:t>
      </w:r>
      <w:r w:rsidR="00A17A4C">
        <w:t xml:space="preserve">с целью изучения </w:t>
      </w:r>
      <w:r w:rsidR="009C390A">
        <w:t xml:space="preserve">возможности объединения мероприятий в области стандартизации </w:t>
      </w:r>
      <w:r>
        <w:t>XML</w:t>
      </w:r>
      <w:r w:rsidR="009C390A">
        <w:t xml:space="preserve"> и оптимизации усилий по контролю </w:t>
      </w:r>
      <w:r w:rsidR="00A01234">
        <w:t xml:space="preserve">за процессом обновления стандартов ВОИС </w:t>
      </w:r>
      <w:r>
        <w:t xml:space="preserve">ST.36, ST.66, ST.86 </w:t>
      </w:r>
      <w:r w:rsidR="00A01234">
        <w:t>и</w:t>
      </w:r>
      <w:r>
        <w:t xml:space="preserve"> ST.96</w:t>
      </w:r>
      <w:r w:rsidR="00A01234">
        <w:t xml:space="preserve">, связанных с </w:t>
      </w:r>
      <w:r w:rsidR="00A01234">
        <w:rPr>
          <w:lang w:val="en-US"/>
        </w:rPr>
        <w:t>XML</w:t>
      </w:r>
      <w:r>
        <w:t xml:space="preserve">.  </w:t>
      </w:r>
      <w:r w:rsidR="005D0542">
        <w:t xml:space="preserve">Следует </w:t>
      </w:r>
      <w:r w:rsidR="0002565F">
        <w:t>отметить, что стандарты ВОИС</w:t>
      </w:r>
      <w:r>
        <w:t xml:space="preserve"> ST.36, ST.66 </w:t>
      </w:r>
      <w:r w:rsidR="0002565F">
        <w:t>и</w:t>
      </w:r>
      <w:r>
        <w:t xml:space="preserve"> ST.86</w:t>
      </w:r>
      <w:r w:rsidR="0002565F">
        <w:t>, хотя к ним уже давно не предлагалось каких-либо изменений, по-прежнему используются во многих ведомствах ИС</w:t>
      </w:r>
      <w:r>
        <w:t>.</w:t>
      </w:r>
    </w:p>
    <w:p w14:paraId="3A6E93E5" w14:textId="00074A25" w:rsidR="006B00C1" w:rsidRDefault="006B00C1" w:rsidP="009010E5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9B7540">
        <w:t>По итогам этих консультаций Международное бюро предлагает</w:t>
      </w:r>
      <w:r>
        <w:t>:</w:t>
      </w:r>
    </w:p>
    <w:p w14:paraId="6D2C72C1" w14:textId="67BA9839" w:rsidR="0007205F" w:rsidRDefault="0056029B" w:rsidP="0007205F">
      <w:pPr>
        <w:pStyle w:val="ListParagraph"/>
        <w:numPr>
          <w:ilvl w:val="0"/>
          <w:numId w:val="36"/>
        </w:numPr>
        <w:spacing w:after="220"/>
        <w:rPr>
          <w:rFonts w:eastAsia="Batang"/>
        </w:rPr>
      </w:pPr>
      <w:r>
        <w:t xml:space="preserve">перепоручить контроль за стандартами ВОИС </w:t>
      </w:r>
      <w:r w:rsidR="00C43423">
        <w:t xml:space="preserve">ST.36, ST.66 </w:t>
      </w:r>
      <w:r>
        <w:t>и</w:t>
      </w:r>
      <w:r w:rsidR="00C43423">
        <w:t xml:space="preserve"> ST.86 </w:t>
      </w:r>
      <w:r>
        <w:t xml:space="preserve">Целевой группе по </w:t>
      </w:r>
      <w:r w:rsidR="00C43423">
        <w:t>XML</w:t>
      </w:r>
      <w:r>
        <w:t xml:space="preserve"> для ИС</w:t>
      </w:r>
      <w:r w:rsidR="00C43423">
        <w:t>;</w:t>
      </w:r>
    </w:p>
    <w:p w14:paraId="2D61E450" w14:textId="77777777" w:rsidR="0007205F" w:rsidRPr="0007205F" w:rsidRDefault="0007205F" w:rsidP="0007205F">
      <w:pPr>
        <w:pStyle w:val="ListParagraph"/>
        <w:spacing w:after="220"/>
        <w:rPr>
          <w:rFonts w:eastAsia="Batang"/>
          <w:lang w:eastAsia="ko-KR"/>
        </w:rPr>
      </w:pPr>
    </w:p>
    <w:p w14:paraId="1C661D79" w14:textId="26CDEDC9" w:rsidR="0007205F" w:rsidRPr="00211667" w:rsidRDefault="005B21FF" w:rsidP="0007205F">
      <w:pPr>
        <w:pStyle w:val="ListParagraph"/>
        <w:numPr>
          <w:ilvl w:val="0"/>
          <w:numId w:val="36"/>
        </w:numPr>
        <w:spacing w:after="220"/>
        <w:rPr>
          <w:rFonts w:eastAsia="Batang"/>
        </w:rPr>
      </w:pPr>
      <w:r>
        <w:t xml:space="preserve">с учетом новых зон ответственности Целовой группы по XML для ИС </w:t>
      </w:r>
      <w:r w:rsidR="00374151">
        <w:t>изменить формулировку задачи № 41 следующим образом: «Обеспечить необходимый пересмотр и обновление стандартов</w:t>
      </w:r>
      <w:r w:rsidR="00211667">
        <w:t xml:space="preserve"> ВОИС</w:t>
      </w:r>
      <w:r w:rsidR="00374151">
        <w:t xml:space="preserve"> </w:t>
      </w:r>
      <w:r w:rsidR="00374151">
        <w:rPr>
          <w:u w:val="single"/>
        </w:rPr>
        <w:t xml:space="preserve">ST.36, ST.66, ST.86 </w:t>
      </w:r>
      <w:r w:rsidR="00211667">
        <w:rPr>
          <w:u w:val="single"/>
        </w:rPr>
        <w:t>и</w:t>
      </w:r>
      <w:r w:rsidR="00374151">
        <w:rPr>
          <w:u w:val="single"/>
        </w:rPr>
        <w:t xml:space="preserve"> </w:t>
      </w:r>
      <w:r w:rsidR="00374151">
        <w:t>ST.96</w:t>
      </w:r>
      <w:r w:rsidR="00374151">
        <w:rPr>
          <w:u w:val="single"/>
        </w:rPr>
        <w:t xml:space="preserve">; </w:t>
      </w:r>
      <w:r w:rsidR="00211667">
        <w:rPr>
          <w:u w:val="single"/>
        </w:rPr>
        <w:t>и поддерживать их выполнение»</w:t>
      </w:r>
      <w:r w:rsidR="00374151">
        <w:t xml:space="preserve"> (</w:t>
      </w:r>
      <w:r w:rsidR="00211667">
        <w:t>новый текст подчеркнут</w:t>
      </w:r>
      <w:r w:rsidR="00374151">
        <w:t>)</w:t>
      </w:r>
      <w:r w:rsidR="009C529E">
        <w:t xml:space="preserve">; </w:t>
      </w:r>
      <w:r w:rsidR="00211667">
        <w:t>и</w:t>
      </w:r>
    </w:p>
    <w:p w14:paraId="41A7BE72" w14:textId="77777777" w:rsidR="00211667" w:rsidRPr="00211667" w:rsidRDefault="00211667" w:rsidP="00211667">
      <w:pPr>
        <w:pStyle w:val="ListParagraph"/>
        <w:rPr>
          <w:rFonts w:eastAsia="Batang"/>
        </w:rPr>
      </w:pPr>
    </w:p>
    <w:p w14:paraId="091D1A38" w14:textId="4135BD7A" w:rsidR="008B407B" w:rsidRDefault="00F64477" w:rsidP="006B00C1">
      <w:pPr>
        <w:pStyle w:val="ListParagraph"/>
        <w:numPr>
          <w:ilvl w:val="0"/>
          <w:numId w:val="36"/>
        </w:numPr>
        <w:spacing w:after="220"/>
      </w:pPr>
      <w:r>
        <w:t>упразднить задачи КСВ №№ </w:t>
      </w:r>
      <w:r w:rsidR="009C529E">
        <w:t>38 (ST.36),</w:t>
      </w:r>
      <w:r>
        <w:t xml:space="preserve"> </w:t>
      </w:r>
      <w:r w:rsidR="009C529E">
        <w:t xml:space="preserve">39 (ST.66) </w:t>
      </w:r>
      <w:r>
        <w:t>и</w:t>
      </w:r>
      <w:r w:rsidR="009C529E">
        <w:t xml:space="preserve"> 42 (ST.86) </w:t>
      </w:r>
      <w:r>
        <w:t>и три соответствующие целевые группы, а именно по</w:t>
      </w:r>
      <w:r w:rsidR="009C529E">
        <w:t xml:space="preserve"> ST.36, ST.66 </w:t>
      </w:r>
      <w:r>
        <w:t>и</w:t>
      </w:r>
      <w:r w:rsidR="009C529E">
        <w:t xml:space="preserve"> ST.86.</w:t>
      </w:r>
    </w:p>
    <w:p w14:paraId="45B2D952" w14:textId="77777777" w:rsidR="008B407B" w:rsidRDefault="008B407B">
      <w:r>
        <w:br w:type="page"/>
      </w:r>
    </w:p>
    <w:p w14:paraId="0A5D24EE" w14:textId="5966A2D3" w:rsidR="009010E5" w:rsidRDefault="00D9041A" w:rsidP="006B00C1">
      <w:pPr>
        <w:pStyle w:val="Heading3"/>
      </w:pPr>
      <w:r>
        <w:t>Новая задача по выполнению стандарта ВОИС</w:t>
      </w:r>
      <w:r w:rsidR="006B00C1">
        <w:t xml:space="preserve"> ST.37</w:t>
      </w:r>
    </w:p>
    <w:p w14:paraId="755086AF" w14:textId="3EAA86C7" w:rsidR="00634F83" w:rsidRDefault="00816986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307C5F">
        <w:t xml:space="preserve">Со времени принятия стандарта ВОИС </w:t>
      </w:r>
      <w:r>
        <w:t xml:space="preserve">ST.37 </w:t>
      </w:r>
      <w:r w:rsidR="00307C5F">
        <w:t xml:space="preserve">на пятой сессии КСВ </w:t>
      </w:r>
      <w:r>
        <w:t>30</w:t>
      </w:r>
      <w:r w:rsidR="00307C5F">
        <w:t xml:space="preserve"> ведомств представили Международному бюро свои ведомственные досье, которые опубликованы на портале ведомственных досье ВОИС</w:t>
      </w:r>
      <w:r>
        <w:t xml:space="preserve">.  </w:t>
      </w:r>
      <w:r w:rsidR="007E0441">
        <w:t xml:space="preserve">Число участвующих </w:t>
      </w:r>
      <w:r w:rsidR="00244EA2">
        <w:t xml:space="preserve">организаций </w:t>
      </w:r>
      <w:r w:rsidR="008A3605">
        <w:t xml:space="preserve">следует рассматривать с учетом базы данных </w:t>
      </w:r>
      <w:r>
        <w:t>PATENTSCOPE</w:t>
      </w:r>
      <w:r w:rsidR="008A3605">
        <w:t xml:space="preserve">, которая насчитывает патентные фонды </w:t>
      </w:r>
      <w:r>
        <w:t>75</w:t>
      </w:r>
      <w:r w:rsidR="008A3605">
        <w:t xml:space="preserve"> ведомств</w:t>
      </w:r>
      <w:r>
        <w:t>.</w:t>
      </w:r>
    </w:p>
    <w:p w14:paraId="079646B9" w14:textId="4D2888AF" w:rsidR="00816986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6E2A4C">
        <w:t xml:space="preserve">В свете договоренностей Целевой группы по минимуму документации РСТ о </w:t>
      </w:r>
      <w:r w:rsidR="001D226D">
        <w:t xml:space="preserve">необходимости </w:t>
      </w:r>
      <w:r w:rsidR="006E2A4C">
        <w:t>подготовк</w:t>
      </w:r>
      <w:r w:rsidR="001D226D">
        <w:t>и</w:t>
      </w:r>
      <w:r w:rsidR="006E2A4C">
        <w:t xml:space="preserve"> ведомственного досье </w:t>
      </w:r>
      <w:r w:rsidR="0042556F">
        <w:t>с</w:t>
      </w:r>
      <w:r w:rsidR="006E2A4C">
        <w:t xml:space="preserve"> соблюдени</w:t>
      </w:r>
      <w:r w:rsidR="0042556F">
        <w:t>ем</w:t>
      </w:r>
      <w:r w:rsidR="006E2A4C">
        <w:t xml:space="preserve"> требований стандарта ВОИС</w:t>
      </w:r>
      <w:r>
        <w:t xml:space="preserve"> ST.37</w:t>
      </w:r>
      <w:r w:rsidR="006E2A4C">
        <w:t xml:space="preserve"> в дополнение к </w:t>
      </w:r>
      <w:r w:rsidR="0042556F">
        <w:t>цифров</w:t>
      </w:r>
      <w:r w:rsidR="001D226D">
        <w:t>ому</w:t>
      </w:r>
      <w:r w:rsidR="0042556F">
        <w:t xml:space="preserve"> патентн</w:t>
      </w:r>
      <w:r w:rsidR="001D226D">
        <w:t>ому</w:t>
      </w:r>
      <w:r w:rsidR="0042556F">
        <w:t xml:space="preserve"> фонд</w:t>
      </w:r>
      <w:r w:rsidR="001D226D">
        <w:t>у</w:t>
      </w:r>
      <w:r w:rsidR="0042556F">
        <w:t>, а также признанной пользы ведомственных досье с точки зрения проверки таких фондов Международное бюро предлагает создать новую задачу</w:t>
      </w:r>
      <w:r w:rsidR="001D226D">
        <w:t>, призванную</w:t>
      </w:r>
      <w:r w:rsidR="0042556F">
        <w:t xml:space="preserve"> стимулирова</w:t>
      </w:r>
      <w:r w:rsidR="001D226D">
        <w:t>ть</w:t>
      </w:r>
      <w:r w:rsidR="0042556F">
        <w:t xml:space="preserve"> ведомств</w:t>
      </w:r>
      <w:r w:rsidR="001D226D">
        <w:t>а</w:t>
      </w:r>
      <w:r w:rsidR="0042556F">
        <w:t xml:space="preserve"> ИС пре</w:t>
      </w:r>
      <w:r w:rsidR="001D226D">
        <w:t>дставлять в Международное бюро ведомственные досье, соответствующие стандарту ВОИС</w:t>
      </w:r>
      <w:r>
        <w:t xml:space="preserve"> ST.37.  </w:t>
      </w:r>
      <w:r w:rsidR="00A5169E">
        <w:t xml:space="preserve">Развернутое предложение о создании </w:t>
      </w:r>
      <w:r w:rsidR="00E15C98">
        <w:t xml:space="preserve">такой </w:t>
      </w:r>
      <w:r w:rsidR="00A5169E">
        <w:t>новой задачи изложено в документе </w:t>
      </w:r>
      <w:r>
        <w:t>CWS/11/15.</w:t>
      </w:r>
    </w:p>
    <w:p w14:paraId="7AA6784C" w14:textId="271189F8" w:rsidR="004D337D" w:rsidRDefault="00EB009E" w:rsidP="00394A48">
      <w:pPr>
        <w:pStyle w:val="Heading3"/>
      </w:pPr>
      <w:r w:rsidRPr="00EB009E">
        <w:t>Организация работы по обновлению части 6 Справочника ВОИС</w:t>
      </w:r>
    </w:p>
    <w:p w14:paraId="6D275F6D" w14:textId="3D149BC4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1F5996">
        <w:t xml:space="preserve">КСВ на десятой сессии </w:t>
      </w:r>
      <w:r w:rsidR="00D84036">
        <w:t>принял к сведению работу и план Международного бюро по обновлению Справочника ВОИС, в том числе его части</w:t>
      </w:r>
      <w:r>
        <w:t xml:space="preserve"> 6.1 </w:t>
      </w:r>
      <w:r w:rsidR="00D84036">
        <w:t>«Рекомендуемый минимум содержания</w:t>
      </w:r>
      <w:r w:rsidR="00507B25">
        <w:t xml:space="preserve"> для веб-сайтов ведомств интеллектуальной собственности»</w:t>
      </w:r>
      <w:r>
        <w:t xml:space="preserve"> (</w:t>
      </w:r>
      <w:r w:rsidR="00507B25">
        <w:t>см. документ </w:t>
      </w:r>
      <w:r>
        <w:t xml:space="preserve">CWS/10/ITEM 21 IB).  </w:t>
      </w:r>
      <w:r w:rsidR="00D30D4C">
        <w:t>В настоящее время координацией работы по обновлению части</w:t>
      </w:r>
      <w:r w:rsidR="004B2570">
        <w:t> </w:t>
      </w:r>
      <w:r w:rsidR="00D30D4C">
        <w:t>6 Справочника ВОИС занимается Целевая группа по цифровому преобразованию в рамках задачи № </w:t>
      </w:r>
      <w:r>
        <w:t>62,</w:t>
      </w:r>
      <w:r w:rsidR="00D30D4C">
        <w:t xml:space="preserve"> сформулированной следующим образом</w:t>
      </w:r>
      <w:r>
        <w:t>:</w:t>
      </w:r>
    </w:p>
    <w:p w14:paraId="74F4086D" w14:textId="171163F0" w:rsidR="001A0261" w:rsidRDefault="001A0261" w:rsidP="001A0261">
      <w:pPr>
        <w:spacing w:after="220"/>
        <w:ind w:left="567"/>
        <w:rPr>
          <w:rFonts w:eastAsia="Batang"/>
        </w:rPr>
      </w:pPr>
      <w:r>
        <w:t>«Проанализировать стандарты ВОИС ST.6, ST.8, ST.10, ST.11, ST.15, ST.17, ST.18, ST.63 и ST.81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материалов».</w:t>
      </w:r>
    </w:p>
    <w:p w14:paraId="1B9C7AA3" w14:textId="3615A1D0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A21593">
        <w:t>Целев</w:t>
      </w:r>
      <w:r w:rsidR="006E2E59">
        <w:t>ой</w:t>
      </w:r>
      <w:r w:rsidR="00A21593">
        <w:t xml:space="preserve"> групп</w:t>
      </w:r>
      <w:r w:rsidR="006E2E59">
        <w:t>е</w:t>
      </w:r>
      <w:r w:rsidR="00A21593">
        <w:t xml:space="preserve"> по открытому доступу к патентной информации </w:t>
      </w:r>
      <w:r>
        <w:t>(</w:t>
      </w:r>
      <w:r w:rsidR="00A21593">
        <w:t>ОДПИ</w:t>
      </w:r>
      <w:r>
        <w:t xml:space="preserve">) </w:t>
      </w:r>
      <w:r w:rsidR="006E2E59">
        <w:t xml:space="preserve">поручено вести работу в отношении </w:t>
      </w:r>
      <w:r w:rsidR="00A21593">
        <w:t>общедоступной патентной информаци</w:t>
      </w:r>
      <w:r w:rsidR="004B2570">
        <w:t>и</w:t>
      </w:r>
      <w:r w:rsidR="00A21593">
        <w:t>, которая актуальна для части</w:t>
      </w:r>
      <w:r>
        <w:t xml:space="preserve"> 6,</w:t>
      </w:r>
      <w:r w:rsidR="00A21593">
        <w:t xml:space="preserve"> в рамках выполнения задачи № </w:t>
      </w:r>
      <w:r>
        <w:t>52,</w:t>
      </w:r>
      <w:r w:rsidR="00A21593">
        <w:t xml:space="preserve"> сформулированной следующим образом</w:t>
      </w:r>
      <w:r>
        <w:t>:</w:t>
      </w:r>
    </w:p>
    <w:p w14:paraId="33B688F5" w14:textId="5A25DF7D" w:rsidR="001A0261" w:rsidRDefault="006B6788" w:rsidP="006B6788">
      <w:pPr>
        <w:spacing w:after="220"/>
        <w:ind w:left="567"/>
        <w:rPr>
          <w:rFonts w:eastAsia="Batang"/>
        </w:rPr>
      </w:pPr>
      <w:r>
        <w:t>«Подготовить рекомендации в отношении систем, обеспечивающих доступ к патентной информации, публикуемой ведомствами интеллектуальной собственности».</w:t>
      </w:r>
    </w:p>
    <w:p w14:paraId="5705EBA9" w14:textId="37B12836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6E2E59">
        <w:t>Поскольку Целев</w:t>
      </w:r>
      <w:r w:rsidR="00A524D1">
        <w:t>ая</w:t>
      </w:r>
      <w:r w:rsidR="006E2E59">
        <w:t xml:space="preserve"> групп</w:t>
      </w:r>
      <w:r w:rsidR="00A524D1">
        <w:t>а</w:t>
      </w:r>
      <w:r w:rsidR="006E2E59">
        <w:t xml:space="preserve"> по цифровому преобразованию о</w:t>
      </w:r>
      <w:r w:rsidR="00A524D1">
        <w:t xml:space="preserve">твечает за выполнение </w:t>
      </w:r>
      <w:r w:rsidR="006E2E59">
        <w:t>нескольк</w:t>
      </w:r>
      <w:r w:rsidR="00A524D1">
        <w:t>их</w:t>
      </w:r>
      <w:r w:rsidR="006E2E59">
        <w:t xml:space="preserve"> задач, а Целевая группа по ОДПИ не </w:t>
      </w:r>
      <w:r w:rsidR="00B926BE">
        <w:t xml:space="preserve">ведет </w:t>
      </w:r>
      <w:r w:rsidR="00234FD9">
        <w:t>конкретн</w:t>
      </w:r>
      <w:r w:rsidR="00B926BE">
        <w:t>ую</w:t>
      </w:r>
      <w:r w:rsidR="00234FD9">
        <w:t xml:space="preserve"> работ</w:t>
      </w:r>
      <w:r w:rsidR="00B926BE">
        <w:t>у</w:t>
      </w:r>
      <w:r w:rsidR="006E2E59">
        <w:t>, Международно</w:t>
      </w:r>
      <w:r w:rsidR="00B926BE">
        <w:t>е</w:t>
      </w:r>
      <w:r w:rsidR="006E2E59">
        <w:t xml:space="preserve"> бюро на правах руководителя </w:t>
      </w:r>
      <w:r w:rsidR="000C0A84">
        <w:t>Целевой группы по ОДПИ</w:t>
      </w:r>
      <w:r>
        <w:t xml:space="preserve"> </w:t>
      </w:r>
      <w:r w:rsidR="000C0A84">
        <w:t xml:space="preserve">по итогам консультаций с Ведомством по патентам и товарным знакам США (ВПТЗ США) в качестве руководителя Целевой группы по цифровому преобразованию предлагает перепоручить </w:t>
      </w:r>
      <w:bookmarkStart w:id="4" w:name="_Hlk146124054"/>
      <w:r w:rsidR="000C0A84">
        <w:t xml:space="preserve">работу по обновлению части </w:t>
      </w:r>
      <w:r>
        <w:t xml:space="preserve">6 </w:t>
      </w:r>
      <w:r w:rsidR="000C0A84">
        <w:t>Справочника ВОИС Целевой группе по ОДПИ вместо Целевой группы по цифровому преобразованию</w:t>
      </w:r>
      <w:bookmarkEnd w:id="4"/>
      <w:r>
        <w:t>.</w:t>
      </w:r>
    </w:p>
    <w:p w14:paraId="3B9CE365" w14:textId="058B28BB" w:rsidR="004D337D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7D3847">
        <w:t>Предл</w:t>
      </w:r>
      <w:r w:rsidR="00AE0466">
        <w:t xml:space="preserve">ожения об </w:t>
      </w:r>
      <w:r w:rsidR="007D3847">
        <w:t>изменени</w:t>
      </w:r>
      <w:r w:rsidR="00AE0466">
        <w:t>и</w:t>
      </w:r>
      <w:r w:rsidR="007D3847">
        <w:t xml:space="preserve"> формулиров</w:t>
      </w:r>
      <w:r w:rsidR="00AE0466">
        <w:t>о</w:t>
      </w:r>
      <w:r w:rsidR="007D3847">
        <w:t>к задач №</w:t>
      </w:r>
      <w:r>
        <w:t xml:space="preserve"> 52 </w:t>
      </w:r>
      <w:r w:rsidR="007D3847">
        <w:t>и</w:t>
      </w:r>
      <w:r>
        <w:t xml:space="preserve"> 62</w:t>
      </w:r>
      <w:r w:rsidR="007D3847">
        <w:t xml:space="preserve"> изложены в отчетах соответствующих целевых групп</w:t>
      </w:r>
      <w:r>
        <w:t xml:space="preserve">.  </w:t>
      </w:r>
      <w:r w:rsidR="00AE0466">
        <w:t xml:space="preserve">Дополнительная информация об этих предложениях приводится в документах </w:t>
      </w:r>
      <w:r>
        <w:t xml:space="preserve">CWS/11/12 </w:t>
      </w:r>
      <w:r w:rsidR="00AE0466">
        <w:t>и</w:t>
      </w:r>
      <w:r>
        <w:t xml:space="preserve"> CWS/11/11 </w:t>
      </w:r>
      <w:r w:rsidR="00AE0466">
        <w:t>соответственно</w:t>
      </w:r>
      <w:r>
        <w:t>.</w:t>
      </w:r>
    </w:p>
    <w:p w14:paraId="5E2B2D54" w14:textId="186EC6A6" w:rsidR="001D214D" w:rsidRPr="00301286" w:rsidRDefault="00B71EC4" w:rsidP="00301286">
      <w:pPr>
        <w:pStyle w:val="Heading3"/>
      </w:pPr>
      <w:r>
        <w:t>Пересмотр задачи №</w:t>
      </w:r>
      <w:r w:rsidR="001D214D">
        <w:t xml:space="preserve"> 24 </w:t>
      </w:r>
      <w:r w:rsidR="00954078">
        <w:t>о годовых технических отчетах</w:t>
      </w:r>
    </w:p>
    <w:p w14:paraId="0E028515" w14:textId="12A658A4" w:rsidR="00EF4CC1" w:rsidRDefault="005620DC" w:rsidP="00F65532">
      <w:pPr>
        <w:spacing w:after="240"/>
        <w:rPr>
          <w:noProof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9571E">
        <w:t>КСВ на</w:t>
      </w:r>
      <w:r>
        <w:t xml:space="preserve"> девятой сессии принял решение использовать упрощенный процесс сбора ГТО в течение трех лет, а затем принять решение о целесообразности прекращения </w:t>
      </w:r>
      <w:r w:rsidR="0079571E">
        <w:t xml:space="preserve">практики </w:t>
      </w:r>
      <w:r>
        <w:t xml:space="preserve">сбора </w:t>
      </w:r>
      <w:r w:rsidR="0079571E">
        <w:t xml:space="preserve">таких </w:t>
      </w:r>
      <w:r w:rsidR="006E793B">
        <w:t>материалов</w:t>
      </w:r>
      <w:r>
        <w:t xml:space="preserve"> (см. пункты 97</w:t>
      </w:r>
      <w:r w:rsidR="0079571E">
        <w:t>–</w:t>
      </w:r>
      <w:r>
        <w:t xml:space="preserve">105 документа CWS/9/25).  </w:t>
      </w:r>
      <w:r w:rsidR="000E115C">
        <w:t>ВИС было</w:t>
      </w:r>
      <w:r w:rsidR="00FD13D8">
        <w:t xml:space="preserve"> направлено три циркуляра</w:t>
      </w:r>
      <w:r w:rsidR="000E115C">
        <w:t xml:space="preserve"> </w:t>
      </w:r>
      <w:r w:rsidR="00FD13D8">
        <w:t xml:space="preserve">(C.CWS 166, 167 и 168) с </w:t>
      </w:r>
      <w:r w:rsidR="000E115C">
        <w:t>предложен</w:t>
      </w:r>
      <w:r w:rsidR="00FD13D8">
        <w:t>ием</w:t>
      </w:r>
      <w:r w:rsidR="000E115C">
        <w:t xml:space="preserve"> </w:t>
      </w:r>
      <w:r w:rsidR="00954078">
        <w:t xml:space="preserve">представить свои </w:t>
      </w:r>
      <w:r w:rsidR="00FE246A">
        <w:t xml:space="preserve">ГТО за </w:t>
      </w:r>
      <w:r>
        <w:t>2022</w:t>
      </w:r>
      <w:r w:rsidR="00FE246A">
        <w:t xml:space="preserve"> год</w:t>
      </w:r>
      <w:r w:rsidR="00FD13D8">
        <w:t xml:space="preserve"> – таким образом, упрощенная процедура сбора ГТО используется второй год</w:t>
      </w:r>
      <w:r w:rsidR="00E4018F">
        <w:t xml:space="preserve"> подряд</w:t>
      </w:r>
      <w:r>
        <w:t xml:space="preserve">.  </w:t>
      </w:r>
      <w:r w:rsidR="00E4018F">
        <w:t>На двенадцатой сессии КСВ проанализирует этот опыт и примет решение о дальнейшем сборе ГТО</w:t>
      </w:r>
      <w:r>
        <w:t>.</w:t>
      </w:r>
    </w:p>
    <w:p w14:paraId="60FD3B50" w14:textId="653F95EF" w:rsidR="00EF4CC1" w:rsidRDefault="005620DC" w:rsidP="00E71B94">
      <w:pPr>
        <w:spacing w:after="240"/>
        <w:rPr>
          <w:noProof/>
          <w:szCs w:val="22"/>
        </w:rPr>
      </w:pPr>
      <w:r w:rsidRPr="00C66B10">
        <w:fldChar w:fldCharType="begin"/>
      </w:r>
      <w:r w:rsidRPr="00C66B10">
        <w:instrText xml:space="preserve"> AUTONUM  </w:instrText>
      </w:r>
      <w:r w:rsidRPr="00C66B10">
        <w:fldChar w:fldCharType="end"/>
      </w:r>
      <w:r>
        <w:tab/>
      </w:r>
      <w:r w:rsidR="002B5E8B">
        <w:t xml:space="preserve">Необходимо отметить, что ГТО за 2022 год представили </w:t>
      </w:r>
      <w:r>
        <w:t>24</w:t>
      </w:r>
      <w:r w:rsidR="002B5E8B">
        <w:t xml:space="preserve"> ведомства, тогда как в 2022 году на предложение откликнулись </w:t>
      </w:r>
      <w:r>
        <w:t>17</w:t>
      </w:r>
      <w:r w:rsidR="002B5E8B">
        <w:t xml:space="preserve"> ведомств, направив свои ГТО за 2021 год</w:t>
      </w:r>
      <w:r>
        <w:t xml:space="preserve">.  </w:t>
      </w:r>
      <w:r w:rsidR="00D47230">
        <w:t>В следующей таблице приводится дополнительная информация с конкретными данными по каждому виду прав ИС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11F7" w14:paraId="7D7455F0" w14:textId="77777777" w:rsidTr="00ED11F7">
        <w:tc>
          <w:tcPr>
            <w:tcW w:w="3115" w:type="dxa"/>
          </w:tcPr>
          <w:p w14:paraId="38F07686" w14:textId="50C9E81A" w:rsidR="00ED11F7" w:rsidRDefault="00D47230" w:rsidP="00E66226">
            <w:pPr>
              <w:jc w:val="center"/>
              <w:rPr>
                <w:noProof/>
                <w:szCs w:val="22"/>
              </w:rPr>
            </w:pPr>
            <w:r>
              <w:t>Вид ГТО</w:t>
            </w:r>
          </w:p>
        </w:tc>
        <w:tc>
          <w:tcPr>
            <w:tcW w:w="3115" w:type="dxa"/>
          </w:tcPr>
          <w:p w14:paraId="7BFFB583" w14:textId="092F4094" w:rsidR="00ED11F7" w:rsidRDefault="00AF0003" w:rsidP="00E66226">
            <w:pPr>
              <w:jc w:val="center"/>
              <w:rPr>
                <w:noProof/>
                <w:szCs w:val="22"/>
              </w:rPr>
            </w:pPr>
            <w:r>
              <w:t xml:space="preserve">Деятельность </w:t>
            </w:r>
            <w:r w:rsidR="008A036A">
              <w:t xml:space="preserve">за </w:t>
            </w:r>
            <w:r w:rsidR="00ED11F7">
              <w:t>2022</w:t>
            </w:r>
            <w:r w:rsidR="008A036A">
              <w:t xml:space="preserve"> год</w:t>
            </w:r>
          </w:p>
        </w:tc>
        <w:tc>
          <w:tcPr>
            <w:tcW w:w="3115" w:type="dxa"/>
          </w:tcPr>
          <w:p w14:paraId="1BE363B2" w14:textId="719C56D1" w:rsidR="00ED11F7" w:rsidRDefault="00AF0003" w:rsidP="00E66226">
            <w:pPr>
              <w:jc w:val="center"/>
              <w:rPr>
                <w:noProof/>
                <w:szCs w:val="22"/>
              </w:rPr>
            </w:pPr>
            <w:r>
              <w:t>Деятельность</w:t>
            </w:r>
            <w:r w:rsidR="008A036A">
              <w:t xml:space="preserve"> за </w:t>
            </w:r>
            <w:r w:rsidR="00ED11F7">
              <w:t>2021</w:t>
            </w:r>
            <w:r w:rsidR="008A036A">
              <w:t xml:space="preserve"> год</w:t>
            </w:r>
          </w:p>
        </w:tc>
      </w:tr>
      <w:tr w:rsidR="00ED11F7" w14:paraId="24612CD7" w14:textId="77777777" w:rsidTr="00ED11F7">
        <w:tc>
          <w:tcPr>
            <w:tcW w:w="3115" w:type="dxa"/>
          </w:tcPr>
          <w:p w14:paraId="7311D3D1" w14:textId="463FFFA2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промышленных образцах</w:t>
            </w:r>
          </w:p>
        </w:tc>
        <w:tc>
          <w:tcPr>
            <w:tcW w:w="3115" w:type="dxa"/>
          </w:tcPr>
          <w:p w14:paraId="0DF7EE0B" w14:textId="2D9942A9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3115" w:type="dxa"/>
          </w:tcPr>
          <w:p w14:paraId="7B73CBDF" w14:textId="4FFF3C4F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</w:tr>
      <w:tr w:rsidR="00ED11F7" w14:paraId="6499F8EB" w14:textId="77777777" w:rsidTr="00ED11F7">
        <w:tc>
          <w:tcPr>
            <w:tcW w:w="3115" w:type="dxa"/>
          </w:tcPr>
          <w:p w14:paraId="3F01ED47" w14:textId="28216172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патентах</w:t>
            </w:r>
          </w:p>
        </w:tc>
        <w:tc>
          <w:tcPr>
            <w:tcW w:w="3115" w:type="dxa"/>
          </w:tcPr>
          <w:p w14:paraId="47F886F9" w14:textId="2F9F89FB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3115" w:type="dxa"/>
          </w:tcPr>
          <w:p w14:paraId="245ED18E" w14:textId="442F6428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</w:tr>
      <w:tr w:rsidR="00ED11F7" w14:paraId="73B5454E" w14:textId="77777777" w:rsidTr="00ED11F7">
        <w:tc>
          <w:tcPr>
            <w:tcW w:w="3115" w:type="dxa"/>
          </w:tcPr>
          <w:p w14:paraId="63F04D7C" w14:textId="33A94D49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товарных знаках</w:t>
            </w:r>
          </w:p>
        </w:tc>
        <w:tc>
          <w:tcPr>
            <w:tcW w:w="3115" w:type="dxa"/>
          </w:tcPr>
          <w:p w14:paraId="14D9832A" w14:textId="7394AE71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3115" w:type="dxa"/>
          </w:tcPr>
          <w:p w14:paraId="7789920F" w14:textId="1D9BDF2F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</w:tr>
    </w:tbl>
    <w:p w14:paraId="2907650B" w14:textId="36010A16" w:rsidR="003C7519" w:rsidRPr="004176E0" w:rsidRDefault="007407CC" w:rsidP="004B5C2B">
      <w:pPr>
        <w:pStyle w:val="Heading2"/>
        <w:numPr>
          <w:ilvl w:val="0"/>
          <w:numId w:val="0"/>
        </w:numPr>
      </w:pPr>
      <w:r>
        <w:t>Предложение о подготовке опросной анкеты по определению приоритетности задач</w:t>
      </w:r>
    </w:p>
    <w:p w14:paraId="09303045" w14:textId="2AA94D8F" w:rsidR="000D6457" w:rsidRDefault="004B5C2B" w:rsidP="005F4D67">
      <w:pPr>
        <w:spacing w:after="240"/>
      </w:pPr>
      <w:r w:rsidRPr="004176E0">
        <w:fldChar w:fldCharType="begin"/>
      </w:r>
      <w:r w:rsidRPr="004176E0">
        <w:instrText xml:space="preserve"> AUTONUM  </w:instrText>
      </w:r>
      <w:r w:rsidRPr="004176E0">
        <w:fldChar w:fldCharType="end"/>
      </w:r>
      <w:r>
        <w:tab/>
      </w:r>
      <w:r w:rsidR="007407CC">
        <w:t>По поручению КСВ, сформулированному на прошлой сессии, Секретариат в сотрудничестве с руководителями целевых групп подготовил проект опросной анкеты</w:t>
      </w:r>
      <w:r w:rsidR="00476707">
        <w:t xml:space="preserve"> для понимания предпочтений ВИС в отношении приоритетности задач в рамках программы работы КСВ</w:t>
      </w:r>
      <w:r>
        <w:t xml:space="preserve">.  </w:t>
      </w:r>
      <w:r w:rsidR="00476707">
        <w:t xml:space="preserve">Предлагаемая анкета представлена </w:t>
      </w:r>
      <w:r w:rsidR="00E56981">
        <w:t xml:space="preserve">для рассмотрения </w:t>
      </w:r>
      <w:r w:rsidR="00476707">
        <w:t>КСВ в документе</w:t>
      </w:r>
      <w:r w:rsidR="00E56981">
        <w:t> </w:t>
      </w:r>
      <w:r>
        <w:t>CWS/11/6.</w:t>
      </w:r>
    </w:p>
    <w:p w14:paraId="05F0EEB7" w14:textId="0C7F8CBC" w:rsidR="00880F9F" w:rsidRPr="008B38F6" w:rsidRDefault="00983DBF" w:rsidP="00880F9F">
      <w:pPr>
        <w:pStyle w:val="ONUME"/>
        <w:ind w:left="5533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070298A8" w14:textId="6B153FBF" w:rsidR="00880F9F" w:rsidRPr="008B38F6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</w:rPr>
      </w:pPr>
      <w:r>
        <w:rPr>
          <w:i/>
        </w:rPr>
        <w:t xml:space="preserve">принять к сведению </w:t>
      </w:r>
      <w:r w:rsidR="008C3523">
        <w:rPr>
          <w:i/>
        </w:rPr>
        <w:t xml:space="preserve">информацию, изложенную в </w:t>
      </w:r>
      <w:r>
        <w:rPr>
          <w:i/>
        </w:rPr>
        <w:t>настояще</w:t>
      </w:r>
      <w:r w:rsidR="008C3523">
        <w:rPr>
          <w:i/>
        </w:rPr>
        <w:t>м</w:t>
      </w:r>
      <w:r>
        <w:rPr>
          <w:i/>
        </w:rPr>
        <w:t xml:space="preserve"> документ</w:t>
      </w:r>
      <w:r w:rsidR="008C3523">
        <w:rPr>
          <w:i/>
        </w:rPr>
        <w:t>е</w:t>
      </w:r>
      <w:r>
        <w:rPr>
          <w:i/>
        </w:rPr>
        <w:t>;</w:t>
      </w:r>
    </w:p>
    <w:p w14:paraId="47244857" w14:textId="7FA4C58E" w:rsidR="00302865" w:rsidRDefault="00716827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утвердить объединение задач №№ </w:t>
      </w:r>
      <w:r w:rsidR="00ED11F7">
        <w:rPr>
          <w:i/>
        </w:rPr>
        <w:t>38, 39</w:t>
      </w:r>
      <w:r>
        <w:rPr>
          <w:i/>
        </w:rPr>
        <w:t> и </w:t>
      </w:r>
      <w:r w:rsidR="00ED11F7">
        <w:rPr>
          <w:i/>
        </w:rPr>
        <w:t xml:space="preserve">42 </w:t>
      </w:r>
      <w:r>
        <w:rPr>
          <w:i/>
        </w:rPr>
        <w:t>в рамках задачи № </w:t>
      </w:r>
      <w:r w:rsidR="00ED11F7">
        <w:rPr>
          <w:i/>
        </w:rPr>
        <w:t xml:space="preserve">41; </w:t>
      </w:r>
      <w:r>
        <w:rPr>
          <w:i/>
        </w:rPr>
        <w:t>предложение об актуализации формулировки задачи № </w:t>
      </w:r>
      <w:r w:rsidR="00ED11F7">
        <w:rPr>
          <w:i/>
        </w:rPr>
        <w:t xml:space="preserve">41, </w:t>
      </w:r>
      <w:r>
        <w:rPr>
          <w:i/>
        </w:rPr>
        <w:t xml:space="preserve">которая будет постоянно поручена Целевой группе по </w:t>
      </w:r>
      <w:r w:rsidR="00ED11F7">
        <w:rPr>
          <w:i/>
        </w:rPr>
        <w:t>XML</w:t>
      </w:r>
      <w:r>
        <w:rPr>
          <w:i/>
        </w:rPr>
        <w:t xml:space="preserve"> для ИС</w:t>
      </w:r>
      <w:r w:rsidR="00ED11F7">
        <w:rPr>
          <w:i/>
        </w:rPr>
        <w:t xml:space="preserve">; </w:t>
      </w:r>
      <w:r>
        <w:rPr>
          <w:i/>
        </w:rPr>
        <w:t xml:space="preserve">и упразднение </w:t>
      </w:r>
      <w:r w:rsidR="00860C3E">
        <w:rPr>
          <w:i/>
        </w:rPr>
        <w:t>Целевых групп по</w:t>
      </w:r>
      <w:r w:rsidR="00ED11F7">
        <w:rPr>
          <w:i/>
        </w:rPr>
        <w:t xml:space="preserve"> ST.36, ST.66 </w:t>
      </w:r>
      <w:r w:rsidR="00860C3E">
        <w:rPr>
          <w:i/>
        </w:rPr>
        <w:t>и</w:t>
      </w:r>
      <w:r w:rsidR="00ED11F7">
        <w:rPr>
          <w:i/>
        </w:rPr>
        <w:t xml:space="preserve"> ST.86</w:t>
      </w:r>
      <w:r w:rsidR="00860C3E">
        <w:rPr>
          <w:i/>
        </w:rPr>
        <w:t xml:space="preserve"> в русле предложения в пункте </w:t>
      </w:r>
      <w:r w:rsidR="00ED11F7">
        <w:rPr>
          <w:i/>
        </w:rPr>
        <w:t xml:space="preserve">14 </w:t>
      </w:r>
      <w:r w:rsidR="00860C3E">
        <w:rPr>
          <w:i/>
        </w:rPr>
        <w:t>(выше)</w:t>
      </w:r>
      <w:r w:rsidR="00ED11F7">
        <w:rPr>
          <w:i/>
        </w:rPr>
        <w:t>;</w:t>
      </w:r>
    </w:p>
    <w:p w14:paraId="7B6070DA" w14:textId="04BCC06B" w:rsidR="008306C6" w:rsidRDefault="00F518CA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рассмотреть и одобрить предложение о перепоручении работы по обновлению части </w:t>
      </w:r>
      <w:r w:rsidR="00E66226">
        <w:rPr>
          <w:i/>
        </w:rPr>
        <w:t xml:space="preserve">6 </w:t>
      </w:r>
      <w:r>
        <w:rPr>
          <w:i/>
        </w:rPr>
        <w:t>Справочника ВОИС Целевой группе по ОДПИ вместо Целевой группы по цифровому преобразованию в соответствии с пунктом </w:t>
      </w:r>
      <w:r w:rsidR="00E66226">
        <w:rPr>
          <w:i/>
        </w:rPr>
        <w:t xml:space="preserve">19 </w:t>
      </w:r>
      <w:r>
        <w:rPr>
          <w:i/>
        </w:rPr>
        <w:t>(выше)</w:t>
      </w:r>
      <w:r w:rsidR="00E66226">
        <w:rPr>
          <w:i/>
        </w:rPr>
        <w:t>;</w:t>
      </w:r>
    </w:p>
    <w:p w14:paraId="582E6AAA" w14:textId="77777777" w:rsidR="008306C6" w:rsidRDefault="008306C6">
      <w:pPr>
        <w:rPr>
          <w:i/>
        </w:rPr>
      </w:pPr>
      <w:r>
        <w:rPr>
          <w:i/>
        </w:rPr>
        <w:br w:type="page"/>
      </w:r>
    </w:p>
    <w:p w14:paraId="69CA730C" w14:textId="5272F1E8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 xml:space="preserve">рассмотреть перечень задач, представленный в приложении к настоящему документу, с учетом рекомендации, </w:t>
      </w:r>
      <w:r w:rsidR="003F0535">
        <w:rPr>
          <w:i/>
        </w:rPr>
        <w:t xml:space="preserve">изложенной </w:t>
      </w:r>
      <w:r>
        <w:rPr>
          <w:i/>
        </w:rPr>
        <w:t xml:space="preserve">в отчете об оценке, включая вопрос о рабочей нагрузке на государства-члены и Секретариат ВОИС, которая будет создана </w:t>
      </w:r>
      <w:r w:rsidR="008306C6">
        <w:rPr>
          <w:i/>
        </w:rPr>
        <w:t xml:space="preserve">участием в </w:t>
      </w:r>
      <w:r>
        <w:rPr>
          <w:i/>
        </w:rPr>
        <w:t>целевы</w:t>
      </w:r>
      <w:r w:rsidR="008306C6">
        <w:rPr>
          <w:i/>
        </w:rPr>
        <w:t xml:space="preserve">х </w:t>
      </w:r>
      <w:r>
        <w:rPr>
          <w:i/>
        </w:rPr>
        <w:t>группа</w:t>
      </w:r>
      <w:r w:rsidR="008306C6">
        <w:rPr>
          <w:i/>
        </w:rPr>
        <w:t>х</w:t>
      </w:r>
      <w:r>
        <w:rPr>
          <w:i/>
        </w:rPr>
        <w:t xml:space="preserve"> в предстоящем году, как указано в пункте</w:t>
      </w:r>
      <w:r w:rsidR="008306C6">
        <w:rPr>
          <w:i/>
        </w:rPr>
        <w:t> </w:t>
      </w:r>
      <w:r>
        <w:rPr>
          <w:i/>
        </w:rPr>
        <w:t xml:space="preserve">10 </w:t>
      </w:r>
      <w:r w:rsidR="00EE6622">
        <w:rPr>
          <w:i/>
        </w:rPr>
        <w:t>(</w:t>
      </w:r>
      <w:r>
        <w:rPr>
          <w:i/>
        </w:rPr>
        <w:t>выше</w:t>
      </w:r>
      <w:r w:rsidR="00EE6622">
        <w:rPr>
          <w:i/>
        </w:rPr>
        <w:t>)</w:t>
      </w:r>
      <w:r>
        <w:rPr>
          <w:i/>
        </w:rPr>
        <w:t>; и</w:t>
      </w:r>
    </w:p>
    <w:p w14:paraId="09A72506" w14:textId="13B6EB9E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одобрить включение Секретариатом договоренностей, достигнутых в рамках настоящей сессии, в программу работы КСВ и обзор программы работы КСВ и опубликовать их на веб-сайте ВОИС, как указано в пункте</w:t>
      </w:r>
      <w:r w:rsidR="00FE7EB0">
        <w:rPr>
          <w:i/>
        </w:rPr>
        <w:t> </w:t>
      </w:r>
      <w:r>
        <w:rPr>
          <w:i/>
        </w:rPr>
        <w:t xml:space="preserve">11 </w:t>
      </w:r>
      <w:r w:rsidR="008835B4">
        <w:rPr>
          <w:i/>
        </w:rPr>
        <w:t>(</w:t>
      </w:r>
      <w:r>
        <w:rPr>
          <w:i/>
        </w:rPr>
        <w:t>выше</w:t>
      </w:r>
      <w:r w:rsidR="008835B4">
        <w:rPr>
          <w:i/>
        </w:rPr>
        <w:t>)</w:t>
      </w:r>
      <w:r>
        <w:rPr>
          <w:i/>
        </w:rPr>
        <w:t>.</w:t>
      </w:r>
    </w:p>
    <w:p w14:paraId="0072A52D" w14:textId="77777777" w:rsidR="00983DBF" w:rsidRPr="00FE7EB0" w:rsidRDefault="00983DBF" w:rsidP="00FE7EB0">
      <w:pPr>
        <w:pStyle w:val="ONUME"/>
        <w:spacing w:before="240" w:after="0"/>
        <w:ind w:left="5670"/>
        <w:rPr>
          <w:iCs/>
        </w:rPr>
      </w:pPr>
    </w:p>
    <w:p w14:paraId="0599E3E5" w14:textId="77777777" w:rsidR="00AE7643" w:rsidRDefault="00AE7643" w:rsidP="00FE7EB0">
      <w:pPr>
        <w:pStyle w:val="Endofdocument"/>
        <w:ind w:left="5670"/>
        <w:rPr>
          <w:rFonts w:cs="Arial"/>
          <w:sz w:val="22"/>
          <w:szCs w:val="22"/>
          <w:highlight w:val="yellow"/>
        </w:rPr>
      </w:pPr>
    </w:p>
    <w:p w14:paraId="53F49F16" w14:textId="72E6E2DD" w:rsidR="002E585B" w:rsidRPr="00084955" w:rsidRDefault="002E585B" w:rsidP="002E585B">
      <w:pPr>
        <w:pStyle w:val="Endofdocument"/>
        <w:ind w:left="5530"/>
      </w:pPr>
      <w:r>
        <w:rPr>
          <w:sz w:val="22"/>
        </w:rPr>
        <w:t>[Приложение следует]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2E585B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1805" w14:textId="77777777" w:rsidR="001A6D32" w:rsidRDefault="001A6D32">
      <w:r>
        <w:separator/>
      </w:r>
    </w:p>
  </w:endnote>
  <w:endnote w:type="continuationSeparator" w:id="0">
    <w:p w14:paraId="7E8D7E53" w14:textId="77777777" w:rsidR="001A6D32" w:rsidRDefault="001A6D32" w:rsidP="003B38C1">
      <w:r>
        <w:separator/>
      </w:r>
    </w:p>
    <w:p w14:paraId="15342187" w14:textId="77777777" w:rsidR="001A6D32" w:rsidRPr="003B38C1" w:rsidRDefault="001A6D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654B98" w14:textId="77777777" w:rsidR="001A6D32" w:rsidRPr="003B38C1" w:rsidRDefault="001A6D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57D" w14:textId="77777777" w:rsidR="001A6D32" w:rsidRDefault="001A6D32">
      <w:r>
        <w:separator/>
      </w:r>
    </w:p>
  </w:footnote>
  <w:footnote w:type="continuationSeparator" w:id="0">
    <w:p w14:paraId="2C09AE47" w14:textId="77777777" w:rsidR="001A6D32" w:rsidRDefault="001A6D32" w:rsidP="008B60B2">
      <w:r>
        <w:separator/>
      </w:r>
    </w:p>
    <w:p w14:paraId="0A6FB13D" w14:textId="77777777" w:rsidR="001A6D32" w:rsidRPr="00ED77FB" w:rsidRDefault="001A6D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37F491" w14:textId="77777777" w:rsidR="001A6D32" w:rsidRPr="00ED77FB" w:rsidRDefault="001A6D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837" w14:textId="750963D7" w:rsidR="00D07C78" w:rsidRPr="00C64A44" w:rsidRDefault="002E585B" w:rsidP="00477D6B">
    <w:pPr>
      <w:jc w:val="right"/>
      <w:rPr>
        <w:caps/>
        <w:lang w:val="en-US"/>
      </w:rPr>
    </w:pPr>
    <w:r>
      <w:rPr>
        <w:caps/>
      </w:rPr>
      <w:t>CWS/11/8</w:t>
    </w:r>
    <w:r w:rsidR="00C64A44">
      <w:rPr>
        <w:caps/>
      </w:rPr>
      <w:t xml:space="preserve"> </w:t>
    </w:r>
    <w:r w:rsidR="00C64A44">
      <w:rPr>
        <w:caps/>
        <w:lang w:val="en-US"/>
      </w:rPr>
      <w:t>CORR.</w:t>
    </w:r>
  </w:p>
  <w:p w14:paraId="52B3C166" w14:textId="5761B3F0" w:rsidR="00D07C78" w:rsidRDefault="0043653E" w:rsidP="00477D6B">
    <w:pPr>
      <w:jc w:val="right"/>
    </w:pPr>
    <w: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22C4E">
      <w:t>5</w:t>
    </w:r>
    <w:r w:rsidR="00D07C78">
      <w:fldChar w:fldCharType="end"/>
    </w:r>
  </w:p>
  <w:p w14:paraId="454F6326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3960796">
    <w:abstractNumId w:val="8"/>
  </w:num>
  <w:num w:numId="2" w16cid:durableId="1780679297">
    <w:abstractNumId w:val="16"/>
  </w:num>
  <w:num w:numId="3" w16cid:durableId="1140416980">
    <w:abstractNumId w:val="0"/>
  </w:num>
  <w:num w:numId="4" w16cid:durableId="982469990">
    <w:abstractNumId w:val="18"/>
  </w:num>
  <w:num w:numId="5" w16cid:durableId="865094013">
    <w:abstractNumId w:val="3"/>
  </w:num>
  <w:num w:numId="6" w16cid:durableId="1875533896">
    <w:abstractNumId w:val="12"/>
  </w:num>
  <w:num w:numId="7" w16cid:durableId="2055882949">
    <w:abstractNumId w:val="26"/>
  </w:num>
  <w:num w:numId="8" w16cid:durableId="337542438">
    <w:abstractNumId w:val="22"/>
  </w:num>
  <w:num w:numId="9" w16cid:durableId="397558706">
    <w:abstractNumId w:val="12"/>
  </w:num>
  <w:num w:numId="10" w16cid:durableId="204683194">
    <w:abstractNumId w:val="12"/>
  </w:num>
  <w:num w:numId="11" w16cid:durableId="1773547842">
    <w:abstractNumId w:val="12"/>
  </w:num>
  <w:num w:numId="12" w16cid:durableId="1647512183">
    <w:abstractNumId w:val="12"/>
  </w:num>
  <w:num w:numId="13" w16cid:durableId="5257805">
    <w:abstractNumId w:val="12"/>
  </w:num>
  <w:num w:numId="14" w16cid:durableId="410590943">
    <w:abstractNumId w:val="12"/>
  </w:num>
  <w:num w:numId="15" w16cid:durableId="1635600658">
    <w:abstractNumId w:val="12"/>
  </w:num>
  <w:num w:numId="16" w16cid:durableId="420418629">
    <w:abstractNumId w:val="12"/>
  </w:num>
  <w:num w:numId="17" w16cid:durableId="946237649">
    <w:abstractNumId w:val="12"/>
  </w:num>
  <w:num w:numId="18" w16cid:durableId="1656913138">
    <w:abstractNumId w:val="21"/>
  </w:num>
  <w:num w:numId="19" w16cid:durableId="1973750705">
    <w:abstractNumId w:val="7"/>
  </w:num>
  <w:num w:numId="20" w16cid:durableId="1188300220">
    <w:abstractNumId w:val="6"/>
  </w:num>
  <w:num w:numId="21" w16cid:durableId="1600484358">
    <w:abstractNumId w:val="29"/>
  </w:num>
  <w:num w:numId="22" w16cid:durableId="1493908084">
    <w:abstractNumId w:val="25"/>
  </w:num>
  <w:num w:numId="23" w16cid:durableId="1414543611">
    <w:abstractNumId w:val="13"/>
  </w:num>
  <w:num w:numId="24" w16cid:durableId="1451971036">
    <w:abstractNumId w:val="28"/>
  </w:num>
  <w:num w:numId="25" w16cid:durableId="366948398">
    <w:abstractNumId w:val="4"/>
  </w:num>
  <w:num w:numId="26" w16cid:durableId="1103846706">
    <w:abstractNumId w:val="1"/>
  </w:num>
  <w:num w:numId="27" w16cid:durableId="642392295">
    <w:abstractNumId w:val="9"/>
  </w:num>
  <w:num w:numId="28" w16cid:durableId="1273437217">
    <w:abstractNumId w:val="5"/>
  </w:num>
  <w:num w:numId="29" w16cid:durableId="1101679752">
    <w:abstractNumId w:val="14"/>
  </w:num>
  <w:num w:numId="30" w16cid:durableId="1500002292">
    <w:abstractNumId w:val="11"/>
  </w:num>
  <w:num w:numId="31" w16cid:durableId="1397774797">
    <w:abstractNumId w:val="19"/>
  </w:num>
  <w:num w:numId="32" w16cid:durableId="342435294">
    <w:abstractNumId w:val="24"/>
  </w:num>
  <w:num w:numId="33" w16cid:durableId="1819763236">
    <w:abstractNumId w:val="23"/>
  </w:num>
  <w:num w:numId="34" w16cid:durableId="103966610">
    <w:abstractNumId w:val="10"/>
  </w:num>
  <w:num w:numId="35" w16cid:durableId="132791644">
    <w:abstractNumId w:val="17"/>
  </w:num>
  <w:num w:numId="36" w16cid:durableId="1220477054">
    <w:abstractNumId w:val="27"/>
  </w:num>
  <w:num w:numId="37" w16cid:durableId="1442651527">
    <w:abstractNumId w:val="15"/>
  </w:num>
  <w:num w:numId="38" w16cid:durableId="1192383148">
    <w:abstractNumId w:val="20"/>
  </w:num>
  <w:num w:numId="39" w16cid:durableId="67098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13820"/>
    <w:rsid w:val="0001495E"/>
    <w:rsid w:val="00020691"/>
    <w:rsid w:val="0002565F"/>
    <w:rsid w:val="00026D84"/>
    <w:rsid w:val="00034A9F"/>
    <w:rsid w:val="00043CAA"/>
    <w:rsid w:val="00044C57"/>
    <w:rsid w:val="0005166E"/>
    <w:rsid w:val="00051FA7"/>
    <w:rsid w:val="00055CD5"/>
    <w:rsid w:val="00056816"/>
    <w:rsid w:val="00063CC3"/>
    <w:rsid w:val="0006757B"/>
    <w:rsid w:val="0007205F"/>
    <w:rsid w:val="00075432"/>
    <w:rsid w:val="000859D8"/>
    <w:rsid w:val="00092912"/>
    <w:rsid w:val="000968ED"/>
    <w:rsid w:val="000A3D97"/>
    <w:rsid w:val="000A6EFD"/>
    <w:rsid w:val="000B18E2"/>
    <w:rsid w:val="000B32A9"/>
    <w:rsid w:val="000B7236"/>
    <w:rsid w:val="000C0613"/>
    <w:rsid w:val="000C0A84"/>
    <w:rsid w:val="000D0970"/>
    <w:rsid w:val="000D6457"/>
    <w:rsid w:val="000E115C"/>
    <w:rsid w:val="000F373F"/>
    <w:rsid w:val="000F5E56"/>
    <w:rsid w:val="00101336"/>
    <w:rsid w:val="00110B70"/>
    <w:rsid w:val="001165B8"/>
    <w:rsid w:val="00125242"/>
    <w:rsid w:val="00134EFD"/>
    <w:rsid w:val="00135C8C"/>
    <w:rsid w:val="001362EE"/>
    <w:rsid w:val="00137848"/>
    <w:rsid w:val="001500DE"/>
    <w:rsid w:val="00160104"/>
    <w:rsid w:val="001647D5"/>
    <w:rsid w:val="001832A6"/>
    <w:rsid w:val="0018609D"/>
    <w:rsid w:val="0019004F"/>
    <w:rsid w:val="001A0261"/>
    <w:rsid w:val="001A328F"/>
    <w:rsid w:val="001A6D32"/>
    <w:rsid w:val="001B6786"/>
    <w:rsid w:val="001C0626"/>
    <w:rsid w:val="001C2D44"/>
    <w:rsid w:val="001C6E5E"/>
    <w:rsid w:val="001D1C4F"/>
    <w:rsid w:val="001D214D"/>
    <w:rsid w:val="001D226D"/>
    <w:rsid w:val="001D2AB7"/>
    <w:rsid w:val="001D4107"/>
    <w:rsid w:val="001F5996"/>
    <w:rsid w:val="001F7553"/>
    <w:rsid w:val="00200E98"/>
    <w:rsid w:val="00203D24"/>
    <w:rsid w:val="00211667"/>
    <w:rsid w:val="0021217E"/>
    <w:rsid w:val="00222C4E"/>
    <w:rsid w:val="00222C84"/>
    <w:rsid w:val="00227B4C"/>
    <w:rsid w:val="002326AB"/>
    <w:rsid w:val="002339EF"/>
    <w:rsid w:val="00234FD9"/>
    <w:rsid w:val="0024039A"/>
    <w:rsid w:val="00242FC5"/>
    <w:rsid w:val="00243430"/>
    <w:rsid w:val="00244EA2"/>
    <w:rsid w:val="00261643"/>
    <w:rsid w:val="00261AA5"/>
    <w:rsid w:val="002634C4"/>
    <w:rsid w:val="00276878"/>
    <w:rsid w:val="002770EC"/>
    <w:rsid w:val="00280365"/>
    <w:rsid w:val="00280C7A"/>
    <w:rsid w:val="002928D3"/>
    <w:rsid w:val="00293EE8"/>
    <w:rsid w:val="002B5823"/>
    <w:rsid w:val="002B5E8B"/>
    <w:rsid w:val="002C0951"/>
    <w:rsid w:val="002C2585"/>
    <w:rsid w:val="002C63D1"/>
    <w:rsid w:val="002D59B0"/>
    <w:rsid w:val="002D61B0"/>
    <w:rsid w:val="002E585B"/>
    <w:rsid w:val="002F1FE6"/>
    <w:rsid w:val="002F4E68"/>
    <w:rsid w:val="00301286"/>
    <w:rsid w:val="00302865"/>
    <w:rsid w:val="00307C5F"/>
    <w:rsid w:val="00312F7F"/>
    <w:rsid w:val="00323A29"/>
    <w:rsid w:val="00337D78"/>
    <w:rsid w:val="0034042A"/>
    <w:rsid w:val="00340B1E"/>
    <w:rsid w:val="00340D7F"/>
    <w:rsid w:val="00354376"/>
    <w:rsid w:val="00355887"/>
    <w:rsid w:val="00356D35"/>
    <w:rsid w:val="003578D1"/>
    <w:rsid w:val="00361450"/>
    <w:rsid w:val="00361722"/>
    <w:rsid w:val="003673CF"/>
    <w:rsid w:val="00367716"/>
    <w:rsid w:val="00371AEA"/>
    <w:rsid w:val="003726AC"/>
    <w:rsid w:val="00374151"/>
    <w:rsid w:val="00381EBC"/>
    <w:rsid w:val="003845C1"/>
    <w:rsid w:val="00394A48"/>
    <w:rsid w:val="003A433C"/>
    <w:rsid w:val="003A4B49"/>
    <w:rsid w:val="003A6F89"/>
    <w:rsid w:val="003B339D"/>
    <w:rsid w:val="003B38C1"/>
    <w:rsid w:val="003C34E9"/>
    <w:rsid w:val="003C7519"/>
    <w:rsid w:val="003D5977"/>
    <w:rsid w:val="003E17E6"/>
    <w:rsid w:val="003E5BF8"/>
    <w:rsid w:val="003F0535"/>
    <w:rsid w:val="003F0C04"/>
    <w:rsid w:val="003F2000"/>
    <w:rsid w:val="004167C6"/>
    <w:rsid w:val="0041768C"/>
    <w:rsid w:val="004176E0"/>
    <w:rsid w:val="00423E3E"/>
    <w:rsid w:val="0042556F"/>
    <w:rsid w:val="00427ACC"/>
    <w:rsid w:val="00427AF4"/>
    <w:rsid w:val="00434B5E"/>
    <w:rsid w:val="00434EDA"/>
    <w:rsid w:val="0043653E"/>
    <w:rsid w:val="0044175F"/>
    <w:rsid w:val="004645D8"/>
    <w:rsid w:val="004647DA"/>
    <w:rsid w:val="00474062"/>
    <w:rsid w:val="00476707"/>
    <w:rsid w:val="00477D6B"/>
    <w:rsid w:val="00491DA7"/>
    <w:rsid w:val="004A79D9"/>
    <w:rsid w:val="004B17F8"/>
    <w:rsid w:val="004B2570"/>
    <w:rsid w:val="004B5842"/>
    <w:rsid w:val="004B5C2B"/>
    <w:rsid w:val="004C06E9"/>
    <w:rsid w:val="004C7545"/>
    <w:rsid w:val="004D337D"/>
    <w:rsid w:val="004E7733"/>
    <w:rsid w:val="004F4293"/>
    <w:rsid w:val="005019FF"/>
    <w:rsid w:val="00502C1E"/>
    <w:rsid w:val="00507B25"/>
    <w:rsid w:val="00511202"/>
    <w:rsid w:val="0053057A"/>
    <w:rsid w:val="0054144F"/>
    <w:rsid w:val="0054680A"/>
    <w:rsid w:val="00556076"/>
    <w:rsid w:val="00557D55"/>
    <w:rsid w:val="0056029B"/>
    <w:rsid w:val="00560A29"/>
    <w:rsid w:val="005620DC"/>
    <w:rsid w:val="005864B6"/>
    <w:rsid w:val="005B21FF"/>
    <w:rsid w:val="005B38AE"/>
    <w:rsid w:val="005B40E9"/>
    <w:rsid w:val="005C6649"/>
    <w:rsid w:val="005C79B2"/>
    <w:rsid w:val="005D0542"/>
    <w:rsid w:val="005D2D5A"/>
    <w:rsid w:val="005D752F"/>
    <w:rsid w:val="005E45AA"/>
    <w:rsid w:val="005E6C0F"/>
    <w:rsid w:val="005F4D67"/>
    <w:rsid w:val="006042CA"/>
    <w:rsid w:val="00605827"/>
    <w:rsid w:val="006063B6"/>
    <w:rsid w:val="00615545"/>
    <w:rsid w:val="00615F4E"/>
    <w:rsid w:val="00616F85"/>
    <w:rsid w:val="0062695D"/>
    <w:rsid w:val="00634F83"/>
    <w:rsid w:val="00634F89"/>
    <w:rsid w:val="00646050"/>
    <w:rsid w:val="00652625"/>
    <w:rsid w:val="00655CC7"/>
    <w:rsid w:val="0067093C"/>
    <w:rsid w:val="006713CA"/>
    <w:rsid w:val="00676C5C"/>
    <w:rsid w:val="006857F9"/>
    <w:rsid w:val="00691252"/>
    <w:rsid w:val="00691396"/>
    <w:rsid w:val="006A726D"/>
    <w:rsid w:val="006B00C1"/>
    <w:rsid w:val="006B24D1"/>
    <w:rsid w:val="006B6788"/>
    <w:rsid w:val="006C50F5"/>
    <w:rsid w:val="006C6644"/>
    <w:rsid w:val="006D5587"/>
    <w:rsid w:val="006D7383"/>
    <w:rsid w:val="006E2A4C"/>
    <w:rsid w:val="006E2E59"/>
    <w:rsid w:val="006E2F95"/>
    <w:rsid w:val="006E793B"/>
    <w:rsid w:val="006F6518"/>
    <w:rsid w:val="0071349A"/>
    <w:rsid w:val="0071473C"/>
    <w:rsid w:val="00716827"/>
    <w:rsid w:val="00720EFD"/>
    <w:rsid w:val="00726A4C"/>
    <w:rsid w:val="007407CC"/>
    <w:rsid w:val="00745732"/>
    <w:rsid w:val="00751EC3"/>
    <w:rsid w:val="00754A74"/>
    <w:rsid w:val="0075547E"/>
    <w:rsid w:val="0076025F"/>
    <w:rsid w:val="0076525D"/>
    <w:rsid w:val="007660D2"/>
    <w:rsid w:val="007854AF"/>
    <w:rsid w:val="007878B8"/>
    <w:rsid w:val="00787A1A"/>
    <w:rsid w:val="00793A7C"/>
    <w:rsid w:val="0079571E"/>
    <w:rsid w:val="007A1076"/>
    <w:rsid w:val="007A398A"/>
    <w:rsid w:val="007A3F8E"/>
    <w:rsid w:val="007A709E"/>
    <w:rsid w:val="007B3CC2"/>
    <w:rsid w:val="007B5A88"/>
    <w:rsid w:val="007C3283"/>
    <w:rsid w:val="007D1613"/>
    <w:rsid w:val="007D3847"/>
    <w:rsid w:val="007E0441"/>
    <w:rsid w:val="007E4C0E"/>
    <w:rsid w:val="007F1D88"/>
    <w:rsid w:val="007F2F98"/>
    <w:rsid w:val="007F72A4"/>
    <w:rsid w:val="00816986"/>
    <w:rsid w:val="00822E03"/>
    <w:rsid w:val="008235B7"/>
    <w:rsid w:val="00823760"/>
    <w:rsid w:val="0082662B"/>
    <w:rsid w:val="008306C6"/>
    <w:rsid w:val="008318E0"/>
    <w:rsid w:val="008335B0"/>
    <w:rsid w:val="008356C0"/>
    <w:rsid w:val="00846CF6"/>
    <w:rsid w:val="0085062D"/>
    <w:rsid w:val="00851529"/>
    <w:rsid w:val="00860C3E"/>
    <w:rsid w:val="008610AC"/>
    <w:rsid w:val="00880F9F"/>
    <w:rsid w:val="00880FC1"/>
    <w:rsid w:val="008835B4"/>
    <w:rsid w:val="00890F1D"/>
    <w:rsid w:val="008A036A"/>
    <w:rsid w:val="008A134B"/>
    <w:rsid w:val="008A3605"/>
    <w:rsid w:val="008B1356"/>
    <w:rsid w:val="008B2CC1"/>
    <w:rsid w:val="008B407B"/>
    <w:rsid w:val="008B60B2"/>
    <w:rsid w:val="008C2B34"/>
    <w:rsid w:val="008C3523"/>
    <w:rsid w:val="008D2F91"/>
    <w:rsid w:val="008D34C2"/>
    <w:rsid w:val="009010E5"/>
    <w:rsid w:val="0090319B"/>
    <w:rsid w:val="0090731E"/>
    <w:rsid w:val="00913A36"/>
    <w:rsid w:val="00915BD1"/>
    <w:rsid w:val="00916EE2"/>
    <w:rsid w:val="00917DB2"/>
    <w:rsid w:val="00946C68"/>
    <w:rsid w:val="00954078"/>
    <w:rsid w:val="0096402A"/>
    <w:rsid w:val="00966A22"/>
    <w:rsid w:val="0096722F"/>
    <w:rsid w:val="009718C0"/>
    <w:rsid w:val="00975F7B"/>
    <w:rsid w:val="00980843"/>
    <w:rsid w:val="00983DBF"/>
    <w:rsid w:val="0098752C"/>
    <w:rsid w:val="0099337B"/>
    <w:rsid w:val="00994AC9"/>
    <w:rsid w:val="009A3F7A"/>
    <w:rsid w:val="009A709A"/>
    <w:rsid w:val="009B160D"/>
    <w:rsid w:val="009B1F82"/>
    <w:rsid w:val="009B2CBB"/>
    <w:rsid w:val="009B7540"/>
    <w:rsid w:val="009C390A"/>
    <w:rsid w:val="009C529E"/>
    <w:rsid w:val="009D286E"/>
    <w:rsid w:val="009D4C5E"/>
    <w:rsid w:val="009E0BF7"/>
    <w:rsid w:val="009E2791"/>
    <w:rsid w:val="009E3F6F"/>
    <w:rsid w:val="009E51A4"/>
    <w:rsid w:val="009F499F"/>
    <w:rsid w:val="00A01234"/>
    <w:rsid w:val="00A17A4C"/>
    <w:rsid w:val="00A21593"/>
    <w:rsid w:val="00A3264D"/>
    <w:rsid w:val="00A34EE9"/>
    <w:rsid w:val="00A35557"/>
    <w:rsid w:val="00A37342"/>
    <w:rsid w:val="00A42DAF"/>
    <w:rsid w:val="00A45BD8"/>
    <w:rsid w:val="00A5169E"/>
    <w:rsid w:val="00A524D1"/>
    <w:rsid w:val="00A54493"/>
    <w:rsid w:val="00A55422"/>
    <w:rsid w:val="00A6290C"/>
    <w:rsid w:val="00A718CE"/>
    <w:rsid w:val="00A869B7"/>
    <w:rsid w:val="00A90F0A"/>
    <w:rsid w:val="00AA6F7F"/>
    <w:rsid w:val="00AB6703"/>
    <w:rsid w:val="00AB73CF"/>
    <w:rsid w:val="00AC205C"/>
    <w:rsid w:val="00AC279B"/>
    <w:rsid w:val="00AC4CEC"/>
    <w:rsid w:val="00AC7624"/>
    <w:rsid w:val="00AD0095"/>
    <w:rsid w:val="00AE0466"/>
    <w:rsid w:val="00AE3376"/>
    <w:rsid w:val="00AE7643"/>
    <w:rsid w:val="00AF0003"/>
    <w:rsid w:val="00AF0A6B"/>
    <w:rsid w:val="00AF178B"/>
    <w:rsid w:val="00B035BB"/>
    <w:rsid w:val="00B05A69"/>
    <w:rsid w:val="00B07276"/>
    <w:rsid w:val="00B128BF"/>
    <w:rsid w:val="00B17D7F"/>
    <w:rsid w:val="00B355B6"/>
    <w:rsid w:val="00B35D99"/>
    <w:rsid w:val="00B415AD"/>
    <w:rsid w:val="00B71EC4"/>
    <w:rsid w:val="00B75281"/>
    <w:rsid w:val="00B77CE1"/>
    <w:rsid w:val="00B80108"/>
    <w:rsid w:val="00B91DD7"/>
    <w:rsid w:val="00B926BE"/>
    <w:rsid w:val="00B92F1F"/>
    <w:rsid w:val="00B941D5"/>
    <w:rsid w:val="00B9653E"/>
    <w:rsid w:val="00B9734B"/>
    <w:rsid w:val="00BA1A90"/>
    <w:rsid w:val="00BA30E2"/>
    <w:rsid w:val="00BC591B"/>
    <w:rsid w:val="00BD4661"/>
    <w:rsid w:val="00BE7F7C"/>
    <w:rsid w:val="00BF3DA0"/>
    <w:rsid w:val="00BF7515"/>
    <w:rsid w:val="00C023F0"/>
    <w:rsid w:val="00C10182"/>
    <w:rsid w:val="00C11BFE"/>
    <w:rsid w:val="00C12366"/>
    <w:rsid w:val="00C2413A"/>
    <w:rsid w:val="00C30B8F"/>
    <w:rsid w:val="00C43423"/>
    <w:rsid w:val="00C46D90"/>
    <w:rsid w:val="00C5068F"/>
    <w:rsid w:val="00C54C62"/>
    <w:rsid w:val="00C57F29"/>
    <w:rsid w:val="00C63AD7"/>
    <w:rsid w:val="00C64A44"/>
    <w:rsid w:val="00C66B10"/>
    <w:rsid w:val="00C67F29"/>
    <w:rsid w:val="00C86D74"/>
    <w:rsid w:val="00C97575"/>
    <w:rsid w:val="00CB6496"/>
    <w:rsid w:val="00CB6E70"/>
    <w:rsid w:val="00CC3FC1"/>
    <w:rsid w:val="00CC554F"/>
    <w:rsid w:val="00CD04F1"/>
    <w:rsid w:val="00CD6825"/>
    <w:rsid w:val="00CE4B53"/>
    <w:rsid w:val="00CE65EE"/>
    <w:rsid w:val="00CE69DA"/>
    <w:rsid w:val="00CF6577"/>
    <w:rsid w:val="00CF681A"/>
    <w:rsid w:val="00D0537C"/>
    <w:rsid w:val="00D05A1A"/>
    <w:rsid w:val="00D07C78"/>
    <w:rsid w:val="00D11981"/>
    <w:rsid w:val="00D20E47"/>
    <w:rsid w:val="00D2734C"/>
    <w:rsid w:val="00D30D4C"/>
    <w:rsid w:val="00D45252"/>
    <w:rsid w:val="00D45CCE"/>
    <w:rsid w:val="00D46A05"/>
    <w:rsid w:val="00D47230"/>
    <w:rsid w:val="00D53CBA"/>
    <w:rsid w:val="00D604B2"/>
    <w:rsid w:val="00D61BB3"/>
    <w:rsid w:val="00D70243"/>
    <w:rsid w:val="00D71B4D"/>
    <w:rsid w:val="00D84036"/>
    <w:rsid w:val="00D87BB8"/>
    <w:rsid w:val="00D9041A"/>
    <w:rsid w:val="00D93D55"/>
    <w:rsid w:val="00DC0026"/>
    <w:rsid w:val="00DD3F72"/>
    <w:rsid w:val="00DD7B7F"/>
    <w:rsid w:val="00DE1CD0"/>
    <w:rsid w:val="00DF3E80"/>
    <w:rsid w:val="00DF7694"/>
    <w:rsid w:val="00E07C74"/>
    <w:rsid w:val="00E145CF"/>
    <w:rsid w:val="00E15015"/>
    <w:rsid w:val="00E15C98"/>
    <w:rsid w:val="00E171CC"/>
    <w:rsid w:val="00E310F5"/>
    <w:rsid w:val="00E31404"/>
    <w:rsid w:val="00E32464"/>
    <w:rsid w:val="00E335FE"/>
    <w:rsid w:val="00E4018F"/>
    <w:rsid w:val="00E42E8E"/>
    <w:rsid w:val="00E42FB8"/>
    <w:rsid w:val="00E454A4"/>
    <w:rsid w:val="00E45755"/>
    <w:rsid w:val="00E55A68"/>
    <w:rsid w:val="00E56981"/>
    <w:rsid w:val="00E6055A"/>
    <w:rsid w:val="00E66226"/>
    <w:rsid w:val="00E67330"/>
    <w:rsid w:val="00E71B94"/>
    <w:rsid w:val="00E82FE2"/>
    <w:rsid w:val="00E9742D"/>
    <w:rsid w:val="00EA54BD"/>
    <w:rsid w:val="00EA6E55"/>
    <w:rsid w:val="00EA7D6E"/>
    <w:rsid w:val="00EB009E"/>
    <w:rsid w:val="00EB0274"/>
    <w:rsid w:val="00EB2F76"/>
    <w:rsid w:val="00EC43A5"/>
    <w:rsid w:val="00EC4E49"/>
    <w:rsid w:val="00ED11F7"/>
    <w:rsid w:val="00ED77FB"/>
    <w:rsid w:val="00EE45FA"/>
    <w:rsid w:val="00EE6622"/>
    <w:rsid w:val="00EF4CC1"/>
    <w:rsid w:val="00F00089"/>
    <w:rsid w:val="00F043DE"/>
    <w:rsid w:val="00F23F48"/>
    <w:rsid w:val="00F3360D"/>
    <w:rsid w:val="00F342EB"/>
    <w:rsid w:val="00F45C5F"/>
    <w:rsid w:val="00F518CA"/>
    <w:rsid w:val="00F64477"/>
    <w:rsid w:val="00F64EE0"/>
    <w:rsid w:val="00F65532"/>
    <w:rsid w:val="00F66152"/>
    <w:rsid w:val="00F70E86"/>
    <w:rsid w:val="00F81AD1"/>
    <w:rsid w:val="00F9165B"/>
    <w:rsid w:val="00F939C5"/>
    <w:rsid w:val="00FA3F40"/>
    <w:rsid w:val="00FA679E"/>
    <w:rsid w:val="00FC482F"/>
    <w:rsid w:val="00FC6F93"/>
    <w:rsid w:val="00FD13D8"/>
    <w:rsid w:val="00FD6DE9"/>
    <w:rsid w:val="00FE246A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9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c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ws/en/taskforce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cws/ru/work-prog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about-wipo/ru/oversight/docs/iaod/evaluation/220216-evaluation-WIPO-standing-committees-summary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37AF-F0E3-44CA-9884-F1AF02CC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2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CWS/10/3</vt:lpstr>
      <vt:lpstr>Комитет по стандартам ВОИС (КСВ)</vt:lpstr>
      <vt:lpstr>    Одиннадцатая сессия</vt:lpstr>
      <vt:lpstr>    Женева, 4–8 декабря 2023 года</vt:lpstr>
      <vt:lpstr>    ВВЕДЕНИЕ</vt:lpstr>
      <vt:lpstr>    ОТЧЕТ О МЕРОПРИЯТИЯХ, ПРОВЕДЕННЫХ В РАМКАХ ПРОГРАММЫ РАБОТЫ КСВ</vt:lpstr>
      <vt:lpstr>        Перечень текущих задач</vt:lpstr>
      <vt:lpstr>    ПРЕДЛОЖЕНИЯ ПО МОДЕРНИЗАЦИИ ПРОГРАММЫ РАБОТЫ</vt:lpstr>
      <vt:lpstr>        Объединение задач, касающихся стандартов в области XML</vt:lpstr>
      <vt:lpstr>        Новая задача по выполнению стандарта ВОИС ST.37</vt:lpstr>
      <vt:lpstr>        Организация работы по обновлению части 6 Справочника ВОИС</vt:lpstr>
      <vt:lpstr>        Пересмотр задачи № 24 о годовых технических отчетах</vt:lpstr>
      <vt:lpstr>    Предложение о подготовке опросной анкеты по определению приоритетности задач </vt:lpstr>
    </vt:vector>
  </TitlesOfParts>
  <Company>WIPO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CWS/11/8_corr</dc:title>
  <dc:subject>Proposal for survey on Office practices for Digital Transformation</dc:subject>
  <dc:creator>WIPO</dc:creator>
  <cp:keywords>FOR OFFICIAL USE ONLY</cp:keywords>
  <dc:description/>
  <cp:lastModifiedBy>MOSTAJO Apolonia</cp:lastModifiedBy>
  <cp:revision>2</cp:revision>
  <cp:lastPrinted>2011-02-15T11:56:00Z</cp:lastPrinted>
  <dcterms:created xsi:type="dcterms:W3CDTF">2023-12-07T16:00:00Z</dcterms:created>
  <dcterms:modified xsi:type="dcterms:W3CDTF">2023-12-07T16:00:00Z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2023-12-07T15:59:04Z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c7655a81-0ff3-49f2-a689-d0c094e7ac2e</vt:lpwstr>
  </property>
  <property fmtid="{D5CDD505-2E9C-101B-9397-08002B2CF9AE}" pid="14" name="MSIP_Label_20773ee6-353b-4fb9-a59d-0b94c8c67bea_ContentBits">
    <vt:lpwstr>0</vt:lpwstr>
  </property>
</Properties>
</file>