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6C4E" w14:textId="77777777" w:rsidR="008B2CC1" w:rsidRPr="00552BB0" w:rsidRDefault="0040540C" w:rsidP="009D48A4">
      <w:pPr>
        <w:pBdr>
          <w:bottom w:val="single" w:sz="4" w:space="11" w:color="auto"/>
        </w:pBdr>
        <w:spacing w:after="120"/>
        <w:jc w:val="right"/>
        <w:rPr>
          <w:lang w:val="fr-FR"/>
        </w:rPr>
      </w:pPr>
      <w:r w:rsidRPr="00552BB0">
        <w:rPr>
          <w:noProof/>
          <w:lang w:val="fr-FR" w:eastAsia="fr-CH"/>
        </w:rPr>
        <w:drawing>
          <wp:inline distT="0" distB="0" distL="0" distR="0" wp14:anchorId="10A526BA" wp14:editId="12E893C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726E199" w14:textId="77777777" w:rsidR="00B1090C" w:rsidRPr="00552BB0" w:rsidRDefault="00897816" w:rsidP="009D48A4">
      <w:pPr>
        <w:jc w:val="right"/>
        <w:rPr>
          <w:rFonts w:ascii="Arial Black" w:hAnsi="Arial Black"/>
          <w:caps/>
          <w:sz w:val="15"/>
          <w:lang w:val="fr-FR"/>
        </w:rPr>
      </w:pPr>
      <w:r w:rsidRPr="00552BB0">
        <w:rPr>
          <w:rFonts w:ascii="Arial Black" w:hAnsi="Arial Black"/>
          <w:caps/>
          <w:sz w:val="15"/>
          <w:lang w:val="fr-FR"/>
        </w:rPr>
        <w:t>CDIP/3</w:t>
      </w:r>
      <w:r w:rsidR="006E1EC4" w:rsidRPr="00552BB0">
        <w:rPr>
          <w:rFonts w:ascii="Arial Black" w:hAnsi="Arial Black"/>
          <w:caps/>
          <w:sz w:val="15"/>
          <w:lang w:val="fr-FR"/>
        </w:rPr>
        <w:t>2</w:t>
      </w:r>
      <w:r w:rsidRPr="00552BB0">
        <w:rPr>
          <w:rFonts w:ascii="Arial Black" w:hAnsi="Arial Black"/>
          <w:caps/>
          <w:sz w:val="15"/>
          <w:lang w:val="fr-FR"/>
        </w:rPr>
        <w:t>/</w:t>
      </w:r>
      <w:bookmarkStart w:id="0" w:name="Code"/>
      <w:bookmarkEnd w:id="0"/>
      <w:r w:rsidR="00DD3A94" w:rsidRPr="00552BB0">
        <w:rPr>
          <w:rFonts w:ascii="Arial Black" w:hAnsi="Arial Black"/>
          <w:caps/>
          <w:sz w:val="15"/>
          <w:lang w:val="fr-FR"/>
        </w:rPr>
        <w:t>6</w:t>
      </w:r>
    </w:p>
    <w:p w14:paraId="69A98EAF" w14:textId="50514044" w:rsidR="008B2CC1" w:rsidRPr="00552BB0" w:rsidRDefault="00B1090C" w:rsidP="009D48A4">
      <w:pPr>
        <w:jc w:val="right"/>
        <w:rPr>
          <w:lang w:val="fr-FR"/>
        </w:rPr>
      </w:pPr>
      <w:r w:rsidRPr="00552BB0">
        <w:rPr>
          <w:rFonts w:ascii="Arial Black" w:hAnsi="Arial Black"/>
          <w:caps/>
          <w:sz w:val="15"/>
          <w:lang w:val="fr-FR"/>
        </w:rPr>
        <w:t>ORIGINAL</w:t>
      </w:r>
      <w:r w:rsidR="005C3C29" w:rsidRPr="00552BB0">
        <w:rPr>
          <w:rFonts w:ascii="Arial Black" w:hAnsi="Arial Black"/>
          <w:caps/>
          <w:sz w:val="15"/>
          <w:lang w:val="fr-FR"/>
        </w:rPr>
        <w:t> :</w:t>
      </w:r>
      <w:r w:rsidR="002956DE" w:rsidRPr="00552BB0">
        <w:rPr>
          <w:rFonts w:ascii="Arial Black" w:hAnsi="Arial Black"/>
          <w:caps/>
          <w:sz w:val="15"/>
          <w:lang w:val="fr-FR"/>
        </w:rPr>
        <w:t xml:space="preserve"> </w:t>
      </w:r>
      <w:bookmarkStart w:id="1" w:name="Original"/>
      <w:r w:rsidR="00DD3A94" w:rsidRPr="00552BB0">
        <w:rPr>
          <w:rFonts w:ascii="Arial Black" w:hAnsi="Arial Black"/>
          <w:caps/>
          <w:sz w:val="15"/>
          <w:lang w:val="fr-FR"/>
        </w:rPr>
        <w:t>anglais</w:t>
      </w:r>
    </w:p>
    <w:bookmarkEnd w:id="1"/>
    <w:p w14:paraId="28D3C331" w14:textId="125E74FC" w:rsidR="008B2CC1" w:rsidRPr="00552BB0" w:rsidRDefault="00B1090C" w:rsidP="009D48A4">
      <w:pPr>
        <w:spacing w:after="1200"/>
        <w:jc w:val="right"/>
        <w:rPr>
          <w:lang w:val="fr-FR"/>
        </w:rPr>
      </w:pPr>
      <w:r w:rsidRPr="00552BB0">
        <w:rPr>
          <w:rFonts w:ascii="Arial Black" w:hAnsi="Arial Black"/>
          <w:caps/>
          <w:sz w:val="15"/>
          <w:lang w:val="fr-FR"/>
        </w:rPr>
        <w:t>DATE</w:t>
      </w:r>
      <w:r w:rsidR="005C3C29" w:rsidRPr="00552BB0">
        <w:rPr>
          <w:rFonts w:ascii="Arial Black" w:hAnsi="Arial Black"/>
          <w:caps/>
          <w:sz w:val="15"/>
          <w:lang w:val="fr-FR"/>
        </w:rPr>
        <w:t> :</w:t>
      </w:r>
      <w:r w:rsidR="002956DE" w:rsidRPr="00552BB0">
        <w:rPr>
          <w:rFonts w:ascii="Arial Black" w:hAnsi="Arial Black"/>
          <w:caps/>
          <w:sz w:val="15"/>
          <w:lang w:val="fr-FR"/>
        </w:rPr>
        <w:t xml:space="preserve"> </w:t>
      </w:r>
      <w:bookmarkStart w:id="2" w:name="Date"/>
      <w:r w:rsidR="00DD3A94" w:rsidRPr="00552BB0">
        <w:rPr>
          <w:rFonts w:ascii="Arial Black" w:hAnsi="Arial Black"/>
          <w:caps/>
          <w:sz w:val="15"/>
          <w:lang w:val="fr-FR"/>
        </w:rPr>
        <w:t>2</w:t>
      </w:r>
      <w:r w:rsidR="005C3C29" w:rsidRPr="00552BB0">
        <w:rPr>
          <w:rFonts w:ascii="Arial Black" w:hAnsi="Arial Black"/>
          <w:caps/>
          <w:sz w:val="15"/>
          <w:lang w:val="fr-FR"/>
        </w:rPr>
        <w:t>7 février 20</w:t>
      </w:r>
      <w:r w:rsidR="00DD3A94" w:rsidRPr="00552BB0">
        <w:rPr>
          <w:rFonts w:ascii="Arial Black" w:hAnsi="Arial Black"/>
          <w:caps/>
          <w:sz w:val="15"/>
          <w:lang w:val="fr-FR"/>
        </w:rPr>
        <w:t>24</w:t>
      </w:r>
    </w:p>
    <w:bookmarkEnd w:id="2"/>
    <w:p w14:paraId="5EF3ECB1" w14:textId="77777777" w:rsidR="003845C1" w:rsidRPr="00552BB0" w:rsidRDefault="001060FF" w:rsidP="009D48A4">
      <w:pPr>
        <w:spacing w:after="600"/>
        <w:rPr>
          <w:b/>
          <w:bCs/>
          <w:sz w:val="28"/>
          <w:szCs w:val="28"/>
          <w:lang w:val="fr-FR"/>
        </w:rPr>
      </w:pPr>
      <w:r w:rsidRPr="00552BB0">
        <w:rPr>
          <w:b/>
          <w:bCs/>
          <w:sz w:val="28"/>
          <w:szCs w:val="28"/>
          <w:lang w:val="fr-FR"/>
        </w:rPr>
        <w:t>Comité d</w:t>
      </w:r>
      <w:r w:rsidR="00897816" w:rsidRPr="00552BB0">
        <w:rPr>
          <w:b/>
          <w:bCs/>
          <w:sz w:val="28"/>
          <w:szCs w:val="28"/>
          <w:lang w:val="fr-FR"/>
        </w:rPr>
        <w:t>u développement et de la propriété intellectuelle</w:t>
      </w:r>
      <w:r w:rsidR="003637BB" w:rsidRPr="00552BB0">
        <w:rPr>
          <w:b/>
          <w:bCs/>
          <w:sz w:val="28"/>
          <w:szCs w:val="28"/>
          <w:lang w:val="fr-FR"/>
        </w:rPr>
        <w:t> </w:t>
      </w:r>
      <w:r w:rsidR="00897816" w:rsidRPr="00552BB0">
        <w:rPr>
          <w:b/>
          <w:bCs/>
          <w:sz w:val="28"/>
          <w:szCs w:val="28"/>
          <w:lang w:val="fr-FR"/>
        </w:rPr>
        <w:t>(CDIP)</w:t>
      </w:r>
    </w:p>
    <w:p w14:paraId="4ECC1D7D" w14:textId="1CC0C4B3" w:rsidR="00FE19E9" w:rsidRPr="00552BB0" w:rsidRDefault="000760CD" w:rsidP="009D48A4">
      <w:pPr>
        <w:outlineLvl w:val="1"/>
        <w:rPr>
          <w:b/>
          <w:sz w:val="24"/>
          <w:szCs w:val="24"/>
          <w:lang w:val="fr-FR"/>
        </w:rPr>
      </w:pPr>
      <w:r w:rsidRPr="00552BB0">
        <w:rPr>
          <w:b/>
          <w:sz w:val="24"/>
          <w:szCs w:val="24"/>
          <w:lang w:val="fr-FR"/>
        </w:rPr>
        <w:t>Trente</w:t>
      </w:r>
      <w:r w:rsidR="00B065DC">
        <w:rPr>
          <w:b/>
          <w:sz w:val="24"/>
          <w:szCs w:val="24"/>
          <w:lang w:val="fr-FR"/>
        </w:rPr>
        <w:noBreakHyphen/>
      </w:r>
      <w:r w:rsidR="006E1EC4" w:rsidRPr="00552BB0">
        <w:rPr>
          <w:b/>
          <w:sz w:val="24"/>
          <w:szCs w:val="24"/>
          <w:lang w:val="fr-FR"/>
        </w:rPr>
        <w:t>deux</w:t>
      </w:r>
      <w:r w:rsidR="005C3C29" w:rsidRPr="00552BB0">
        <w:rPr>
          <w:b/>
          <w:sz w:val="24"/>
          <w:szCs w:val="24"/>
          <w:lang w:val="fr-FR"/>
        </w:rPr>
        <w:t>ième session</w:t>
      </w:r>
    </w:p>
    <w:p w14:paraId="0794206D" w14:textId="34AD6F98" w:rsidR="008B2CC1" w:rsidRPr="00552BB0" w:rsidRDefault="000760CD" w:rsidP="009D48A4">
      <w:pPr>
        <w:spacing w:after="720"/>
        <w:outlineLvl w:val="1"/>
        <w:rPr>
          <w:b/>
          <w:sz w:val="24"/>
          <w:szCs w:val="24"/>
          <w:lang w:val="fr-FR"/>
        </w:rPr>
      </w:pPr>
      <w:r w:rsidRPr="00552BB0">
        <w:rPr>
          <w:b/>
          <w:sz w:val="24"/>
          <w:szCs w:val="24"/>
          <w:lang w:val="fr-FR"/>
        </w:rPr>
        <w:t xml:space="preserve">Genève, </w:t>
      </w:r>
      <w:r w:rsidR="006E1EC4" w:rsidRPr="00552BB0">
        <w:rPr>
          <w:b/>
          <w:sz w:val="24"/>
          <w:szCs w:val="24"/>
          <w:lang w:val="fr-FR"/>
        </w:rPr>
        <w:t>2</w:t>
      </w:r>
      <w:r w:rsidR="005C3C29" w:rsidRPr="00552BB0">
        <w:rPr>
          <w:b/>
          <w:sz w:val="24"/>
          <w:szCs w:val="24"/>
          <w:lang w:val="fr-FR"/>
        </w:rPr>
        <w:t>9 avril</w:t>
      </w:r>
      <w:r w:rsidR="006E1EC4" w:rsidRPr="00552BB0">
        <w:rPr>
          <w:b/>
          <w:sz w:val="24"/>
          <w:szCs w:val="24"/>
          <w:lang w:val="fr-FR"/>
        </w:rPr>
        <w:t xml:space="preserve"> – </w:t>
      </w:r>
      <w:r w:rsidR="005C3C29" w:rsidRPr="00552BB0">
        <w:rPr>
          <w:b/>
          <w:sz w:val="24"/>
          <w:szCs w:val="24"/>
          <w:lang w:val="fr-FR"/>
        </w:rPr>
        <w:t>3 mai 20</w:t>
      </w:r>
      <w:r w:rsidR="006E1EC4" w:rsidRPr="00552BB0">
        <w:rPr>
          <w:b/>
          <w:sz w:val="24"/>
          <w:szCs w:val="24"/>
          <w:lang w:val="fr-FR"/>
        </w:rPr>
        <w:t>24</w:t>
      </w:r>
    </w:p>
    <w:p w14:paraId="0F2D6665" w14:textId="7EC3816E" w:rsidR="00DD3A94" w:rsidRPr="009D48A4" w:rsidRDefault="00AD2D7F" w:rsidP="009D48A4">
      <w:pPr>
        <w:spacing w:after="360"/>
        <w:rPr>
          <w:b/>
          <w:bCs/>
          <w:caps/>
          <w:sz w:val="24"/>
          <w:szCs w:val="24"/>
          <w:lang w:val="fr-FR"/>
        </w:rPr>
      </w:pPr>
      <w:bookmarkStart w:id="3" w:name="Prepared"/>
      <w:bookmarkEnd w:id="3"/>
      <w:r w:rsidRPr="009D48A4">
        <w:rPr>
          <w:caps/>
          <w:sz w:val="24"/>
          <w:lang w:val="fr-FR"/>
        </w:rPr>
        <w:t>Projet de renforcement des capacités des offices nationaux de propriété intellectuelle en temps de crise – proposition de projet soumise par le Royaume</w:t>
      </w:r>
      <w:r w:rsidR="00B065DC" w:rsidRPr="009D48A4">
        <w:rPr>
          <w:caps/>
          <w:sz w:val="24"/>
          <w:lang w:val="fr-FR"/>
        </w:rPr>
        <w:noBreakHyphen/>
      </w:r>
      <w:r w:rsidRPr="009D48A4">
        <w:rPr>
          <w:caps/>
          <w:sz w:val="24"/>
          <w:lang w:val="fr-FR"/>
        </w:rPr>
        <w:t>Uni</w:t>
      </w:r>
    </w:p>
    <w:p w14:paraId="54802F54" w14:textId="77777777" w:rsidR="00523D00" w:rsidRPr="009D48A4" w:rsidRDefault="00523D00" w:rsidP="009D48A4">
      <w:pPr>
        <w:spacing w:after="960"/>
        <w:rPr>
          <w:i/>
          <w:iCs/>
        </w:rPr>
      </w:pPr>
      <w:r w:rsidRPr="009D48A4">
        <w:rPr>
          <w:i/>
          <w:iCs/>
        </w:rPr>
        <w:t>Document établi par le Secrétariat</w:t>
      </w:r>
    </w:p>
    <w:p w14:paraId="79BB819B" w14:textId="04EA0FC5" w:rsidR="00DD3A94" w:rsidRPr="00465561" w:rsidRDefault="00DD3A94" w:rsidP="009D48A4">
      <w:pPr>
        <w:pStyle w:val="ONUMFS"/>
        <w:rPr>
          <w:lang w:val="fr-FR"/>
        </w:rPr>
      </w:pPr>
      <w:r w:rsidRPr="00552BB0">
        <w:rPr>
          <w:lang w:val="fr-FR"/>
        </w:rPr>
        <w:t>Par une communication datée du 16 février 2024, la délégation du</w:t>
      </w:r>
      <w:r w:rsidR="00465561">
        <w:rPr>
          <w:lang w:val="fr-FR"/>
        </w:rPr>
        <w:t xml:space="preserve"> </w:t>
      </w:r>
      <w:r w:rsidRPr="00465561">
        <w:rPr>
          <w:lang w:val="fr-FR"/>
        </w:rPr>
        <w:t>Royaume</w:t>
      </w:r>
      <w:r w:rsidR="00B065DC" w:rsidRPr="00465561">
        <w:rPr>
          <w:lang w:val="fr-FR"/>
        </w:rPr>
        <w:noBreakHyphen/>
      </w:r>
      <w:r w:rsidRPr="00465561">
        <w:rPr>
          <w:lang w:val="fr-FR"/>
        </w:rPr>
        <w:t>Uni a soumis une proposition de projet pilote portant sur le “Renforcement des capacités des offices nationaux de propriété intellectuelle en temps de crise”, pour examen par le CDIP à sa trente</w:t>
      </w:r>
      <w:r w:rsidR="00B065DC" w:rsidRPr="00465561">
        <w:rPr>
          <w:lang w:val="fr-FR"/>
        </w:rPr>
        <w:noBreakHyphen/>
      </w:r>
      <w:r w:rsidRPr="00465561">
        <w:rPr>
          <w:lang w:val="fr-FR"/>
        </w:rPr>
        <w:t>deux</w:t>
      </w:r>
      <w:r w:rsidR="005C3C29" w:rsidRPr="00465561">
        <w:rPr>
          <w:lang w:val="fr-FR"/>
        </w:rPr>
        <w:t>ième session</w:t>
      </w:r>
      <w:r w:rsidRPr="00465561">
        <w:rPr>
          <w:lang w:val="fr-FR"/>
        </w:rPr>
        <w:t>.</w:t>
      </w:r>
    </w:p>
    <w:p w14:paraId="296813B1" w14:textId="3B8E05B9" w:rsidR="00DD3A94" w:rsidRPr="00552BB0" w:rsidRDefault="00DD3A94" w:rsidP="009D48A4">
      <w:pPr>
        <w:pStyle w:val="ONUMFS"/>
        <w:rPr>
          <w:rFonts w:eastAsia="Times New Roman" w:cs="Times New Roman"/>
          <w:szCs w:val="24"/>
          <w:lang w:val="fr-FR"/>
        </w:rPr>
      </w:pPr>
      <w:r w:rsidRPr="00552BB0">
        <w:rPr>
          <w:lang w:val="fr-FR"/>
        </w:rPr>
        <w:t>Les annexes du présent document contiennent ladite proposition, élaborée avec le concours du Secrétariat de l</w:t>
      </w:r>
      <w:r w:rsidR="005C3C29" w:rsidRPr="00552BB0">
        <w:rPr>
          <w:lang w:val="fr-FR"/>
        </w:rPr>
        <w:t>’</w:t>
      </w:r>
      <w:r w:rsidRPr="00552BB0">
        <w:rPr>
          <w:lang w:val="fr-FR"/>
        </w:rPr>
        <w:t>OMPI.</w:t>
      </w:r>
    </w:p>
    <w:p w14:paraId="18C834DC" w14:textId="55105AB2" w:rsidR="00DD3A94" w:rsidRPr="00552BB0" w:rsidRDefault="00DD3A94" w:rsidP="009D48A4">
      <w:pPr>
        <w:pStyle w:val="ONUMFS"/>
        <w:ind w:left="5533"/>
        <w:rPr>
          <w:rFonts w:eastAsia="Times New Roman" w:cs="Times New Roman"/>
          <w:i/>
          <w:sz w:val="24"/>
          <w:lang w:val="fr-FR"/>
        </w:rPr>
      </w:pPr>
      <w:r w:rsidRPr="00552BB0">
        <w:rPr>
          <w:i/>
          <w:lang w:val="fr-FR"/>
        </w:rPr>
        <w:t>Le comité est invité à examiner l</w:t>
      </w:r>
      <w:r w:rsidR="005C3C29" w:rsidRPr="00552BB0">
        <w:rPr>
          <w:i/>
          <w:lang w:val="fr-FR"/>
        </w:rPr>
        <w:t>’</w:t>
      </w:r>
      <w:r w:rsidRPr="00552BB0">
        <w:rPr>
          <w:i/>
          <w:lang w:val="fr-FR"/>
        </w:rPr>
        <w:t>annexe du présent document.</w:t>
      </w:r>
    </w:p>
    <w:p w14:paraId="53A0A14E" w14:textId="59B9923F" w:rsidR="00DD3A94" w:rsidRPr="00552BB0" w:rsidRDefault="00DD3A94" w:rsidP="009D48A4">
      <w:pPr>
        <w:spacing w:before="720" w:after="240"/>
        <w:ind w:left="5533"/>
        <w:rPr>
          <w:rFonts w:eastAsia="Times New Roman" w:cs="Times New Roman"/>
          <w:szCs w:val="24"/>
          <w:lang w:val="fr-FR"/>
        </w:rPr>
        <w:sectPr w:rsidR="00DD3A94" w:rsidRPr="00552BB0" w:rsidSect="00173B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144" w:footer="144" w:gutter="0"/>
          <w:pgNumType w:start="1"/>
          <w:cols w:space="720"/>
          <w:titlePg/>
          <w:docGrid w:linePitch="299"/>
        </w:sectPr>
      </w:pPr>
      <w:r w:rsidRPr="00552BB0">
        <w:rPr>
          <w:lang w:val="fr-FR"/>
        </w:rPr>
        <w:t>[L</w:t>
      </w:r>
      <w:r w:rsidR="005C3C29" w:rsidRPr="00552BB0">
        <w:rPr>
          <w:lang w:val="fr-FR"/>
        </w:rPr>
        <w:t>’</w:t>
      </w:r>
      <w:r w:rsidRPr="00552BB0">
        <w:rPr>
          <w:lang w:val="fr-FR"/>
        </w:rPr>
        <w:t>annexe suit]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817"/>
      </w:tblGrid>
      <w:tr w:rsidR="00DD3A94" w:rsidRPr="00552BB0" w14:paraId="5243026D" w14:textId="77777777" w:rsidTr="009D48A4">
        <w:trPr>
          <w:trHeight w:val="319"/>
        </w:trPr>
        <w:tc>
          <w:tcPr>
            <w:tcW w:w="9493" w:type="dxa"/>
            <w:gridSpan w:val="2"/>
            <w:shd w:val="clear" w:color="auto" w:fill="00FFCC"/>
          </w:tcPr>
          <w:p w14:paraId="32B7DA6B" w14:textId="6A6ACAC8" w:rsidR="00DD3A94" w:rsidRPr="00552BB0" w:rsidRDefault="00DD3A94" w:rsidP="009D48A4">
            <w:pPr>
              <w:pStyle w:val="Heading2"/>
              <w:spacing w:before="120" w:after="120"/>
              <w:jc w:val="center"/>
              <w:rPr>
                <w:b/>
                <w:lang w:val="fr-FR"/>
              </w:rPr>
            </w:pPr>
            <w:r w:rsidRPr="00552BB0">
              <w:rPr>
                <w:b/>
                <w:lang w:val="fr-FR"/>
              </w:rPr>
              <w:lastRenderedPageBreak/>
              <w:t>1.</w:t>
            </w:r>
            <w:r w:rsidR="008D734D">
              <w:rPr>
                <w:b/>
                <w:lang w:val="fr-FR"/>
              </w:rPr>
              <w:t> </w:t>
            </w:r>
            <w:r w:rsidRPr="00552BB0">
              <w:rPr>
                <w:b/>
                <w:caps w:val="0"/>
                <w:lang w:val="fr-FR"/>
              </w:rPr>
              <w:t>Présentation du projet</w:t>
            </w:r>
          </w:p>
        </w:tc>
      </w:tr>
      <w:tr w:rsidR="00DD3A94" w:rsidRPr="00552BB0" w14:paraId="59774073" w14:textId="77777777" w:rsidTr="009D48A4">
        <w:trPr>
          <w:trHeight w:val="253"/>
        </w:trPr>
        <w:tc>
          <w:tcPr>
            <w:tcW w:w="9493" w:type="dxa"/>
            <w:gridSpan w:val="2"/>
            <w:shd w:val="clear" w:color="auto" w:fill="00FFCC"/>
          </w:tcPr>
          <w:p w14:paraId="6FC0FB58" w14:textId="77777777" w:rsidR="00DD3A94" w:rsidRPr="00552BB0" w:rsidRDefault="00DD3A94" w:rsidP="009D48A4">
            <w:pPr>
              <w:pStyle w:val="TableParagraph"/>
              <w:widowControl/>
              <w:spacing w:before="120" w:after="120"/>
              <w:ind w:left="103" w:right="87"/>
              <w:jc w:val="center"/>
              <w:rPr>
                <w:b/>
              </w:rPr>
            </w:pPr>
            <w:r w:rsidRPr="00552BB0">
              <w:rPr>
                <w:b/>
              </w:rPr>
              <w:t>1.1 Code du projet</w:t>
            </w:r>
          </w:p>
        </w:tc>
      </w:tr>
      <w:tr w:rsidR="00DD3A94" w:rsidRPr="00552BB0" w14:paraId="76E30B1E" w14:textId="77777777" w:rsidTr="009D48A4">
        <w:trPr>
          <w:trHeight w:val="50"/>
        </w:trPr>
        <w:tc>
          <w:tcPr>
            <w:tcW w:w="9493" w:type="dxa"/>
            <w:gridSpan w:val="2"/>
          </w:tcPr>
          <w:p w14:paraId="4EF061C1" w14:textId="77777777" w:rsidR="00DD3A94" w:rsidRPr="00552BB0" w:rsidRDefault="00DD3A94" w:rsidP="009D48A4">
            <w:pPr>
              <w:pStyle w:val="TableParagraph"/>
              <w:widowControl/>
              <w:spacing w:before="120" w:after="120"/>
              <w:ind w:left="110"/>
              <w:jc w:val="center"/>
            </w:pPr>
            <w:r w:rsidRPr="00552BB0">
              <w:t>DA_4_10_03</w:t>
            </w:r>
          </w:p>
        </w:tc>
      </w:tr>
      <w:tr w:rsidR="00DD3A94" w:rsidRPr="00552BB0" w14:paraId="3347189C" w14:textId="77777777" w:rsidTr="009D48A4">
        <w:trPr>
          <w:trHeight w:val="251"/>
        </w:trPr>
        <w:tc>
          <w:tcPr>
            <w:tcW w:w="9493" w:type="dxa"/>
            <w:gridSpan w:val="2"/>
            <w:shd w:val="clear" w:color="auto" w:fill="00FFCC"/>
          </w:tcPr>
          <w:p w14:paraId="7F2E6E36" w14:textId="77777777" w:rsidR="00DD3A94" w:rsidRPr="00552BB0" w:rsidRDefault="00DD3A94" w:rsidP="009D48A4">
            <w:pPr>
              <w:pStyle w:val="TableParagraph"/>
              <w:widowControl/>
              <w:spacing w:before="120" w:after="120"/>
              <w:ind w:left="103" w:right="90"/>
              <w:jc w:val="center"/>
              <w:rPr>
                <w:b/>
              </w:rPr>
            </w:pPr>
            <w:r w:rsidRPr="00552BB0">
              <w:rPr>
                <w:b/>
              </w:rPr>
              <w:t>1.2 Intitulé du projet</w:t>
            </w:r>
          </w:p>
        </w:tc>
      </w:tr>
      <w:tr w:rsidR="00DD3A94" w:rsidRPr="00552BB0" w14:paraId="7F1EE0E1" w14:textId="77777777" w:rsidTr="009D48A4">
        <w:trPr>
          <w:trHeight w:val="50"/>
        </w:trPr>
        <w:tc>
          <w:tcPr>
            <w:tcW w:w="9493" w:type="dxa"/>
            <w:gridSpan w:val="2"/>
          </w:tcPr>
          <w:p w14:paraId="4987F06A" w14:textId="77777777" w:rsidR="00DD3A94" w:rsidRPr="00552BB0" w:rsidRDefault="00DD3A94" w:rsidP="009D48A4">
            <w:pPr>
              <w:pStyle w:val="TableParagraph"/>
              <w:widowControl/>
              <w:spacing w:before="120" w:after="120"/>
              <w:ind w:left="110" w:right="188"/>
              <w:jc w:val="center"/>
            </w:pPr>
            <w:r w:rsidRPr="00552BB0">
              <w:t>Projet de renforcement des capacités des offices nationaux de propriété intellectuelle en temps de crise</w:t>
            </w:r>
          </w:p>
        </w:tc>
      </w:tr>
      <w:tr w:rsidR="00DD3A94" w:rsidRPr="00552BB0" w14:paraId="24EB8A8F" w14:textId="77777777" w:rsidTr="009D48A4">
        <w:trPr>
          <w:trHeight w:val="252"/>
        </w:trPr>
        <w:tc>
          <w:tcPr>
            <w:tcW w:w="9493" w:type="dxa"/>
            <w:gridSpan w:val="2"/>
            <w:shd w:val="clear" w:color="auto" w:fill="00FFCC"/>
          </w:tcPr>
          <w:p w14:paraId="5EA617CA" w14:textId="30D54622" w:rsidR="00DD3A94" w:rsidRPr="00552BB0" w:rsidRDefault="00DD3A94" w:rsidP="009D48A4">
            <w:pPr>
              <w:pStyle w:val="TableParagraph"/>
              <w:widowControl/>
              <w:spacing w:before="120" w:after="120"/>
              <w:ind w:left="103" w:right="88"/>
              <w:jc w:val="center"/>
              <w:rPr>
                <w:b/>
              </w:rPr>
            </w:pPr>
            <w:r w:rsidRPr="00552BB0">
              <w:rPr>
                <w:b/>
              </w:rPr>
              <w:t>1.3 Recommandations du Plan d</w:t>
            </w:r>
            <w:r w:rsidR="005C3C29" w:rsidRPr="00552BB0">
              <w:rPr>
                <w:b/>
              </w:rPr>
              <w:t>’</w:t>
            </w:r>
            <w:r w:rsidRPr="00552BB0">
              <w:rPr>
                <w:b/>
              </w:rPr>
              <w:t>action pour le développement</w:t>
            </w:r>
          </w:p>
        </w:tc>
      </w:tr>
      <w:tr w:rsidR="00DD3A94" w:rsidRPr="00552BB0" w14:paraId="3E3A72FE" w14:textId="77777777" w:rsidTr="009D48A4">
        <w:trPr>
          <w:trHeight w:val="760"/>
        </w:trPr>
        <w:tc>
          <w:tcPr>
            <w:tcW w:w="9493" w:type="dxa"/>
            <w:gridSpan w:val="2"/>
          </w:tcPr>
          <w:p w14:paraId="7B2F522F" w14:textId="1930B534" w:rsidR="00DD3A94" w:rsidRPr="00552BB0" w:rsidRDefault="00DD3A94" w:rsidP="009D48A4">
            <w:pPr>
              <w:pStyle w:val="TableParagraph"/>
              <w:widowControl/>
              <w:spacing w:before="120" w:after="120"/>
              <w:ind w:left="110"/>
            </w:pPr>
            <w:r w:rsidRPr="00552BB0">
              <w:rPr>
                <w:i/>
              </w:rPr>
              <w:t>Recommandation n° 4</w:t>
            </w:r>
            <w:r w:rsidR="005C3C29" w:rsidRPr="00552BB0">
              <w:rPr>
                <w:i/>
              </w:rPr>
              <w:t> :</w:t>
            </w:r>
            <w:r w:rsidRPr="00552BB0">
              <w:t xml:space="preserve"> Accorder une attention particulière aux besoins</w:t>
            </w:r>
            <w:r w:rsidR="005C3C29" w:rsidRPr="00552BB0">
              <w:t xml:space="preserve"> des PME</w:t>
            </w:r>
            <w:r w:rsidRPr="00552BB0">
              <w:t>, des institutions chargées de la recherche scientifique et des industries culturelles et aider les États membres, à leur demande, à élaborer des stratégies nationales appropriées dans le domaine de la propriété intellectuelle.</w:t>
            </w:r>
          </w:p>
          <w:p w14:paraId="6170C4CA" w14:textId="12243630" w:rsidR="00DD3A94" w:rsidRPr="00552BB0" w:rsidRDefault="00DD3A94" w:rsidP="009D48A4">
            <w:pPr>
              <w:pStyle w:val="TableParagraph"/>
              <w:widowControl/>
              <w:spacing w:before="120" w:after="120"/>
              <w:ind w:left="110"/>
            </w:pPr>
            <w:r w:rsidRPr="00552BB0">
              <w:rPr>
                <w:i/>
              </w:rPr>
              <w:t>Recommandation n° 10</w:t>
            </w:r>
            <w:r w:rsidR="005C3C29" w:rsidRPr="00552BB0">
              <w:rPr>
                <w:i/>
              </w:rPr>
              <w:t> :</w:t>
            </w:r>
            <w:r w:rsidRPr="00552BB0">
              <w:t xml:space="preserve"> Aider les États membres à développer et à améliorer les capacités institutionnelles nationales en propriété intellectuelle par le développement des infrastructures et autres moyens en vue de renforcer l</w:t>
            </w:r>
            <w:r w:rsidR="005C3C29" w:rsidRPr="00552BB0">
              <w:t>’</w:t>
            </w:r>
            <w:r w:rsidRPr="00552BB0">
              <w:t>efficacité des institutions nationales de propriété intellectuelle et de concilier protection de la propriété intellectuelle et préservation de l</w:t>
            </w:r>
            <w:r w:rsidR="005C3C29" w:rsidRPr="00552BB0">
              <w:t>’</w:t>
            </w:r>
            <w:r w:rsidRPr="00552BB0">
              <w:t>intérêt génér</w:t>
            </w:r>
            <w:r w:rsidR="00790519" w:rsidRPr="00552BB0">
              <w:t>al.  Ce</w:t>
            </w:r>
            <w:r w:rsidRPr="00552BB0">
              <w:t>tte assistance technique devrait également être étendue aux organisations sous</w:t>
            </w:r>
            <w:r w:rsidR="00B065DC">
              <w:noBreakHyphen/>
            </w:r>
            <w:r w:rsidRPr="00552BB0">
              <w:t>régionales et régionales œuvrant dans le domaine de la propriété intellectuelle.</w:t>
            </w:r>
          </w:p>
        </w:tc>
      </w:tr>
      <w:tr w:rsidR="00DD3A94" w:rsidRPr="00552BB0" w14:paraId="1A375B46" w14:textId="77777777" w:rsidTr="009D48A4">
        <w:trPr>
          <w:trHeight w:val="251"/>
        </w:trPr>
        <w:tc>
          <w:tcPr>
            <w:tcW w:w="9493" w:type="dxa"/>
            <w:gridSpan w:val="2"/>
            <w:shd w:val="clear" w:color="auto" w:fill="00FFCC"/>
          </w:tcPr>
          <w:p w14:paraId="635A4C8B" w14:textId="77777777" w:rsidR="00DD3A94" w:rsidRPr="00552BB0" w:rsidRDefault="00DD3A94" w:rsidP="009D48A4">
            <w:pPr>
              <w:pStyle w:val="TableParagraph"/>
              <w:widowControl/>
              <w:spacing w:before="120" w:after="120"/>
              <w:ind w:left="103" w:right="88"/>
              <w:jc w:val="center"/>
              <w:rPr>
                <w:b/>
              </w:rPr>
            </w:pPr>
            <w:r w:rsidRPr="00552BB0">
              <w:rPr>
                <w:b/>
              </w:rPr>
              <w:t>1.4 Durée du projet</w:t>
            </w:r>
          </w:p>
        </w:tc>
      </w:tr>
      <w:tr w:rsidR="00DD3A94" w:rsidRPr="00552BB0" w14:paraId="3B72E3B0" w14:textId="77777777" w:rsidTr="009D48A4">
        <w:trPr>
          <w:trHeight w:val="251"/>
        </w:trPr>
        <w:tc>
          <w:tcPr>
            <w:tcW w:w="9493" w:type="dxa"/>
            <w:gridSpan w:val="2"/>
            <w:shd w:val="clear" w:color="auto" w:fill="auto"/>
          </w:tcPr>
          <w:p w14:paraId="58B539AF" w14:textId="77777777" w:rsidR="00DD3A94" w:rsidRPr="00552BB0" w:rsidRDefault="00DD3A94" w:rsidP="009D48A4">
            <w:pPr>
              <w:pStyle w:val="TableParagraph"/>
              <w:widowControl/>
              <w:spacing w:before="120" w:after="120"/>
              <w:ind w:left="103" w:right="90"/>
              <w:jc w:val="center"/>
              <w:rPr>
                <w:b/>
              </w:rPr>
            </w:pPr>
            <w:r w:rsidRPr="00552BB0">
              <w:t>18 mois</w:t>
            </w:r>
          </w:p>
        </w:tc>
      </w:tr>
      <w:tr w:rsidR="00DD3A94" w:rsidRPr="00552BB0" w14:paraId="261EBA4E" w14:textId="77777777" w:rsidTr="009D48A4">
        <w:trPr>
          <w:trHeight w:val="251"/>
        </w:trPr>
        <w:tc>
          <w:tcPr>
            <w:tcW w:w="9493" w:type="dxa"/>
            <w:gridSpan w:val="2"/>
            <w:shd w:val="clear" w:color="auto" w:fill="00FFCC"/>
          </w:tcPr>
          <w:p w14:paraId="4195AD1B" w14:textId="77777777" w:rsidR="00DD3A94" w:rsidRPr="00552BB0" w:rsidRDefault="00DD3A94" w:rsidP="009D48A4">
            <w:pPr>
              <w:pStyle w:val="TableParagraph"/>
              <w:widowControl/>
              <w:spacing w:before="120" w:after="120"/>
              <w:ind w:left="103" w:right="90"/>
              <w:jc w:val="center"/>
              <w:rPr>
                <w:b/>
              </w:rPr>
            </w:pPr>
            <w:r w:rsidRPr="00552BB0">
              <w:rPr>
                <w:b/>
              </w:rPr>
              <w:t xml:space="preserve">1.5 Budget du projet </w:t>
            </w:r>
          </w:p>
        </w:tc>
      </w:tr>
      <w:tr w:rsidR="00DD3A94" w:rsidRPr="00552BB0" w14:paraId="769ECD8C" w14:textId="77777777" w:rsidTr="009D48A4">
        <w:trPr>
          <w:trHeight w:val="251"/>
        </w:trPr>
        <w:tc>
          <w:tcPr>
            <w:tcW w:w="9493" w:type="dxa"/>
            <w:gridSpan w:val="2"/>
            <w:shd w:val="clear" w:color="auto" w:fill="auto"/>
          </w:tcPr>
          <w:p w14:paraId="03DDFF7B" w14:textId="204B2791" w:rsidR="00DD3A94" w:rsidRPr="00552BB0" w:rsidRDefault="00DD3A94" w:rsidP="009D48A4">
            <w:pPr>
              <w:pStyle w:val="TableParagraph"/>
              <w:widowControl/>
              <w:spacing w:before="120" w:after="120"/>
              <w:ind w:left="103" w:right="90"/>
              <w:rPr>
                <w:bCs/>
              </w:rPr>
            </w:pPr>
            <w:r w:rsidRPr="00552BB0">
              <w:t>Le budget total du projet s</w:t>
            </w:r>
            <w:r w:rsidR="005C3C29" w:rsidRPr="00552BB0">
              <w:t>’</w:t>
            </w:r>
            <w:r w:rsidRPr="00552BB0">
              <w:t>élève à 205 000 francs suiss</w:t>
            </w:r>
            <w:r w:rsidR="00790519" w:rsidRPr="00552BB0">
              <w:t>es.  La</w:t>
            </w:r>
            <w:r w:rsidRPr="00552BB0">
              <w:t xml:space="preserve"> totalité de ce montant est liée à des dépenses autres que des dépenses de personnel. </w:t>
            </w:r>
            <w:r w:rsidR="00FC1AAD" w:rsidRPr="00552BB0">
              <w:t xml:space="preserve"> </w:t>
            </w:r>
          </w:p>
        </w:tc>
      </w:tr>
      <w:tr w:rsidR="00DD3A94" w:rsidRPr="00552BB0" w14:paraId="5571F2F8" w14:textId="77777777" w:rsidTr="009D48A4">
        <w:trPr>
          <w:trHeight w:val="251"/>
        </w:trPr>
        <w:tc>
          <w:tcPr>
            <w:tcW w:w="9493" w:type="dxa"/>
            <w:gridSpan w:val="2"/>
            <w:shd w:val="clear" w:color="auto" w:fill="00FFCC"/>
          </w:tcPr>
          <w:p w14:paraId="45407915" w14:textId="20FE7BF9" w:rsidR="00DD3A94" w:rsidRPr="00552BB0" w:rsidRDefault="00DD3A94" w:rsidP="009D48A4">
            <w:pPr>
              <w:pStyle w:val="TableParagraph"/>
              <w:widowControl/>
              <w:spacing w:before="120" w:after="120"/>
              <w:ind w:left="103" w:right="90"/>
              <w:jc w:val="center"/>
              <w:rPr>
                <w:b/>
              </w:rPr>
            </w:pPr>
            <w:r w:rsidRPr="00552BB0">
              <w:rPr>
                <w:b/>
              </w:rPr>
              <w:t>2. Description du projet</w:t>
            </w:r>
          </w:p>
        </w:tc>
      </w:tr>
      <w:tr w:rsidR="00DD3A94" w:rsidRPr="00552BB0" w14:paraId="1F4E64E1" w14:textId="77777777" w:rsidTr="009D48A4">
        <w:trPr>
          <w:trHeight w:val="620"/>
        </w:trPr>
        <w:tc>
          <w:tcPr>
            <w:tcW w:w="9493" w:type="dxa"/>
            <w:gridSpan w:val="2"/>
          </w:tcPr>
          <w:p w14:paraId="32CC3E10" w14:textId="3DA0F7C8" w:rsidR="005C3C29" w:rsidRPr="00552BB0" w:rsidRDefault="00DD3A94" w:rsidP="009D48A4">
            <w:pPr>
              <w:pStyle w:val="TableParagraph"/>
              <w:widowControl/>
              <w:spacing w:before="120" w:after="120"/>
              <w:ind w:left="110" w:right="493"/>
            </w:pPr>
            <w:r w:rsidRPr="00552BB0">
              <w:t>Le projet proposé vise à doter les offices nationaux de la propriété intellectuelle des connaissances, des compétences et des outils nécessaires pour gérer les crises qui menacent gravement l</w:t>
            </w:r>
            <w:r w:rsidR="005C3C29" w:rsidRPr="00552BB0">
              <w:t>’</w:t>
            </w:r>
            <w:r w:rsidRPr="00552BB0">
              <w:t>écosystème de la propriété intellectuelle.</w:t>
            </w:r>
          </w:p>
          <w:p w14:paraId="22572D8B" w14:textId="2CFAD53D" w:rsidR="005C3C29" w:rsidRPr="00552BB0" w:rsidRDefault="00DD3A94" w:rsidP="009D48A4">
            <w:pPr>
              <w:pStyle w:val="TableParagraph"/>
              <w:widowControl/>
              <w:spacing w:before="120" w:after="120"/>
              <w:ind w:left="110" w:right="493"/>
            </w:pPr>
            <w:r w:rsidRPr="00552BB0">
              <w:t>Les expériences récentes, telles que la pandémie de COVID</w:t>
            </w:r>
            <w:r w:rsidR="00B065DC">
              <w:noBreakHyphen/>
            </w:r>
            <w:r w:rsidRPr="00552BB0">
              <w:t>19, les catastrophes naturelles, les guerres et les conflits, les vulnérabilités politiques et les incidences croissantes des cyberattaques, prouvent clairement que les acteurs de l</w:t>
            </w:r>
            <w:r w:rsidR="005C3C29" w:rsidRPr="00552BB0">
              <w:t>’</w:t>
            </w:r>
            <w:r w:rsidRPr="00552BB0">
              <w:t xml:space="preserve">écosystème de la propriété intellectuelle, </w:t>
            </w:r>
            <w:r w:rsidR="005C3C29" w:rsidRPr="00552BB0">
              <w:t>y compris</w:t>
            </w:r>
            <w:r w:rsidRPr="00552BB0">
              <w:t xml:space="preserve"> les représentants du monde universitaire et des secteurs privé et public, sont les plus exposés et les plus vulnérables aux risques et aux conséquences négatives des perturbations affectant la stabilité économique, institutionnelle, des ressources ou des opérations.</w:t>
            </w:r>
          </w:p>
          <w:p w14:paraId="1DFC0E12" w14:textId="65BC287C" w:rsidR="005C3C29" w:rsidRPr="00552BB0" w:rsidRDefault="00DD3A94" w:rsidP="009D48A4">
            <w:pPr>
              <w:pStyle w:val="TableParagraph"/>
              <w:widowControl/>
              <w:spacing w:before="120" w:after="120"/>
              <w:ind w:left="110" w:right="493"/>
            </w:pPr>
            <w:r w:rsidRPr="00552BB0">
              <w:t>La gestion des crises devient donc une question de plus en plus importante, qui nécessite la mise en place d</w:t>
            </w:r>
            <w:r w:rsidR="005C3C29" w:rsidRPr="00552BB0">
              <w:t>’</w:t>
            </w:r>
            <w:r w:rsidRPr="00552BB0">
              <w:t>un dispositif de résilience organisationnelle au sein des offices nationaux de propriété intellectuelle, car ces derniers sont les premiers à pouvoir atténuer les risques et minimiser les effets négatifs sur l</w:t>
            </w:r>
            <w:r w:rsidR="005C3C29" w:rsidRPr="00552BB0">
              <w:t>’</w:t>
            </w:r>
            <w:r w:rsidRPr="00552BB0">
              <w:t>écosystème de la propriété intellectuel</w:t>
            </w:r>
            <w:r w:rsidR="00790519" w:rsidRPr="00552BB0">
              <w:t>le.  Ce</w:t>
            </w:r>
            <w:r w:rsidRPr="00552BB0">
              <w:t xml:space="preserve"> dispositif comprend l</w:t>
            </w:r>
            <w:r w:rsidR="005C3C29" w:rsidRPr="00552BB0">
              <w:t>’</w:t>
            </w:r>
            <w:r w:rsidRPr="00552BB0">
              <w:t>élaboration et la mise en place de politiques de gestion des crises liées à la propriété intellectuelle, de plans de reprise après sinistre et de continuité des opérations, ainsi que de stratégies de préparation et d</w:t>
            </w:r>
            <w:r w:rsidR="005C3C29" w:rsidRPr="00552BB0">
              <w:t>’</w:t>
            </w:r>
            <w:r w:rsidRPr="00552BB0">
              <w:t>intervention.</w:t>
            </w:r>
          </w:p>
          <w:p w14:paraId="20F62DF9" w14:textId="0BDDA30E" w:rsidR="00DD3A94" w:rsidRPr="00552BB0" w:rsidRDefault="00DD3A94" w:rsidP="009D48A4">
            <w:pPr>
              <w:pStyle w:val="TableParagraph"/>
              <w:widowControl/>
              <w:spacing w:before="120" w:after="120"/>
              <w:ind w:left="110" w:right="493"/>
            </w:pPr>
            <w:r w:rsidRPr="00552BB0">
              <w:lastRenderedPageBreak/>
              <w:t>Parmi les éléments clés, citons l</w:t>
            </w:r>
            <w:r w:rsidR="005C3C29" w:rsidRPr="00552BB0">
              <w:t>’</w:t>
            </w:r>
            <w:r w:rsidRPr="00552BB0">
              <w:t>adoption de la transformation numérique, la collaboration avec les autorités locales chargées de la gestion des crises et la priorité donnée à la communication avec toutes les parties prenantes pendant les crises,</w:t>
            </w:r>
            <w:r w:rsidR="00C91678" w:rsidRPr="00552BB0">
              <w:t xml:space="preserve"> </w:t>
            </w:r>
            <w:r w:rsidRPr="00552BB0">
              <w:t>que l</w:t>
            </w:r>
            <w:r w:rsidR="005C3C29" w:rsidRPr="00552BB0">
              <w:t>’</w:t>
            </w:r>
            <w:r w:rsidRPr="00552BB0">
              <w:t>on pourrait considérer comme faisant partie d</w:t>
            </w:r>
            <w:r w:rsidR="005C3C29" w:rsidRPr="00552BB0">
              <w:t>’</w:t>
            </w:r>
            <w:r w:rsidRPr="00552BB0">
              <w:t>une approche globale de la création de stratégies nationales de propriété intellectuelle La formation du personnel des offices nationaux de propriété intellectuelle, l</w:t>
            </w:r>
            <w:r w:rsidR="005C3C29" w:rsidRPr="00552BB0">
              <w:t>’</w:t>
            </w:r>
            <w:r w:rsidRPr="00552BB0">
              <w:t>échange de données d</w:t>
            </w:r>
            <w:r w:rsidR="005C3C29" w:rsidRPr="00552BB0">
              <w:t>’</w:t>
            </w:r>
            <w:r w:rsidRPr="00552BB0">
              <w:t>expérience et les enseignements tirés des situations d</w:t>
            </w:r>
            <w:r w:rsidR="005C3C29" w:rsidRPr="00552BB0">
              <w:t>’</w:t>
            </w:r>
            <w:r w:rsidRPr="00552BB0">
              <w:t xml:space="preserve">urgence et de crise sont essentiels pour assurer une bonne continuité des opérations.  </w:t>
            </w:r>
          </w:p>
        </w:tc>
      </w:tr>
      <w:tr w:rsidR="00DD3A94" w:rsidRPr="00552BB0" w14:paraId="6F70CFEF" w14:textId="77777777" w:rsidTr="009D48A4">
        <w:trPr>
          <w:trHeight w:val="280"/>
        </w:trPr>
        <w:tc>
          <w:tcPr>
            <w:tcW w:w="9493" w:type="dxa"/>
            <w:gridSpan w:val="2"/>
            <w:shd w:val="clear" w:color="auto" w:fill="00FFCC"/>
          </w:tcPr>
          <w:p w14:paraId="1D80C0CA" w14:textId="77777777" w:rsidR="00DD3A94" w:rsidRPr="00552BB0" w:rsidRDefault="00DD3A94" w:rsidP="009D48A4">
            <w:pPr>
              <w:pStyle w:val="TableParagraph"/>
              <w:widowControl/>
              <w:spacing w:before="120" w:after="120"/>
              <w:ind w:left="110"/>
              <w:jc w:val="center"/>
              <w:rPr>
                <w:b/>
                <w:bCs/>
              </w:rPr>
            </w:pPr>
            <w:r w:rsidRPr="00552BB0">
              <w:rPr>
                <w:b/>
              </w:rPr>
              <w:lastRenderedPageBreak/>
              <w:t>2.1 Concept du projet</w:t>
            </w:r>
          </w:p>
        </w:tc>
      </w:tr>
      <w:tr w:rsidR="00DD3A94" w:rsidRPr="00552BB0" w14:paraId="72AB8414" w14:textId="77777777" w:rsidTr="009D48A4">
        <w:trPr>
          <w:trHeight w:val="280"/>
        </w:trPr>
        <w:tc>
          <w:tcPr>
            <w:tcW w:w="9493" w:type="dxa"/>
            <w:gridSpan w:val="2"/>
            <w:shd w:val="clear" w:color="auto" w:fill="auto"/>
          </w:tcPr>
          <w:p w14:paraId="55E5F9C3" w14:textId="1C7B2804" w:rsidR="00DD3A94" w:rsidRPr="00552BB0" w:rsidRDefault="00DD3A94" w:rsidP="009D48A4">
            <w:pPr>
              <w:pStyle w:val="TableParagraph"/>
              <w:widowControl/>
              <w:spacing w:before="120" w:after="120"/>
              <w:ind w:left="110"/>
            </w:pPr>
            <w:r w:rsidRPr="00552BB0">
              <w:t>Ce projet se concentre sur l</w:t>
            </w:r>
            <w:r w:rsidR="005C3C29" w:rsidRPr="00552BB0">
              <w:t>’</w:t>
            </w:r>
            <w:r w:rsidRPr="00552BB0">
              <w:t>élaboration d</w:t>
            </w:r>
            <w:r w:rsidR="005C3C29" w:rsidRPr="00552BB0">
              <w:t>’</w:t>
            </w:r>
            <w:r w:rsidRPr="00552BB0">
              <w:t>outils destinés à la gestion de la propriété intellectuelle, de l</w:t>
            </w:r>
            <w:r w:rsidR="005C3C29" w:rsidRPr="00552BB0">
              <w:t>’</w:t>
            </w:r>
            <w:r w:rsidRPr="00552BB0">
              <w:t>innovation et de la créativité en temps de cri</w:t>
            </w:r>
            <w:r w:rsidR="00790519" w:rsidRPr="00552BB0">
              <w:t>se.  Ce</w:t>
            </w:r>
            <w:r w:rsidRPr="00552BB0">
              <w:t xml:space="preserve"> projet vise plus particulièrement à développer et à renforcer la résilience et les capacités organisationnelles des offices nationaux de propriété intellectuelle en les dotant du savoir</w:t>
            </w:r>
            <w:r w:rsidR="00B065DC">
              <w:noBreakHyphen/>
            </w:r>
            <w:r w:rsidRPr="00552BB0">
              <w:t>faire, des compétences, des capacités et des outils nécessaires pour fournir des services en ligne, assurer la continuité des opérations et mettre en œuvre des mesures visant à atténuer les risques et à minimiser l</w:t>
            </w:r>
            <w:r w:rsidR="005C3C29" w:rsidRPr="00552BB0">
              <w:t>’</w:t>
            </w:r>
            <w:r w:rsidRPr="00552BB0">
              <w:t>impact négatif d</w:t>
            </w:r>
            <w:r w:rsidR="005C3C29" w:rsidRPr="00552BB0">
              <w:t>’</w:t>
            </w:r>
            <w:r w:rsidRPr="00552BB0">
              <w:t>une situation d</w:t>
            </w:r>
            <w:r w:rsidR="005C3C29" w:rsidRPr="00552BB0">
              <w:t>’</w:t>
            </w:r>
            <w:r w:rsidRPr="00552BB0">
              <w:t>urgence ou de crise susceptible d</w:t>
            </w:r>
            <w:r w:rsidR="005C3C29" w:rsidRPr="00552BB0">
              <w:t>’</w:t>
            </w:r>
            <w:r w:rsidRPr="00552BB0">
              <w:t>entraîner une perte de potentiel ou de nuire au fonctionnement et aux opérations de l</w:t>
            </w:r>
            <w:r w:rsidR="005C3C29" w:rsidRPr="00552BB0">
              <w:t>’</w:t>
            </w:r>
            <w:r w:rsidRPr="00552BB0">
              <w:t>écosystème de la propriété intellectuelle, qui nécessiterait des années, voire des dizaines d</w:t>
            </w:r>
            <w:r w:rsidR="005C3C29" w:rsidRPr="00552BB0">
              <w:t>’</w:t>
            </w:r>
            <w:r w:rsidRPr="00552BB0">
              <w:t>années, pour se remettre.</w:t>
            </w:r>
          </w:p>
        </w:tc>
      </w:tr>
      <w:tr w:rsidR="00DD3A94" w:rsidRPr="00552BB0" w14:paraId="754BAFE3" w14:textId="77777777" w:rsidTr="009D48A4">
        <w:trPr>
          <w:trHeight w:val="280"/>
        </w:trPr>
        <w:tc>
          <w:tcPr>
            <w:tcW w:w="9493" w:type="dxa"/>
            <w:gridSpan w:val="2"/>
            <w:shd w:val="clear" w:color="auto" w:fill="00FFCC"/>
          </w:tcPr>
          <w:p w14:paraId="38F6F617" w14:textId="517F1CAE" w:rsidR="00DD3A94" w:rsidRPr="00552BB0" w:rsidDel="00821A8E" w:rsidRDefault="00DD3A94" w:rsidP="009D48A4">
            <w:pPr>
              <w:pStyle w:val="TableParagraph"/>
              <w:widowControl/>
              <w:spacing w:before="120" w:after="120"/>
              <w:ind w:left="110"/>
              <w:jc w:val="center"/>
              <w:rPr>
                <w:b/>
                <w:bCs/>
              </w:rPr>
            </w:pPr>
            <w:r w:rsidRPr="00552BB0">
              <w:rPr>
                <w:b/>
              </w:rPr>
              <w:t>2.2</w:t>
            </w:r>
            <w:r w:rsidR="00465561">
              <w:rPr>
                <w:b/>
              </w:rPr>
              <w:t> </w:t>
            </w:r>
            <w:r w:rsidRPr="00552BB0">
              <w:rPr>
                <w:b/>
              </w:rPr>
              <w:t>Objectifs, résultats et réalisations du projet</w:t>
            </w:r>
          </w:p>
        </w:tc>
      </w:tr>
      <w:tr w:rsidR="00DD3A94" w:rsidRPr="00552BB0" w14:paraId="510B950C" w14:textId="77777777" w:rsidTr="009D48A4">
        <w:trPr>
          <w:trHeight w:val="280"/>
        </w:trPr>
        <w:tc>
          <w:tcPr>
            <w:tcW w:w="9493" w:type="dxa"/>
            <w:gridSpan w:val="2"/>
            <w:shd w:val="clear" w:color="auto" w:fill="auto"/>
          </w:tcPr>
          <w:p w14:paraId="73A78801" w14:textId="52A5BB07" w:rsidR="00DD3A94" w:rsidRPr="00552BB0" w:rsidRDefault="00DD3A94" w:rsidP="009D48A4">
            <w:pPr>
              <w:pStyle w:val="TableParagraph"/>
              <w:widowControl/>
              <w:spacing w:before="120" w:after="120"/>
              <w:ind w:left="110" w:right="493"/>
            </w:pPr>
            <w:r w:rsidRPr="00552BB0">
              <w:t>L</w:t>
            </w:r>
            <w:r w:rsidR="005C3C29" w:rsidRPr="00552BB0">
              <w:t>’</w:t>
            </w:r>
            <w:r w:rsidRPr="00552BB0">
              <w:rPr>
                <w:b/>
                <w:bCs/>
              </w:rPr>
              <w:t>objectif</w:t>
            </w:r>
            <w:r w:rsidRPr="00552BB0">
              <w:t xml:space="preserve"> global du projet est de renforcer la résilience des offices nationaux de propriété intellectuelle et leur capacité d</w:t>
            </w:r>
            <w:r w:rsidR="005C3C29" w:rsidRPr="00552BB0">
              <w:t>’</w:t>
            </w:r>
            <w:r w:rsidRPr="00552BB0">
              <w:t>assurer la continuité des opérations en temps de crise.</w:t>
            </w:r>
          </w:p>
          <w:p w14:paraId="45EECC1D" w14:textId="148A58B4" w:rsidR="005C3C29" w:rsidRPr="00552BB0" w:rsidRDefault="00DD3A94" w:rsidP="009D48A4">
            <w:pPr>
              <w:pStyle w:val="TableParagraph"/>
              <w:widowControl/>
              <w:spacing w:before="120" w:after="120"/>
              <w:ind w:left="110" w:right="493"/>
            </w:pPr>
            <w:r w:rsidRPr="00552BB0">
              <w:t xml:space="preserve">Le </w:t>
            </w:r>
            <w:r w:rsidRPr="00552BB0">
              <w:rPr>
                <w:b/>
                <w:bCs/>
              </w:rPr>
              <w:t>résultat</w:t>
            </w:r>
            <w:r w:rsidRPr="00552BB0">
              <w:t xml:space="preserve"> escompté du projet est le renforcement des capacités de gestion des crises des offices nationaux de propriété intellectuelle afin d</w:t>
            </w:r>
            <w:r w:rsidR="005C3C29" w:rsidRPr="00552BB0">
              <w:t>’</w:t>
            </w:r>
            <w:r w:rsidRPr="00552BB0">
              <w:t>atténuer les risques et de réduire à un minimum l</w:t>
            </w:r>
            <w:r w:rsidR="005C3C29" w:rsidRPr="00552BB0">
              <w:t>’</w:t>
            </w:r>
            <w:r w:rsidRPr="00552BB0">
              <w:t>impact négatif sur l</w:t>
            </w:r>
            <w:r w:rsidR="005C3C29" w:rsidRPr="00552BB0">
              <w:t>’</w:t>
            </w:r>
            <w:r w:rsidRPr="00552BB0">
              <w:t>écosystème de la propriété intellectuelle.</w:t>
            </w:r>
          </w:p>
          <w:p w14:paraId="57822DCD" w14:textId="27FCFE8B" w:rsidR="00DD3A94" w:rsidRPr="00552BB0" w:rsidRDefault="00DD3A94" w:rsidP="009D48A4">
            <w:pPr>
              <w:pStyle w:val="TableParagraph"/>
              <w:widowControl/>
              <w:spacing w:before="120" w:after="120"/>
              <w:ind w:left="110" w:right="493"/>
            </w:pPr>
            <w:r w:rsidRPr="00552BB0">
              <w:t>Le projet permettra les réalisations suivantes</w:t>
            </w:r>
            <w:r w:rsidR="005C3C29" w:rsidRPr="00552BB0">
              <w:t> :</w:t>
            </w:r>
          </w:p>
          <w:p w14:paraId="66C3CBD7" w14:textId="6F547EC1" w:rsidR="005C3C29" w:rsidRPr="00552BB0" w:rsidRDefault="00DD3A94" w:rsidP="009D48A4">
            <w:pPr>
              <w:pStyle w:val="TableParagraph"/>
              <w:widowControl/>
              <w:numPr>
                <w:ilvl w:val="0"/>
                <w:numId w:val="8"/>
              </w:numPr>
              <w:spacing w:before="120" w:after="120"/>
              <w:ind w:left="567" w:right="493" w:hanging="457"/>
            </w:pPr>
            <w:r w:rsidRPr="00552BB0">
              <w:rPr>
                <w:rStyle w:val="cf01"/>
                <w:rFonts w:ascii="Arial" w:hAnsi="Arial" w:cs="Arial"/>
                <w:sz w:val="22"/>
                <w:szCs w:val="22"/>
              </w:rPr>
              <w:t>Élaboration d</w:t>
            </w:r>
            <w:r w:rsidR="005C3C29" w:rsidRPr="00552BB0">
              <w:rPr>
                <w:rStyle w:val="cf01"/>
                <w:rFonts w:ascii="Arial" w:hAnsi="Arial" w:cs="Arial"/>
                <w:sz w:val="22"/>
                <w:szCs w:val="22"/>
              </w:rPr>
              <w:t>’</w:t>
            </w:r>
            <w:r w:rsidRPr="00552BB0">
              <w:rPr>
                <w:rStyle w:val="cf01"/>
                <w:rFonts w:ascii="Arial" w:hAnsi="Arial" w:cs="Arial"/>
                <w:sz w:val="22"/>
                <w:szCs w:val="22"/>
              </w:rPr>
              <w:t>un cadre stratégique, réalisable et fonctionnel, de gestion des crises pour les offices nationaux de propriété intellectuelle, qui leur permette de continuer à fournir une assistance adéquate aux parties prenantes de l</w:t>
            </w:r>
            <w:r w:rsidR="005C3C29" w:rsidRPr="00552BB0">
              <w:rPr>
                <w:rStyle w:val="cf01"/>
                <w:rFonts w:ascii="Arial" w:hAnsi="Arial" w:cs="Arial"/>
                <w:sz w:val="22"/>
                <w:szCs w:val="22"/>
              </w:rPr>
              <w:t>’</w:t>
            </w:r>
            <w:r w:rsidRPr="00552BB0">
              <w:rPr>
                <w:rStyle w:val="cf01"/>
                <w:rFonts w:ascii="Arial" w:hAnsi="Arial" w:cs="Arial"/>
                <w:sz w:val="22"/>
                <w:szCs w:val="22"/>
              </w:rPr>
              <w:t>écosystème de la propriété intellectuelle en temps de crise.</w:t>
            </w:r>
          </w:p>
          <w:p w14:paraId="589F0459" w14:textId="7D570F00" w:rsidR="00DD3A94" w:rsidRPr="00552BB0" w:rsidRDefault="00DD3A94" w:rsidP="009D48A4">
            <w:pPr>
              <w:pStyle w:val="TableParagraph"/>
              <w:widowControl/>
              <w:numPr>
                <w:ilvl w:val="0"/>
                <w:numId w:val="8"/>
              </w:numPr>
              <w:spacing w:before="120" w:after="120"/>
              <w:ind w:left="567" w:right="493" w:hanging="457"/>
            </w:pPr>
            <w:r w:rsidRPr="00552BB0">
              <w:t>Échanger de données d</w:t>
            </w:r>
            <w:r w:rsidR="005C3C29" w:rsidRPr="00552BB0">
              <w:t>’</w:t>
            </w:r>
            <w:r w:rsidRPr="00552BB0">
              <w:t>expérience nationales entre les décideurs politiques, les régulateurs et les spécialistes des offices nationaux de propriété intellectuelle.</w:t>
            </w:r>
          </w:p>
          <w:p w14:paraId="6776BBB2" w14:textId="59CC72C7" w:rsidR="00DD3A94" w:rsidRPr="00552BB0" w:rsidDel="00821A8E" w:rsidRDefault="00DD3A94" w:rsidP="009D48A4">
            <w:pPr>
              <w:pStyle w:val="TableParagraph"/>
              <w:widowControl/>
              <w:numPr>
                <w:ilvl w:val="0"/>
                <w:numId w:val="8"/>
              </w:numPr>
              <w:spacing w:before="120" w:after="120"/>
              <w:ind w:left="567" w:right="493" w:hanging="457"/>
            </w:pPr>
            <w:r w:rsidRPr="00552BB0">
              <w:t>Élaboration, en concertation avec les divisions compétentes de l</w:t>
            </w:r>
            <w:r w:rsidR="005C3C29" w:rsidRPr="00552BB0">
              <w:t>’</w:t>
            </w:r>
            <w:r w:rsidRPr="00552BB0">
              <w:t>OMPI, d</w:t>
            </w:r>
            <w:r w:rsidR="005C3C29" w:rsidRPr="00552BB0">
              <w:t>’</w:t>
            </w:r>
            <w:r w:rsidRPr="00552BB0">
              <w:t xml:space="preserve">outils de sensibilisation à la propriété intellectuelle et à la gestion des crises. </w:t>
            </w:r>
            <w:r w:rsidR="00FC1AAD" w:rsidRPr="00552BB0">
              <w:t xml:space="preserve"> </w:t>
            </w:r>
          </w:p>
        </w:tc>
      </w:tr>
      <w:tr w:rsidR="00DD3A94" w:rsidRPr="00552BB0" w14:paraId="779F3020" w14:textId="77777777" w:rsidTr="009D48A4">
        <w:trPr>
          <w:trHeight w:val="280"/>
        </w:trPr>
        <w:tc>
          <w:tcPr>
            <w:tcW w:w="9493" w:type="dxa"/>
            <w:gridSpan w:val="2"/>
            <w:shd w:val="clear" w:color="auto" w:fill="00FFCC"/>
          </w:tcPr>
          <w:p w14:paraId="4461D117" w14:textId="77777777" w:rsidR="00DD3A94" w:rsidRPr="00552BB0" w:rsidRDefault="00DD3A94" w:rsidP="009D48A4">
            <w:pPr>
              <w:pStyle w:val="TableParagraph"/>
              <w:widowControl/>
              <w:spacing w:before="120" w:after="120"/>
              <w:ind w:left="110"/>
              <w:jc w:val="center"/>
              <w:rPr>
                <w:b/>
                <w:bCs/>
              </w:rPr>
            </w:pPr>
            <w:r w:rsidRPr="00552BB0">
              <w:rPr>
                <w:b/>
              </w:rPr>
              <w:t xml:space="preserve">2.3 Stratégie de mise en œuvre du projet </w:t>
            </w:r>
          </w:p>
        </w:tc>
      </w:tr>
      <w:tr w:rsidR="00DD3A94" w:rsidRPr="00552BB0" w14:paraId="48276B59" w14:textId="77777777" w:rsidTr="009D48A4">
        <w:trPr>
          <w:trHeight w:val="280"/>
        </w:trPr>
        <w:tc>
          <w:tcPr>
            <w:tcW w:w="9493" w:type="dxa"/>
            <w:gridSpan w:val="2"/>
            <w:shd w:val="clear" w:color="auto" w:fill="auto"/>
          </w:tcPr>
          <w:p w14:paraId="3106347C" w14:textId="22623ACD" w:rsidR="00DD3A94" w:rsidRPr="00552BB0" w:rsidRDefault="00DD3A94" w:rsidP="009D48A4">
            <w:pPr>
              <w:pStyle w:val="TableParagraph"/>
              <w:widowControl/>
              <w:spacing w:before="120" w:after="120"/>
              <w:ind w:left="115"/>
            </w:pPr>
            <w:r w:rsidRPr="00552BB0">
              <w:t>Le projet proposé atteindra ses objectifs moyennant les réalisations suivantes</w:t>
            </w:r>
            <w:r w:rsidR="005C3C29" w:rsidRPr="00552BB0">
              <w:t> :</w:t>
            </w:r>
          </w:p>
          <w:p w14:paraId="5618526F" w14:textId="2BF1C010" w:rsidR="00DD3A94" w:rsidRPr="00552BB0" w:rsidRDefault="00DD3A94" w:rsidP="009D48A4">
            <w:pPr>
              <w:pStyle w:val="TableParagraph"/>
              <w:widowControl/>
              <w:spacing w:before="120" w:after="120"/>
              <w:ind w:left="115"/>
            </w:pPr>
            <w:r w:rsidRPr="00552BB0">
              <w:rPr>
                <w:b/>
              </w:rPr>
              <w:t>Réalisation n° 1</w:t>
            </w:r>
            <w:r w:rsidRPr="00552BB0">
              <w:t xml:space="preserve"> – Élaboration d</w:t>
            </w:r>
            <w:r w:rsidR="005C3C29" w:rsidRPr="00552BB0">
              <w:t>’</w:t>
            </w:r>
            <w:r w:rsidRPr="00552BB0">
              <w:t>un cadre stratégique, réalisable et fonctionnel, de gestion des crises pour les offices nationaux de propriété intellectuelle, qui leur permette de continuer à fournir une assistance adéquate aux parties prenantes de l</w:t>
            </w:r>
            <w:r w:rsidR="005C3C29" w:rsidRPr="00552BB0">
              <w:t>’</w:t>
            </w:r>
            <w:r w:rsidRPr="00552BB0">
              <w:t>écosystème de la propriété intellectuelle en temps de crise.</w:t>
            </w:r>
          </w:p>
          <w:p w14:paraId="7E1F60E9" w14:textId="368E1C28" w:rsidR="00DD3A94" w:rsidRPr="00552BB0" w:rsidRDefault="00DD3A94" w:rsidP="009D48A4">
            <w:pPr>
              <w:pStyle w:val="TableParagraph"/>
              <w:widowControl/>
              <w:spacing w:before="120" w:after="120"/>
              <w:ind w:left="115"/>
              <w:rPr>
                <w:b/>
                <w:bCs/>
              </w:rPr>
            </w:pPr>
            <w:r w:rsidRPr="00552BB0">
              <w:rPr>
                <w:b/>
              </w:rPr>
              <w:t>Activités</w:t>
            </w:r>
            <w:r w:rsidR="005C3C29" w:rsidRPr="00552BB0">
              <w:rPr>
                <w:b/>
              </w:rPr>
              <w:t> :</w:t>
            </w:r>
          </w:p>
          <w:p w14:paraId="14D5BCC3" w14:textId="6AED85A1" w:rsidR="00DD3A94" w:rsidRPr="00552BB0" w:rsidRDefault="00DD3A94" w:rsidP="009D48A4">
            <w:pPr>
              <w:pStyle w:val="TableParagraph"/>
              <w:widowControl/>
              <w:numPr>
                <w:ilvl w:val="0"/>
                <w:numId w:val="10"/>
              </w:numPr>
              <w:spacing w:before="120" w:after="120"/>
              <w:ind w:left="567" w:hanging="425"/>
            </w:pPr>
            <w:r w:rsidRPr="00552BB0">
              <w:t>Mener une étude exploratoire sur les connaissances, les expériences et les enseignements tirés de situations de crise spécifiques ou d</w:t>
            </w:r>
            <w:r w:rsidR="005C3C29" w:rsidRPr="00552BB0">
              <w:t>’</w:t>
            </w:r>
            <w:r w:rsidRPr="00552BB0">
              <w:t>urgences rencontrées par les offices nationaux de propriété intellectuelle.</w:t>
            </w:r>
          </w:p>
          <w:p w14:paraId="66B750E4" w14:textId="640FEE6A" w:rsidR="00DD3A94" w:rsidRPr="00552BB0" w:rsidRDefault="00DD3A94" w:rsidP="009D48A4">
            <w:pPr>
              <w:pStyle w:val="TableParagraph"/>
              <w:widowControl/>
              <w:numPr>
                <w:ilvl w:val="0"/>
                <w:numId w:val="10"/>
              </w:numPr>
              <w:spacing w:before="120" w:after="120"/>
              <w:ind w:left="567" w:hanging="425"/>
            </w:pPr>
            <w:r w:rsidRPr="00552BB0">
              <w:lastRenderedPageBreak/>
              <w:t>Présenter les résultats de l</w:t>
            </w:r>
            <w:r w:rsidR="005C3C29" w:rsidRPr="00552BB0">
              <w:t>’</w:t>
            </w:r>
            <w:r w:rsidRPr="00552BB0">
              <w:t>étude</w:t>
            </w:r>
            <w:r w:rsidR="005C3C29" w:rsidRPr="00552BB0">
              <w:t xml:space="preserve"> au CDI</w:t>
            </w:r>
            <w:r w:rsidRPr="00552BB0">
              <w:t>P pour garantir l</w:t>
            </w:r>
            <w:r w:rsidR="005C3C29" w:rsidRPr="00552BB0">
              <w:t>’</w:t>
            </w:r>
            <w:r w:rsidRPr="00552BB0">
              <w:t>impact ciblé du projet.</w:t>
            </w:r>
          </w:p>
          <w:p w14:paraId="21A722AE" w14:textId="290F1BA1" w:rsidR="00DD3A94" w:rsidRPr="00552BB0" w:rsidRDefault="00DD3A94" w:rsidP="009D48A4">
            <w:pPr>
              <w:pStyle w:val="TableParagraph"/>
              <w:widowControl/>
              <w:spacing w:before="120" w:after="120"/>
              <w:ind w:left="115"/>
            </w:pPr>
            <w:r w:rsidRPr="00552BB0">
              <w:rPr>
                <w:b/>
              </w:rPr>
              <w:t>Réalisation n° 2</w:t>
            </w:r>
            <w:r w:rsidRPr="00552BB0">
              <w:t xml:space="preserve"> – Échange</w:t>
            </w:r>
            <w:r w:rsidR="00790519" w:rsidRPr="00552BB0">
              <w:t xml:space="preserve"> </w:t>
            </w:r>
            <w:r w:rsidRPr="00552BB0">
              <w:t>de données d</w:t>
            </w:r>
            <w:r w:rsidR="005C3C29" w:rsidRPr="00552BB0">
              <w:t>’</w:t>
            </w:r>
            <w:r w:rsidRPr="00552BB0">
              <w:t xml:space="preserve">expérience nationales entre les décideurs politiques, les régulateurs et </w:t>
            </w:r>
            <w:r w:rsidR="00790519" w:rsidRPr="00552BB0">
              <w:t>l</w:t>
            </w:r>
            <w:r w:rsidRPr="00552BB0">
              <w:t>es spécialistes des offices nationaux de propriété intellectuelle.</w:t>
            </w:r>
          </w:p>
          <w:p w14:paraId="23EA3D9C" w14:textId="5F71D722" w:rsidR="00DD3A94" w:rsidRPr="00552BB0" w:rsidRDefault="00DD3A94" w:rsidP="009D48A4">
            <w:pPr>
              <w:pStyle w:val="TableParagraph"/>
              <w:widowControl/>
              <w:spacing w:before="120" w:after="120"/>
              <w:ind w:left="115"/>
              <w:rPr>
                <w:b/>
                <w:bCs/>
              </w:rPr>
            </w:pPr>
            <w:r w:rsidRPr="00552BB0">
              <w:rPr>
                <w:b/>
              </w:rPr>
              <w:t>Activités</w:t>
            </w:r>
            <w:r w:rsidR="005C3C29" w:rsidRPr="00552BB0">
              <w:rPr>
                <w:b/>
              </w:rPr>
              <w:t> :</w:t>
            </w:r>
          </w:p>
          <w:p w14:paraId="66F9A338" w14:textId="77777777" w:rsidR="00C91678" w:rsidRPr="00552BB0" w:rsidRDefault="00DD3A94" w:rsidP="009D48A4">
            <w:pPr>
              <w:pStyle w:val="TableParagraph"/>
              <w:widowControl/>
              <w:numPr>
                <w:ilvl w:val="1"/>
                <w:numId w:val="6"/>
              </w:numPr>
              <w:spacing w:before="120" w:after="120"/>
              <w:ind w:hanging="425"/>
            </w:pPr>
            <w:r w:rsidRPr="00552BB0">
              <w:t>Organiser un séminaire pour partager les connaissances et les données d</w:t>
            </w:r>
            <w:r w:rsidR="005C3C29" w:rsidRPr="00552BB0">
              <w:t>’</w:t>
            </w:r>
            <w:r w:rsidRPr="00552BB0">
              <w:t>expérience, ainsi que pour mettre à profit les enseignements tirés.</w:t>
            </w:r>
          </w:p>
          <w:p w14:paraId="7C45D0DB" w14:textId="0D2DB61B" w:rsidR="00DD3A94" w:rsidRPr="00552BB0" w:rsidRDefault="00DD3A94" w:rsidP="009D48A4">
            <w:pPr>
              <w:pStyle w:val="TableParagraph"/>
              <w:widowControl/>
              <w:numPr>
                <w:ilvl w:val="1"/>
                <w:numId w:val="6"/>
              </w:numPr>
              <w:spacing w:before="120" w:after="120"/>
              <w:ind w:hanging="425"/>
            </w:pPr>
            <w:r w:rsidRPr="00552BB0">
              <w:t>Identifier des spécialistes régionaux ou nationaux chargés de fournir une assistance immédiate aux pays confrontés à des crises entraînant une perte de potentiel ou nuisant au fonctionnement et aux opérations de leurs écosystèmes de propriété intellectuelle respecti</w:t>
            </w:r>
            <w:r w:rsidR="00790519" w:rsidRPr="00552BB0">
              <w:t>fs.  Ap</w:t>
            </w:r>
            <w:r w:rsidRPr="00552BB0">
              <w:t>rès un examen approfondi, ces spécialistes pourraient éventuellement faire partie d</w:t>
            </w:r>
            <w:r w:rsidR="005C3C29" w:rsidRPr="00552BB0">
              <w:t>’</w:t>
            </w:r>
            <w:r w:rsidRPr="00552BB0">
              <w:t>un groupe de spécialistes et être inclus dans la base de données relative à la liste des consultants de l</w:t>
            </w:r>
            <w:r w:rsidR="005C3C29" w:rsidRPr="00552BB0">
              <w:t>’</w:t>
            </w:r>
            <w:r w:rsidRPr="00552BB0">
              <w:t>OMPI (IP</w:t>
            </w:r>
            <w:r w:rsidR="00B065DC">
              <w:noBreakHyphen/>
            </w:r>
            <w:r w:rsidRPr="00552BB0">
              <w:t>ROC).  Le spécialiste interne chargé de la continuité des opérations à l</w:t>
            </w:r>
            <w:r w:rsidR="005C3C29" w:rsidRPr="00552BB0">
              <w:t>’</w:t>
            </w:r>
            <w:r w:rsidRPr="00552BB0">
              <w:t>OMPI sera sur place pour le projet afin de donner la formation, les conseils et l</w:t>
            </w:r>
            <w:r w:rsidR="005C3C29" w:rsidRPr="00552BB0">
              <w:t>’</w:t>
            </w:r>
            <w:r w:rsidRPr="00552BB0">
              <w:t>assistance nécessaires.</w:t>
            </w:r>
          </w:p>
          <w:p w14:paraId="5D0BA172" w14:textId="3FB419B2" w:rsidR="005C3C29" w:rsidRPr="00552BB0" w:rsidRDefault="00DD3A94" w:rsidP="009D48A4">
            <w:pPr>
              <w:pStyle w:val="TableParagraph"/>
              <w:widowControl/>
              <w:spacing w:before="120" w:after="120"/>
              <w:ind w:left="115"/>
            </w:pPr>
            <w:r w:rsidRPr="00552BB0">
              <w:rPr>
                <w:b/>
              </w:rPr>
              <w:t>Réalisation n° 3</w:t>
            </w:r>
            <w:r w:rsidRPr="00552BB0">
              <w:t xml:space="preserve"> – Élaboration, en concertation avec les divisions compétentes de l</w:t>
            </w:r>
            <w:r w:rsidR="005C3C29" w:rsidRPr="00552BB0">
              <w:t>’</w:t>
            </w:r>
            <w:r w:rsidRPr="00552BB0">
              <w:t>OMPI, d</w:t>
            </w:r>
            <w:r w:rsidR="005C3C29" w:rsidRPr="00552BB0">
              <w:t>’</w:t>
            </w:r>
            <w:r w:rsidRPr="00552BB0">
              <w:t>outils de sensibilisation à la propriété intellectuelle et à la gestion des crises.</w:t>
            </w:r>
          </w:p>
          <w:p w14:paraId="12276AC4" w14:textId="01E0C89D" w:rsidR="00DD3A94" w:rsidRPr="00552BB0" w:rsidRDefault="00DD3A94" w:rsidP="009D48A4">
            <w:pPr>
              <w:pStyle w:val="TableParagraph"/>
              <w:widowControl/>
              <w:spacing w:before="120" w:after="120"/>
              <w:ind w:left="115"/>
              <w:rPr>
                <w:b/>
                <w:bCs/>
              </w:rPr>
            </w:pPr>
            <w:r w:rsidRPr="00552BB0">
              <w:rPr>
                <w:b/>
              </w:rPr>
              <w:t>Activités</w:t>
            </w:r>
            <w:r w:rsidR="005C3C29" w:rsidRPr="00552BB0">
              <w:rPr>
                <w:b/>
              </w:rPr>
              <w:t> :</w:t>
            </w:r>
          </w:p>
          <w:p w14:paraId="4FE332D7" w14:textId="77777777" w:rsidR="00C91678" w:rsidRPr="00552BB0" w:rsidRDefault="00DD3A94" w:rsidP="009D48A4">
            <w:pPr>
              <w:pStyle w:val="ONUMFS"/>
              <w:numPr>
                <w:ilvl w:val="1"/>
                <w:numId w:val="18"/>
              </w:numPr>
              <w:spacing w:before="120" w:after="120"/>
              <w:ind w:hanging="425"/>
              <w:rPr>
                <w:lang w:val="fr-FR"/>
              </w:rPr>
            </w:pPr>
            <w:r w:rsidRPr="00552BB0">
              <w:rPr>
                <w:lang w:val="fr-FR"/>
              </w:rPr>
              <w:t xml:space="preserve">Élaborer des outils de communication sur mesure, </w:t>
            </w:r>
            <w:r w:rsidR="005C3C29" w:rsidRPr="00552BB0">
              <w:rPr>
                <w:lang w:val="fr-FR"/>
              </w:rPr>
              <w:t>y compris</w:t>
            </w:r>
            <w:r w:rsidRPr="00552BB0">
              <w:rPr>
                <w:lang w:val="fr-FR"/>
              </w:rPr>
              <w:t xml:space="preserve"> des infographies, à l</w:t>
            </w:r>
            <w:r w:rsidR="005C3C29" w:rsidRPr="00552BB0">
              <w:rPr>
                <w:lang w:val="fr-FR"/>
              </w:rPr>
              <w:t>’</w:t>
            </w:r>
            <w:r w:rsidRPr="00552BB0">
              <w:rPr>
                <w:lang w:val="fr-FR"/>
              </w:rPr>
              <w:t>intention d</w:t>
            </w:r>
            <w:r w:rsidR="005C3C29" w:rsidRPr="00552BB0">
              <w:rPr>
                <w:lang w:val="fr-FR"/>
              </w:rPr>
              <w:t>’</w:t>
            </w:r>
            <w:r w:rsidRPr="00552BB0">
              <w:rPr>
                <w:lang w:val="fr-FR"/>
              </w:rPr>
              <w:t>un large éventail de parties prenantes.</w:t>
            </w:r>
          </w:p>
          <w:p w14:paraId="6B85E4A7" w14:textId="77777777" w:rsidR="00C91678" w:rsidRPr="00552BB0" w:rsidRDefault="00DD3A94" w:rsidP="009D48A4">
            <w:pPr>
              <w:pStyle w:val="ONUMFS"/>
              <w:numPr>
                <w:ilvl w:val="1"/>
                <w:numId w:val="18"/>
              </w:numPr>
              <w:tabs>
                <w:tab w:val="clear" w:pos="1134"/>
                <w:tab w:val="num" w:pos="709"/>
              </w:tabs>
              <w:spacing w:before="120" w:after="120"/>
              <w:ind w:hanging="425"/>
              <w:rPr>
                <w:lang w:val="fr-FR"/>
              </w:rPr>
            </w:pPr>
            <w:r w:rsidRPr="00552BB0">
              <w:rPr>
                <w:lang w:val="fr-FR"/>
              </w:rPr>
              <w:t>Élaborer du matériel de formation et des guides à l</w:t>
            </w:r>
            <w:r w:rsidR="005C3C29" w:rsidRPr="00552BB0">
              <w:rPr>
                <w:lang w:val="fr-FR"/>
              </w:rPr>
              <w:t>’</w:t>
            </w:r>
            <w:r w:rsidRPr="00552BB0">
              <w:rPr>
                <w:lang w:val="fr-FR"/>
              </w:rPr>
              <w:t>intention du personnel des offices nationaux de propriété intellectuelle (</w:t>
            </w:r>
            <w:r w:rsidR="005C3C29" w:rsidRPr="00552BB0">
              <w:rPr>
                <w:lang w:val="fr-FR"/>
              </w:rPr>
              <w:t>y compris</w:t>
            </w:r>
            <w:r w:rsidRPr="00552BB0">
              <w:rPr>
                <w:lang w:val="fr-FR"/>
              </w:rPr>
              <w:t xml:space="preserve"> un aperçu des options stratégiques disponibles) afin d</w:t>
            </w:r>
            <w:r w:rsidR="005C3C29" w:rsidRPr="00552BB0">
              <w:rPr>
                <w:lang w:val="fr-FR"/>
              </w:rPr>
              <w:t>’</w:t>
            </w:r>
            <w:r w:rsidRPr="00552BB0">
              <w:rPr>
                <w:lang w:val="fr-FR"/>
              </w:rPr>
              <w:t>améliorer l</w:t>
            </w:r>
            <w:r w:rsidR="005C3C29" w:rsidRPr="00552BB0">
              <w:rPr>
                <w:lang w:val="fr-FR"/>
              </w:rPr>
              <w:t>’</w:t>
            </w:r>
            <w:r w:rsidRPr="00552BB0">
              <w:rPr>
                <w:lang w:val="fr-FR"/>
              </w:rPr>
              <w:t>utilisation des données et des informations relatives à la propriété intellectuelle et de fournir efficacement des services en ligne en temps de crise.</w:t>
            </w:r>
          </w:p>
          <w:p w14:paraId="4BCB0FBC" w14:textId="5DA7055F" w:rsidR="00DD3A94" w:rsidRPr="00552BB0" w:rsidRDefault="00DD3A94" w:rsidP="009D48A4">
            <w:pPr>
              <w:pStyle w:val="ONUMFS"/>
              <w:numPr>
                <w:ilvl w:val="1"/>
                <w:numId w:val="18"/>
              </w:numPr>
              <w:tabs>
                <w:tab w:val="clear" w:pos="1134"/>
                <w:tab w:val="num" w:pos="709"/>
              </w:tabs>
              <w:spacing w:before="120" w:after="120"/>
              <w:ind w:hanging="425"/>
              <w:rPr>
                <w:lang w:val="fr-FR"/>
              </w:rPr>
            </w:pPr>
            <w:r w:rsidRPr="00552BB0">
              <w:rPr>
                <w:lang w:val="fr-FR"/>
              </w:rPr>
              <w:t>Mettre à la disposition de tous les offices nationaux de propriété intellectuelle l</w:t>
            </w:r>
            <w:r w:rsidR="005C3C29" w:rsidRPr="00552BB0">
              <w:rPr>
                <w:lang w:val="fr-FR"/>
              </w:rPr>
              <w:t>’</w:t>
            </w:r>
            <w:r w:rsidRPr="00552BB0">
              <w:rPr>
                <w:lang w:val="fr-FR"/>
              </w:rPr>
              <w:t xml:space="preserve">ensemble du matériel élaboré dans le cadre de ce projet et le rendre accessible via une </w:t>
            </w:r>
            <w:r w:rsidR="005C3C29" w:rsidRPr="00552BB0">
              <w:rPr>
                <w:lang w:val="fr-FR"/>
              </w:rPr>
              <w:t>page W</w:t>
            </w:r>
            <w:r w:rsidRPr="00552BB0">
              <w:rPr>
                <w:lang w:val="fr-FR"/>
              </w:rPr>
              <w:t>eb de l</w:t>
            </w:r>
            <w:r w:rsidR="005C3C29" w:rsidRPr="00552BB0">
              <w:rPr>
                <w:lang w:val="fr-FR"/>
              </w:rPr>
              <w:t>’</w:t>
            </w:r>
            <w:r w:rsidRPr="00552BB0">
              <w:rPr>
                <w:lang w:val="fr-FR"/>
              </w:rPr>
              <w:t>OMPI consacrée à ce projet.</w:t>
            </w:r>
          </w:p>
        </w:tc>
      </w:tr>
      <w:tr w:rsidR="00DD3A94" w:rsidRPr="00552BB0" w14:paraId="6EC26478" w14:textId="77777777" w:rsidTr="009D48A4">
        <w:trPr>
          <w:trHeight w:val="280"/>
        </w:trPr>
        <w:tc>
          <w:tcPr>
            <w:tcW w:w="9493" w:type="dxa"/>
            <w:gridSpan w:val="2"/>
            <w:shd w:val="clear" w:color="auto" w:fill="00FFCC"/>
          </w:tcPr>
          <w:p w14:paraId="2B4E1D2F" w14:textId="77777777" w:rsidR="00DD3A94" w:rsidRPr="00552BB0" w:rsidRDefault="00DD3A94" w:rsidP="009D48A4">
            <w:pPr>
              <w:pStyle w:val="TableParagraph"/>
              <w:widowControl/>
              <w:spacing w:before="120" w:after="120"/>
              <w:ind w:left="110"/>
              <w:jc w:val="center"/>
              <w:rPr>
                <w:b/>
                <w:bCs/>
              </w:rPr>
            </w:pPr>
            <w:r w:rsidRPr="00552BB0">
              <w:rPr>
                <w:b/>
              </w:rPr>
              <w:lastRenderedPageBreak/>
              <w:t>2.4 Indicateurs du projet</w:t>
            </w:r>
          </w:p>
        </w:tc>
      </w:tr>
      <w:tr w:rsidR="00DD3A94" w:rsidRPr="00552BB0" w14:paraId="2CCAA06D" w14:textId="77777777" w:rsidTr="009D48A4">
        <w:trPr>
          <w:trHeight w:val="280"/>
        </w:trPr>
        <w:tc>
          <w:tcPr>
            <w:tcW w:w="4676" w:type="dxa"/>
            <w:shd w:val="clear" w:color="auto" w:fill="FFFFFF" w:themeFill="background1"/>
          </w:tcPr>
          <w:p w14:paraId="32954BFA" w14:textId="7A306E1C" w:rsidR="00DD3A94" w:rsidRPr="00552BB0" w:rsidRDefault="00DD3A94" w:rsidP="009D48A4">
            <w:pPr>
              <w:pStyle w:val="TableParagraph"/>
              <w:widowControl/>
              <w:spacing w:before="120" w:after="120"/>
              <w:ind w:left="110"/>
              <w:jc w:val="center"/>
              <w:rPr>
                <w:u w:val="single"/>
              </w:rPr>
            </w:pPr>
            <w:r w:rsidRPr="00552BB0">
              <w:rPr>
                <w:u w:val="single"/>
              </w:rPr>
              <w:t>Objectif du projet</w:t>
            </w:r>
            <w:r w:rsidR="005C3C29" w:rsidRPr="009D48A4">
              <w:t> :</w:t>
            </w:r>
          </w:p>
          <w:p w14:paraId="24907D61" w14:textId="645A9795" w:rsidR="00DD3A94" w:rsidRPr="00552BB0" w:rsidRDefault="00DD3A94" w:rsidP="009D48A4">
            <w:pPr>
              <w:pStyle w:val="TableParagraph"/>
              <w:widowControl/>
              <w:spacing w:before="120" w:after="120"/>
              <w:ind w:left="110"/>
            </w:pPr>
            <w:r w:rsidRPr="00552BB0">
              <w:t>Renforcer la résilience des offices nationaux de propriété intellectuelle et leur capacité d</w:t>
            </w:r>
            <w:r w:rsidR="005C3C29" w:rsidRPr="00552BB0">
              <w:t>’</w:t>
            </w:r>
            <w:r w:rsidRPr="00552BB0">
              <w:t>assurer la continuité des opérations en temps de crise.</w:t>
            </w:r>
          </w:p>
        </w:tc>
        <w:tc>
          <w:tcPr>
            <w:tcW w:w="4817" w:type="dxa"/>
            <w:shd w:val="clear" w:color="auto" w:fill="FFFFFF" w:themeFill="background1"/>
          </w:tcPr>
          <w:p w14:paraId="5626B79F" w14:textId="07ACE7F7" w:rsidR="00DD3A94" w:rsidRPr="00552BB0" w:rsidRDefault="00DD3A94" w:rsidP="009D48A4">
            <w:pPr>
              <w:pStyle w:val="TableParagraph"/>
              <w:widowControl/>
              <w:spacing w:before="120" w:after="120"/>
              <w:ind w:left="110"/>
              <w:jc w:val="center"/>
              <w:rPr>
                <w:u w:val="single"/>
              </w:rPr>
            </w:pPr>
            <w:r w:rsidRPr="00552BB0">
              <w:rPr>
                <w:u w:val="single"/>
              </w:rPr>
              <w:t>Indicateur de l</w:t>
            </w:r>
            <w:r w:rsidR="005C3C29" w:rsidRPr="00552BB0">
              <w:rPr>
                <w:u w:val="single"/>
              </w:rPr>
              <w:t>’</w:t>
            </w:r>
            <w:r w:rsidRPr="00552BB0">
              <w:rPr>
                <w:u w:val="single"/>
              </w:rPr>
              <w:t>objectif</w:t>
            </w:r>
            <w:r w:rsidR="005C3C29" w:rsidRPr="009D48A4">
              <w:t> :</w:t>
            </w:r>
          </w:p>
          <w:p w14:paraId="265F303F" w14:textId="77777777" w:rsidR="00DD3A94" w:rsidRPr="00552BB0" w:rsidRDefault="00DD3A94" w:rsidP="009D48A4">
            <w:pPr>
              <w:pStyle w:val="TableParagraph"/>
              <w:widowControl/>
              <w:spacing w:before="120" w:after="120"/>
              <w:ind w:left="110"/>
            </w:pPr>
            <w:r w:rsidRPr="00552BB0">
              <w:t>À la fin de la mise en œuvre du projet, au moins 60% des participants ont amélioré leurs connaissances, leurs compétences et leurs capacités à fournir des services aux parties prenantes de la propriété intellectuelle en temps de crise.</w:t>
            </w:r>
          </w:p>
        </w:tc>
      </w:tr>
      <w:tr w:rsidR="00DD3A94" w:rsidRPr="00552BB0" w14:paraId="3163F87E" w14:textId="77777777" w:rsidTr="009D48A4">
        <w:trPr>
          <w:trHeight w:val="280"/>
        </w:trPr>
        <w:tc>
          <w:tcPr>
            <w:tcW w:w="4676" w:type="dxa"/>
            <w:shd w:val="clear" w:color="auto" w:fill="FFFFFF" w:themeFill="background1"/>
          </w:tcPr>
          <w:p w14:paraId="747950A2" w14:textId="55F67C13" w:rsidR="00DD3A94" w:rsidRPr="00552BB0" w:rsidRDefault="00DD3A94" w:rsidP="009D48A4">
            <w:pPr>
              <w:pStyle w:val="TableParagraph"/>
              <w:widowControl/>
              <w:spacing w:before="120" w:after="120"/>
              <w:ind w:left="110"/>
              <w:jc w:val="center"/>
              <w:rPr>
                <w:u w:val="single"/>
              </w:rPr>
            </w:pPr>
            <w:r w:rsidRPr="00552BB0">
              <w:rPr>
                <w:u w:val="single"/>
              </w:rPr>
              <w:t>Résultat du projet</w:t>
            </w:r>
            <w:r w:rsidR="005C3C29" w:rsidRPr="009D48A4">
              <w:t> :</w:t>
            </w:r>
          </w:p>
          <w:p w14:paraId="6D174B4A" w14:textId="63E22CA8" w:rsidR="00DD3A94" w:rsidRPr="00552BB0" w:rsidRDefault="00DD3A94" w:rsidP="009D48A4">
            <w:pPr>
              <w:pStyle w:val="TableParagraph"/>
              <w:widowControl/>
              <w:spacing w:before="120" w:after="120"/>
              <w:ind w:left="110"/>
            </w:pPr>
            <w:r w:rsidRPr="00552BB0">
              <w:t>Capacités renforcées de gestion des crises des offices nationaux de propriété intellectuelle afin d</w:t>
            </w:r>
            <w:r w:rsidR="005C3C29" w:rsidRPr="00552BB0">
              <w:t>’</w:t>
            </w:r>
            <w:r w:rsidRPr="00552BB0">
              <w:t>atténuer les risques et de réduire à un minimum l</w:t>
            </w:r>
            <w:r w:rsidR="005C3C29" w:rsidRPr="00552BB0">
              <w:t>’</w:t>
            </w:r>
            <w:r w:rsidRPr="00552BB0">
              <w:t>impact négatif sur l</w:t>
            </w:r>
            <w:r w:rsidR="005C3C29" w:rsidRPr="00552BB0">
              <w:t>’</w:t>
            </w:r>
            <w:r w:rsidRPr="00552BB0">
              <w:t>écosystème de la propriété intellectuelle.</w:t>
            </w:r>
          </w:p>
        </w:tc>
        <w:tc>
          <w:tcPr>
            <w:tcW w:w="4817" w:type="dxa"/>
            <w:shd w:val="clear" w:color="auto" w:fill="FFFFFF" w:themeFill="background1"/>
          </w:tcPr>
          <w:p w14:paraId="31B03A37" w14:textId="43EB87B3" w:rsidR="00DD3A94" w:rsidRPr="00552BB0" w:rsidRDefault="00DD3A94" w:rsidP="009D48A4">
            <w:pPr>
              <w:pStyle w:val="TableParagraph"/>
              <w:widowControl/>
              <w:spacing w:before="120" w:after="120"/>
              <w:ind w:left="110"/>
              <w:jc w:val="center"/>
              <w:rPr>
                <w:u w:val="single"/>
              </w:rPr>
            </w:pPr>
            <w:r w:rsidRPr="00552BB0">
              <w:rPr>
                <w:u w:val="single"/>
              </w:rPr>
              <w:t>Indicateur de réussite</w:t>
            </w:r>
            <w:r w:rsidR="005C3C29" w:rsidRPr="009D48A4">
              <w:t> :</w:t>
            </w:r>
          </w:p>
          <w:p w14:paraId="50B60BD9" w14:textId="5990E40F" w:rsidR="00DD3A94" w:rsidRPr="00552BB0" w:rsidRDefault="00DD3A94" w:rsidP="009D48A4">
            <w:pPr>
              <w:pStyle w:val="TableParagraph"/>
              <w:widowControl/>
              <w:numPr>
                <w:ilvl w:val="0"/>
                <w:numId w:val="16"/>
              </w:numPr>
              <w:spacing w:before="120" w:after="120"/>
              <w:ind w:left="423" w:hanging="283"/>
            </w:pPr>
            <w:r w:rsidRPr="00552BB0">
              <w:t>Mise en place d</w:t>
            </w:r>
            <w:r w:rsidR="005C3C29" w:rsidRPr="00552BB0">
              <w:t>’</w:t>
            </w:r>
            <w:r w:rsidRPr="00552BB0">
              <w:t>un dispositif de résilience organisationnelle au sein des offices nationaux de propriété intellectuelle.</w:t>
            </w:r>
          </w:p>
          <w:p w14:paraId="72F162B0" w14:textId="32A90571" w:rsidR="00DD3A94" w:rsidRPr="00552BB0" w:rsidRDefault="00DD3A94" w:rsidP="009D48A4">
            <w:pPr>
              <w:pStyle w:val="TableParagraph"/>
              <w:widowControl/>
              <w:numPr>
                <w:ilvl w:val="0"/>
                <w:numId w:val="16"/>
              </w:numPr>
              <w:spacing w:before="120" w:after="120"/>
              <w:ind w:left="423" w:hanging="283"/>
              <w:rPr>
                <w:u w:val="single"/>
              </w:rPr>
            </w:pPr>
            <w:r w:rsidRPr="00552BB0">
              <w:t>Mise en place d</w:t>
            </w:r>
            <w:r w:rsidR="005C3C29" w:rsidRPr="00552BB0">
              <w:t>’</w:t>
            </w:r>
            <w:r w:rsidRPr="00552BB0">
              <w:t>un réseau de spécialistes de la propriété intellectuelle pour faciliter la fourniture de services, l</w:t>
            </w:r>
            <w:r w:rsidR="005C3C29" w:rsidRPr="00552BB0">
              <w:t>’</w:t>
            </w:r>
            <w:r w:rsidRPr="00552BB0">
              <w:t>échange d</w:t>
            </w:r>
            <w:r w:rsidR="005C3C29" w:rsidRPr="00552BB0">
              <w:t>’</w:t>
            </w:r>
            <w:r w:rsidRPr="00552BB0">
              <w:t>informations et la coopération en temps de crise.</w:t>
            </w:r>
          </w:p>
        </w:tc>
      </w:tr>
      <w:tr w:rsidR="00DD3A94" w:rsidRPr="00552BB0" w14:paraId="1F10B235" w14:textId="77777777" w:rsidTr="009D48A4">
        <w:trPr>
          <w:trHeight w:val="280"/>
        </w:trPr>
        <w:tc>
          <w:tcPr>
            <w:tcW w:w="4676" w:type="dxa"/>
            <w:shd w:val="clear" w:color="auto" w:fill="FFFFFF" w:themeFill="background1"/>
          </w:tcPr>
          <w:p w14:paraId="6340CBAB" w14:textId="4B5B9575" w:rsidR="00DD3A94" w:rsidRPr="00552BB0" w:rsidRDefault="00DD3A94" w:rsidP="009D48A4">
            <w:pPr>
              <w:pStyle w:val="TableParagraph"/>
              <w:keepNext/>
              <w:widowControl/>
              <w:spacing w:before="120" w:after="120"/>
              <w:ind w:left="110"/>
              <w:jc w:val="center"/>
              <w:rPr>
                <w:u w:val="single"/>
              </w:rPr>
            </w:pPr>
            <w:r w:rsidRPr="00552BB0">
              <w:rPr>
                <w:u w:val="single"/>
              </w:rPr>
              <w:t>Résultats du projet</w:t>
            </w:r>
            <w:r w:rsidR="005C3C29" w:rsidRPr="009D48A4">
              <w:t> :</w:t>
            </w:r>
          </w:p>
          <w:p w14:paraId="69F0C3BB" w14:textId="085A00EC" w:rsidR="00DD3A94" w:rsidRPr="00552BB0" w:rsidRDefault="00DD3A94" w:rsidP="009D48A4">
            <w:pPr>
              <w:pStyle w:val="TableParagraph"/>
              <w:widowControl/>
              <w:spacing w:before="120"/>
              <w:ind w:left="115"/>
            </w:pPr>
            <w:r w:rsidRPr="00552BB0">
              <w:t>Élaboration d</w:t>
            </w:r>
            <w:r w:rsidR="005C3C29" w:rsidRPr="00552BB0">
              <w:t>’</w:t>
            </w:r>
            <w:r w:rsidRPr="00552BB0">
              <w:t>un cadre stratégique, réalisable et</w:t>
            </w:r>
            <w:r w:rsidR="00C91678" w:rsidRPr="00552BB0">
              <w:t xml:space="preserve"> f</w:t>
            </w:r>
            <w:r w:rsidRPr="00552BB0">
              <w:t>onctionnel, de gestion des crises pour les offices nationaux de propriété intellectuelle, qui leur permet de continuer à fournir une assistance adéquate aux parties prenantes de l</w:t>
            </w:r>
            <w:r w:rsidR="005C3C29" w:rsidRPr="00552BB0">
              <w:t>’</w:t>
            </w:r>
            <w:r w:rsidRPr="00552BB0">
              <w:t>écosystème de la propriété intellectuelle en temps de crise.</w:t>
            </w:r>
          </w:p>
        </w:tc>
        <w:tc>
          <w:tcPr>
            <w:tcW w:w="4817" w:type="dxa"/>
            <w:shd w:val="clear" w:color="auto" w:fill="FFFFFF" w:themeFill="background1"/>
          </w:tcPr>
          <w:p w14:paraId="5491D02C" w14:textId="6D0B3C72" w:rsidR="00DD3A94" w:rsidRPr="00552BB0" w:rsidRDefault="00DD3A94" w:rsidP="009D48A4">
            <w:pPr>
              <w:pStyle w:val="TableParagraph"/>
              <w:keepNext/>
              <w:keepLines/>
              <w:widowControl/>
              <w:spacing w:before="120" w:after="120"/>
              <w:ind w:left="110"/>
              <w:jc w:val="center"/>
              <w:rPr>
                <w:u w:val="single"/>
              </w:rPr>
            </w:pPr>
            <w:r w:rsidRPr="00552BB0">
              <w:rPr>
                <w:u w:val="single"/>
              </w:rPr>
              <w:t>Indicateur de résultat</w:t>
            </w:r>
            <w:r w:rsidR="005C3C29" w:rsidRPr="009D48A4">
              <w:t> :</w:t>
            </w:r>
          </w:p>
          <w:p w14:paraId="78EC0FC2" w14:textId="609A2993" w:rsidR="00DD3A94" w:rsidRPr="00552BB0" w:rsidRDefault="00DD3A94" w:rsidP="009D48A4">
            <w:pPr>
              <w:pStyle w:val="TableParagraph"/>
              <w:widowControl/>
              <w:numPr>
                <w:ilvl w:val="0"/>
                <w:numId w:val="16"/>
              </w:numPr>
              <w:spacing w:before="120" w:after="120"/>
              <w:ind w:left="423" w:hanging="283"/>
            </w:pPr>
            <w:r w:rsidRPr="00552BB0">
              <w:t>Étude exploratoire sur les pratiques recommandées, les expériences et les enseignements tirés de situations de crise spécifiques ou d</w:t>
            </w:r>
            <w:r w:rsidR="005C3C29" w:rsidRPr="00552BB0">
              <w:t>’</w:t>
            </w:r>
            <w:r w:rsidRPr="00552BB0">
              <w:t>urgences.</w:t>
            </w:r>
          </w:p>
          <w:p w14:paraId="13257546" w14:textId="07AD31B6" w:rsidR="00DD3A94" w:rsidRPr="00552BB0" w:rsidRDefault="00DD3A94" w:rsidP="009D48A4">
            <w:pPr>
              <w:pStyle w:val="TableParagraph"/>
              <w:widowControl/>
              <w:numPr>
                <w:ilvl w:val="0"/>
                <w:numId w:val="16"/>
              </w:numPr>
              <w:spacing w:before="120" w:after="120"/>
              <w:ind w:left="423" w:hanging="283"/>
            </w:pPr>
            <w:r w:rsidRPr="00552BB0">
              <w:t>Étude exploratoire validée par</w:t>
            </w:r>
            <w:r w:rsidR="005C3C29" w:rsidRPr="00552BB0">
              <w:t xml:space="preserve"> le CDI</w:t>
            </w:r>
            <w:r w:rsidRPr="00552BB0">
              <w:t>P.</w:t>
            </w:r>
          </w:p>
        </w:tc>
      </w:tr>
      <w:tr w:rsidR="00DD3A94" w:rsidRPr="00552BB0" w14:paraId="57C01469" w14:textId="77777777" w:rsidTr="009D48A4">
        <w:trPr>
          <w:trHeight w:val="280"/>
        </w:trPr>
        <w:tc>
          <w:tcPr>
            <w:tcW w:w="4676" w:type="dxa"/>
            <w:shd w:val="clear" w:color="auto" w:fill="FFFFFF" w:themeFill="background1"/>
          </w:tcPr>
          <w:p w14:paraId="5E91626F" w14:textId="66377605" w:rsidR="00DD3A94" w:rsidRPr="00552BB0" w:rsidRDefault="00DD3A94" w:rsidP="009D48A4">
            <w:pPr>
              <w:pStyle w:val="TableParagraph"/>
              <w:widowControl/>
              <w:spacing w:before="120" w:after="120"/>
              <w:ind w:left="110"/>
            </w:pPr>
            <w:r w:rsidRPr="00552BB0">
              <w:t>Échanger de données d</w:t>
            </w:r>
            <w:r w:rsidR="005C3C29" w:rsidRPr="00552BB0">
              <w:t>’</w:t>
            </w:r>
            <w:r w:rsidRPr="00552BB0">
              <w:t>expérience nationales entre les décideurs politiques, les régulateurs et les spécialistes des offices nationaux de propriété intellectuelle.</w:t>
            </w:r>
          </w:p>
        </w:tc>
        <w:tc>
          <w:tcPr>
            <w:tcW w:w="4817" w:type="dxa"/>
            <w:shd w:val="clear" w:color="auto" w:fill="FFFFFF" w:themeFill="background1"/>
          </w:tcPr>
          <w:p w14:paraId="0A7A2B99" w14:textId="77777777" w:rsidR="00DD3A94" w:rsidRPr="00552BB0" w:rsidRDefault="00DD3A94" w:rsidP="009D48A4">
            <w:pPr>
              <w:pStyle w:val="TableParagraph"/>
              <w:widowControl/>
              <w:numPr>
                <w:ilvl w:val="0"/>
                <w:numId w:val="17"/>
              </w:numPr>
              <w:spacing w:before="120" w:after="120"/>
              <w:ind w:left="423" w:hanging="283"/>
            </w:pPr>
            <w:r w:rsidRPr="00552BB0">
              <w:t>Au moins un séminaire organisé sur la gestion de la propriété intellectuelle et la fourniture de services en temps de crise.</w:t>
            </w:r>
          </w:p>
          <w:p w14:paraId="0BE735F2" w14:textId="77777777" w:rsidR="00DD3A94" w:rsidRPr="00552BB0" w:rsidRDefault="00DD3A94" w:rsidP="009D48A4">
            <w:pPr>
              <w:pStyle w:val="TableParagraph"/>
              <w:widowControl/>
              <w:numPr>
                <w:ilvl w:val="0"/>
                <w:numId w:val="17"/>
              </w:numPr>
              <w:spacing w:before="120" w:after="120"/>
              <w:ind w:left="423" w:hanging="283"/>
            </w:pPr>
            <w:r w:rsidRPr="00552BB0">
              <w:t>Au moins 80% des participants ont jugé utiles les informations fournies dans le cadre du séminaire.</w:t>
            </w:r>
          </w:p>
          <w:p w14:paraId="400D4295" w14:textId="4F392626" w:rsidR="00DD3A94" w:rsidRPr="00552BB0" w:rsidRDefault="00DD3A94" w:rsidP="009D48A4">
            <w:pPr>
              <w:pStyle w:val="TableParagraph"/>
              <w:widowControl/>
              <w:numPr>
                <w:ilvl w:val="0"/>
                <w:numId w:val="17"/>
              </w:numPr>
              <w:spacing w:before="120" w:after="120"/>
              <w:ind w:left="423" w:hanging="283"/>
            </w:pPr>
            <w:r w:rsidRPr="00552BB0">
              <w:t>Au moins un spécialiste par région identifié et remplissant les conditions requises pour pouvoir être inclus dans la base de données relative à la liste des consultants de l</w:t>
            </w:r>
            <w:r w:rsidR="005C3C29" w:rsidRPr="00552BB0">
              <w:t>’</w:t>
            </w:r>
            <w:r w:rsidRPr="00552BB0">
              <w:t>OMPI (IP</w:t>
            </w:r>
            <w:r w:rsidR="00B065DC">
              <w:noBreakHyphen/>
            </w:r>
            <w:r w:rsidRPr="00552BB0">
              <w:t>ROC).</w:t>
            </w:r>
          </w:p>
        </w:tc>
      </w:tr>
      <w:tr w:rsidR="00DD3A94" w:rsidRPr="00552BB0" w14:paraId="60C1FE85" w14:textId="77777777" w:rsidTr="009D48A4">
        <w:trPr>
          <w:trHeight w:val="280"/>
        </w:trPr>
        <w:tc>
          <w:tcPr>
            <w:tcW w:w="4676" w:type="dxa"/>
            <w:shd w:val="clear" w:color="auto" w:fill="FFFFFF" w:themeFill="background1"/>
          </w:tcPr>
          <w:p w14:paraId="7EDBE884" w14:textId="366DB23D" w:rsidR="00DD3A94" w:rsidRPr="00552BB0" w:rsidRDefault="00DD3A94" w:rsidP="009D48A4">
            <w:pPr>
              <w:pStyle w:val="TableParagraph"/>
              <w:widowControl/>
              <w:spacing w:before="120" w:after="120"/>
              <w:ind w:left="110"/>
            </w:pPr>
            <w:r w:rsidRPr="00552BB0">
              <w:t>Élaboration, en concertation avec les divisions compétentes de l</w:t>
            </w:r>
            <w:r w:rsidR="005C3C29" w:rsidRPr="00552BB0">
              <w:t>’</w:t>
            </w:r>
            <w:r w:rsidRPr="00552BB0">
              <w:t>OMPI, d</w:t>
            </w:r>
            <w:r w:rsidR="005C3C29" w:rsidRPr="00552BB0">
              <w:t>’</w:t>
            </w:r>
            <w:r w:rsidRPr="00552BB0">
              <w:t>outils de sensibilisation à la propriété intellectuelle et à la gestion des crises.</w:t>
            </w:r>
          </w:p>
        </w:tc>
        <w:tc>
          <w:tcPr>
            <w:tcW w:w="4817" w:type="dxa"/>
            <w:shd w:val="clear" w:color="auto" w:fill="FFFFFF" w:themeFill="background1"/>
          </w:tcPr>
          <w:p w14:paraId="55741121" w14:textId="7F2027E8" w:rsidR="00DD3A94" w:rsidRPr="00552BB0" w:rsidRDefault="00DD3A94" w:rsidP="009D48A4">
            <w:pPr>
              <w:pStyle w:val="TableParagraph"/>
              <w:widowControl/>
              <w:spacing w:before="120" w:after="120"/>
              <w:ind w:left="110"/>
            </w:pPr>
            <w:r w:rsidRPr="00552BB0">
              <w:t>Un ensemble d</w:t>
            </w:r>
            <w:r w:rsidR="005C3C29" w:rsidRPr="00552BB0">
              <w:t>’</w:t>
            </w:r>
            <w:r w:rsidRPr="00552BB0">
              <w:t>outils de communication, de matériel de formation, de guides et un aperçu des options stratégiques disponibles, adaptés aux représentants des offices nationaux de propriété intellectuelle, ont été élaborés avec succès et diffusés auprès de tous les offices nationaux de propriété intellectuelle par l</w:t>
            </w:r>
            <w:r w:rsidR="005C3C29" w:rsidRPr="00552BB0">
              <w:t>’</w:t>
            </w:r>
            <w:r w:rsidRPr="00552BB0">
              <w:t>intermédiaire d</w:t>
            </w:r>
            <w:r w:rsidR="005C3C29" w:rsidRPr="00552BB0">
              <w:t>’</w:t>
            </w:r>
            <w:r w:rsidRPr="00552BB0">
              <w:t xml:space="preserve">une </w:t>
            </w:r>
            <w:r w:rsidR="005C3C29" w:rsidRPr="00552BB0">
              <w:t>page W</w:t>
            </w:r>
            <w:r w:rsidRPr="00552BB0">
              <w:t>eb de l</w:t>
            </w:r>
            <w:r w:rsidR="005C3C29" w:rsidRPr="00552BB0">
              <w:t>’</w:t>
            </w:r>
            <w:r w:rsidRPr="00552BB0">
              <w:t>OMPI consacrée à ce projet.</w:t>
            </w:r>
          </w:p>
        </w:tc>
      </w:tr>
      <w:tr w:rsidR="00DD3A94" w:rsidRPr="00552BB0" w14:paraId="09E8DF05" w14:textId="77777777" w:rsidTr="009D48A4">
        <w:trPr>
          <w:trHeight w:val="280"/>
        </w:trPr>
        <w:tc>
          <w:tcPr>
            <w:tcW w:w="9493" w:type="dxa"/>
            <w:gridSpan w:val="2"/>
            <w:shd w:val="clear" w:color="auto" w:fill="00FFCC"/>
          </w:tcPr>
          <w:p w14:paraId="0D4E24DD" w14:textId="77777777" w:rsidR="00DD3A94" w:rsidRPr="00552BB0" w:rsidRDefault="00DD3A94" w:rsidP="009D48A4">
            <w:pPr>
              <w:pStyle w:val="TableParagraph"/>
              <w:widowControl/>
              <w:spacing w:before="120" w:after="120"/>
              <w:ind w:left="110"/>
              <w:jc w:val="center"/>
              <w:rPr>
                <w:b/>
                <w:bCs/>
              </w:rPr>
            </w:pPr>
            <w:r w:rsidRPr="00552BB0">
              <w:rPr>
                <w:b/>
              </w:rPr>
              <w:t>2.5 Stratégie de pérennisation</w:t>
            </w:r>
          </w:p>
        </w:tc>
      </w:tr>
      <w:tr w:rsidR="00DD3A94" w:rsidRPr="00552BB0" w14:paraId="561EDE29" w14:textId="77777777" w:rsidTr="009D48A4">
        <w:trPr>
          <w:trHeight w:val="370"/>
        </w:trPr>
        <w:tc>
          <w:tcPr>
            <w:tcW w:w="9493" w:type="dxa"/>
            <w:gridSpan w:val="2"/>
          </w:tcPr>
          <w:p w14:paraId="4EE09647" w14:textId="35C3FA97" w:rsidR="005C3C29" w:rsidRPr="00552BB0" w:rsidRDefault="00DD3A94" w:rsidP="009D48A4">
            <w:pPr>
              <w:pStyle w:val="TableParagraph"/>
              <w:widowControl/>
              <w:spacing w:before="120" w:after="120"/>
              <w:ind w:left="119"/>
            </w:pPr>
            <w:r w:rsidRPr="00552BB0">
              <w:t>Afin de pérenniser les résultats du projet, l</w:t>
            </w:r>
            <w:r w:rsidR="005C3C29" w:rsidRPr="00552BB0">
              <w:t>’</w:t>
            </w:r>
            <w:r w:rsidRPr="00552BB0">
              <w:t>OMPI créera une page Web spécifique offrant un accès aisé à tout le matériel fourni dans le cadre de ce projet.</w:t>
            </w:r>
          </w:p>
          <w:p w14:paraId="060DAFD3" w14:textId="69B48F0B" w:rsidR="00DD3A94" w:rsidRPr="00552BB0" w:rsidRDefault="00DD3A94" w:rsidP="009D48A4">
            <w:pPr>
              <w:pStyle w:val="TableParagraph"/>
              <w:widowControl/>
              <w:spacing w:before="120" w:after="120"/>
              <w:ind w:left="119"/>
            </w:pPr>
            <w:r w:rsidRPr="00552BB0">
              <w:t>Des mises à jour sur la stratégie de pérennisation seront communiquées à mesure de la mise en œuvre du projet.</w:t>
            </w:r>
          </w:p>
        </w:tc>
      </w:tr>
      <w:tr w:rsidR="00DD3A94" w:rsidRPr="00552BB0" w14:paraId="4C4A58F4" w14:textId="77777777" w:rsidTr="009D48A4">
        <w:trPr>
          <w:trHeight w:val="253"/>
        </w:trPr>
        <w:tc>
          <w:tcPr>
            <w:tcW w:w="9493" w:type="dxa"/>
            <w:gridSpan w:val="2"/>
            <w:shd w:val="clear" w:color="auto" w:fill="00FFCC"/>
          </w:tcPr>
          <w:p w14:paraId="793DA0AF" w14:textId="77777777" w:rsidR="00DD3A94" w:rsidRPr="00552BB0" w:rsidRDefault="00DD3A94" w:rsidP="009D48A4">
            <w:pPr>
              <w:pStyle w:val="TableParagraph"/>
              <w:widowControl/>
              <w:spacing w:before="120" w:after="120"/>
              <w:ind w:left="102" w:right="90"/>
              <w:jc w:val="center"/>
              <w:rPr>
                <w:b/>
              </w:rPr>
            </w:pPr>
            <w:r w:rsidRPr="00552BB0">
              <w:rPr>
                <w:b/>
              </w:rPr>
              <w:t>2.6 Critères de sélection des pays pilotes/bénéficiaires</w:t>
            </w:r>
          </w:p>
        </w:tc>
      </w:tr>
      <w:tr w:rsidR="00DD3A94" w:rsidRPr="00552BB0" w14:paraId="41EF6853" w14:textId="77777777" w:rsidTr="009D48A4">
        <w:trPr>
          <w:trHeight w:val="253"/>
        </w:trPr>
        <w:tc>
          <w:tcPr>
            <w:tcW w:w="9493" w:type="dxa"/>
            <w:gridSpan w:val="2"/>
            <w:shd w:val="clear" w:color="auto" w:fill="FFFFFF" w:themeFill="background1"/>
          </w:tcPr>
          <w:p w14:paraId="5B435A63" w14:textId="77777777" w:rsidR="00DD3A94" w:rsidRPr="00552BB0" w:rsidRDefault="00DD3A94" w:rsidP="009D48A4">
            <w:pPr>
              <w:pStyle w:val="TableParagraph"/>
              <w:widowControl/>
              <w:spacing w:before="120" w:after="120"/>
              <w:ind w:left="102" w:right="90"/>
              <w:jc w:val="center"/>
            </w:pPr>
            <w:r w:rsidRPr="00552BB0">
              <w:t>Sans objet.</w:t>
            </w:r>
          </w:p>
        </w:tc>
      </w:tr>
      <w:tr w:rsidR="00DD3A94" w:rsidRPr="00552BB0" w14:paraId="4E9D6A1A" w14:textId="77777777" w:rsidTr="009D48A4">
        <w:trPr>
          <w:trHeight w:val="253"/>
        </w:trPr>
        <w:tc>
          <w:tcPr>
            <w:tcW w:w="9493" w:type="dxa"/>
            <w:gridSpan w:val="2"/>
            <w:shd w:val="clear" w:color="auto" w:fill="00FFCC"/>
          </w:tcPr>
          <w:p w14:paraId="18820242" w14:textId="77777777" w:rsidR="00DD3A94" w:rsidRPr="00552BB0" w:rsidRDefault="00DD3A94" w:rsidP="009D48A4">
            <w:pPr>
              <w:pStyle w:val="TableParagraph"/>
              <w:widowControl/>
              <w:spacing w:before="120" w:after="120"/>
              <w:ind w:left="102" w:right="90"/>
              <w:jc w:val="center"/>
              <w:rPr>
                <w:b/>
              </w:rPr>
            </w:pPr>
            <w:r w:rsidRPr="00552BB0">
              <w:rPr>
                <w:b/>
              </w:rPr>
              <w:t>2.7 Entité organisationnelle de mise en œuvre</w:t>
            </w:r>
          </w:p>
        </w:tc>
      </w:tr>
      <w:tr w:rsidR="00DD3A94" w:rsidRPr="00552BB0" w14:paraId="76863AFA" w14:textId="77777777" w:rsidTr="009D48A4">
        <w:trPr>
          <w:trHeight w:val="64"/>
        </w:trPr>
        <w:tc>
          <w:tcPr>
            <w:tcW w:w="9493" w:type="dxa"/>
            <w:gridSpan w:val="2"/>
          </w:tcPr>
          <w:p w14:paraId="07FC5645" w14:textId="722D4A35" w:rsidR="00DD3A94" w:rsidRPr="00552BB0" w:rsidRDefault="00DD3A94" w:rsidP="009D48A4">
            <w:pPr>
              <w:pStyle w:val="TableParagraph"/>
              <w:widowControl/>
              <w:spacing w:before="120" w:after="120"/>
              <w:ind w:left="110" w:right="614"/>
            </w:pPr>
            <w:r w:rsidRPr="00552BB0">
              <w:t>Division des solutions opérationnelles à l</w:t>
            </w:r>
            <w:r w:rsidR="005C3C29" w:rsidRPr="00552BB0">
              <w:t>’</w:t>
            </w:r>
            <w:r w:rsidRPr="00552BB0">
              <w:t>intention des offices de propriété intellectuelle, Secteur de l</w:t>
            </w:r>
            <w:r w:rsidR="005C3C29" w:rsidRPr="00552BB0">
              <w:t>’</w:t>
            </w:r>
            <w:r w:rsidRPr="00552BB0">
              <w:t>infrastructure et des plateformes</w:t>
            </w:r>
          </w:p>
        </w:tc>
      </w:tr>
      <w:tr w:rsidR="00DD3A94" w:rsidRPr="00552BB0" w14:paraId="67BE42E0" w14:textId="77777777" w:rsidTr="009D48A4">
        <w:trPr>
          <w:trHeight w:val="254"/>
        </w:trPr>
        <w:tc>
          <w:tcPr>
            <w:tcW w:w="9493" w:type="dxa"/>
            <w:gridSpan w:val="2"/>
            <w:shd w:val="clear" w:color="auto" w:fill="00FFCC"/>
          </w:tcPr>
          <w:p w14:paraId="16918594" w14:textId="5749B17E" w:rsidR="00DD3A94" w:rsidRPr="00552BB0" w:rsidRDefault="00DD3A94" w:rsidP="009D48A4">
            <w:pPr>
              <w:pStyle w:val="TableParagraph"/>
              <w:keepNext/>
              <w:widowControl/>
              <w:spacing w:before="120" w:after="120"/>
              <w:ind w:left="102" w:right="90"/>
              <w:jc w:val="center"/>
              <w:rPr>
                <w:b/>
              </w:rPr>
            </w:pPr>
            <w:r w:rsidRPr="00552BB0">
              <w:rPr>
                <w:b/>
              </w:rPr>
              <w:t>2.8 Liens avec d</w:t>
            </w:r>
            <w:r w:rsidR="005C3C29" w:rsidRPr="00552BB0">
              <w:rPr>
                <w:b/>
              </w:rPr>
              <w:t>’</w:t>
            </w:r>
            <w:r w:rsidRPr="00552BB0">
              <w:rPr>
                <w:b/>
              </w:rPr>
              <w:t>autres entités organisationnelles</w:t>
            </w:r>
          </w:p>
        </w:tc>
      </w:tr>
      <w:tr w:rsidR="00DD3A94" w:rsidRPr="00552BB0" w14:paraId="08939949" w14:textId="77777777" w:rsidTr="009D48A4">
        <w:trPr>
          <w:trHeight w:val="50"/>
        </w:trPr>
        <w:tc>
          <w:tcPr>
            <w:tcW w:w="9493" w:type="dxa"/>
            <w:gridSpan w:val="2"/>
          </w:tcPr>
          <w:p w14:paraId="0918697D" w14:textId="2B299AE7" w:rsidR="00DD3A94" w:rsidRPr="00552BB0" w:rsidRDefault="00DD3A94" w:rsidP="009D48A4">
            <w:pPr>
              <w:pStyle w:val="TableParagraph"/>
              <w:keepLines/>
              <w:widowControl/>
              <w:spacing w:before="120" w:after="120"/>
              <w:ind w:left="110"/>
            </w:pPr>
            <w:r w:rsidRPr="00552BB0">
              <w:t xml:space="preserve">Secteur du développement régional et </w:t>
            </w:r>
            <w:proofErr w:type="gramStart"/>
            <w:r w:rsidRPr="00552BB0">
              <w:t xml:space="preserve">national; </w:t>
            </w:r>
            <w:r w:rsidR="00FC1AAD" w:rsidRPr="00552BB0">
              <w:t xml:space="preserve"> </w:t>
            </w:r>
            <w:r w:rsidRPr="00552BB0">
              <w:t>Département</w:t>
            </w:r>
            <w:proofErr w:type="gramEnd"/>
            <w:r w:rsidRPr="00552BB0">
              <w:t xml:space="preserve"> des services</w:t>
            </w:r>
            <w:r w:rsidR="005C3C29" w:rsidRPr="00552BB0">
              <w:t xml:space="preserve"> du PCT</w:t>
            </w:r>
            <w:r w:rsidRPr="00552BB0">
              <w:t xml:space="preserve">; </w:t>
            </w:r>
            <w:r w:rsidR="00FC1AAD" w:rsidRPr="00552BB0">
              <w:t xml:space="preserve"> </w:t>
            </w:r>
            <w:r w:rsidRPr="00552BB0">
              <w:t>Service d</w:t>
            </w:r>
            <w:r w:rsidR="005C3C29" w:rsidRPr="00552BB0">
              <w:t>’</w:t>
            </w:r>
            <w:r w:rsidRPr="00552BB0">
              <w:t>enregistrement de Madrid;  Service d</w:t>
            </w:r>
            <w:r w:rsidR="005C3C29" w:rsidRPr="00552BB0">
              <w:t>’</w:t>
            </w:r>
            <w:r w:rsidRPr="00552BB0">
              <w:t xml:space="preserve">enregistrement de </w:t>
            </w:r>
            <w:r w:rsidR="005C3C29" w:rsidRPr="00552BB0">
              <w:t>La Haye</w:t>
            </w:r>
            <w:r w:rsidRPr="00552BB0">
              <w:t xml:space="preserve">; </w:t>
            </w:r>
            <w:r w:rsidR="00FC1AAD" w:rsidRPr="00552BB0">
              <w:t xml:space="preserve"> </w:t>
            </w:r>
            <w:r w:rsidRPr="00552BB0">
              <w:t>Division de la gestion du droit d</w:t>
            </w:r>
            <w:r w:rsidR="005C3C29" w:rsidRPr="00552BB0">
              <w:t>’</w:t>
            </w:r>
            <w:r w:rsidRPr="00552BB0">
              <w:t xml:space="preserve">auteur; </w:t>
            </w:r>
            <w:r w:rsidR="00FC1AAD" w:rsidRPr="00552BB0">
              <w:t xml:space="preserve"> </w:t>
            </w:r>
            <w:r w:rsidRPr="00552BB0">
              <w:t xml:space="preserve">Division de la propriété intellectuelle pour les entreprises; </w:t>
            </w:r>
            <w:r w:rsidR="00FC1AAD" w:rsidRPr="00552BB0">
              <w:t xml:space="preserve"> </w:t>
            </w:r>
            <w:r w:rsidRPr="00552BB0">
              <w:t xml:space="preserve">Division de la promotion du respect de la propriété intellectuelle; </w:t>
            </w:r>
            <w:r w:rsidR="00FC1AAD" w:rsidRPr="00552BB0">
              <w:t xml:space="preserve"> </w:t>
            </w:r>
            <w:r w:rsidRPr="00552BB0">
              <w:t>Département des techniques de l</w:t>
            </w:r>
            <w:r w:rsidR="005C3C29" w:rsidRPr="00552BB0">
              <w:t>’</w:t>
            </w:r>
            <w:r w:rsidRPr="00552BB0">
              <w:t>information et de la communication.</w:t>
            </w:r>
          </w:p>
        </w:tc>
      </w:tr>
      <w:tr w:rsidR="00DD3A94" w:rsidRPr="00552BB0" w14:paraId="4F0D093B" w14:textId="77777777" w:rsidTr="009D48A4">
        <w:trPr>
          <w:trHeight w:val="361"/>
        </w:trPr>
        <w:tc>
          <w:tcPr>
            <w:tcW w:w="9493" w:type="dxa"/>
            <w:gridSpan w:val="2"/>
            <w:shd w:val="clear" w:color="auto" w:fill="00FFCC"/>
          </w:tcPr>
          <w:p w14:paraId="216C33D4" w14:textId="792CA410" w:rsidR="00DD3A94" w:rsidRPr="00552BB0" w:rsidRDefault="00DD3A94" w:rsidP="009D48A4">
            <w:pPr>
              <w:pStyle w:val="TableParagraph"/>
              <w:widowControl/>
              <w:spacing w:before="120" w:after="120"/>
              <w:ind w:left="110"/>
              <w:jc w:val="center"/>
            </w:pPr>
            <w:r w:rsidRPr="00552BB0">
              <w:rPr>
                <w:b/>
              </w:rPr>
              <w:t>2.9 Liens avec d</w:t>
            </w:r>
            <w:r w:rsidR="005C3C29" w:rsidRPr="00552BB0">
              <w:rPr>
                <w:b/>
              </w:rPr>
              <w:t>’</w:t>
            </w:r>
            <w:r w:rsidRPr="00552BB0">
              <w:rPr>
                <w:b/>
              </w:rPr>
              <w:t>autres projets du Plan d</w:t>
            </w:r>
            <w:r w:rsidR="005C3C29" w:rsidRPr="00552BB0">
              <w:rPr>
                <w:b/>
              </w:rPr>
              <w:t>’</w:t>
            </w:r>
            <w:r w:rsidRPr="00552BB0">
              <w:rPr>
                <w:b/>
              </w:rPr>
              <w:t>action pour le développement</w:t>
            </w:r>
          </w:p>
        </w:tc>
      </w:tr>
      <w:tr w:rsidR="00DD3A94" w:rsidRPr="00552BB0" w14:paraId="32A3636C" w14:textId="77777777" w:rsidTr="009D48A4">
        <w:trPr>
          <w:trHeight w:val="568"/>
        </w:trPr>
        <w:tc>
          <w:tcPr>
            <w:tcW w:w="9493" w:type="dxa"/>
            <w:gridSpan w:val="2"/>
          </w:tcPr>
          <w:p w14:paraId="422805A2" w14:textId="76F7C2CA" w:rsidR="00DD3A94" w:rsidRPr="00552BB0" w:rsidRDefault="00DD3A94" w:rsidP="009D48A4">
            <w:pPr>
              <w:pStyle w:val="TableParagraph"/>
              <w:widowControl/>
              <w:spacing w:before="120" w:after="120"/>
              <w:ind w:left="110"/>
            </w:pPr>
            <w:r w:rsidRPr="00552BB0">
              <w:t>Projet du Plan d</w:t>
            </w:r>
            <w:r w:rsidR="005C3C29" w:rsidRPr="00552BB0">
              <w:t>’</w:t>
            </w:r>
            <w:r w:rsidRPr="00552BB0">
              <w:t>action pour le développement relatif à des institutions de propriété intellectuelle efficaces (</w:t>
            </w:r>
            <w:hyperlink r:id="rId15" w:history="1">
              <w:r w:rsidRPr="00552BB0">
                <w:rPr>
                  <w:rStyle w:val="Hyperlink"/>
                </w:rPr>
                <w:t>CDIP/3/INF/2</w:t>
              </w:r>
            </w:hyperlink>
            <w:r w:rsidRPr="00552BB0">
              <w:t>)</w:t>
            </w:r>
          </w:p>
          <w:p w14:paraId="146CF298" w14:textId="75791F11" w:rsidR="00DD3A94" w:rsidRPr="00552BB0" w:rsidRDefault="00DD3A94" w:rsidP="009D48A4">
            <w:pPr>
              <w:pStyle w:val="TableParagraph"/>
              <w:widowControl/>
              <w:spacing w:before="120" w:after="120"/>
              <w:ind w:left="110"/>
            </w:pPr>
            <w:r w:rsidRPr="00552BB0">
              <w:t>Projet du Plan d</w:t>
            </w:r>
            <w:r w:rsidR="005C3C29" w:rsidRPr="00552BB0">
              <w:t>’</w:t>
            </w:r>
            <w:r w:rsidRPr="00552BB0">
              <w:t xml:space="preserve">action pour le développement relatif au renforcement des capacités des institutions de propriété intellectuelle et des utilisateurs </w:t>
            </w:r>
            <w:proofErr w:type="gramStart"/>
            <w:r w:rsidRPr="00552BB0">
              <w:t>aux niveaux national</w:t>
            </w:r>
            <w:proofErr w:type="gramEnd"/>
            <w:r w:rsidRPr="00552BB0">
              <w:t>, sous</w:t>
            </w:r>
            <w:r w:rsidR="00B065DC">
              <w:noBreakHyphen/>
            </w:r>
            <w:r w:rsidRPr="00552BB0">
              <w:t>régional et régional (</w:t>
            </w:r>
            <w:hyperlink r:id="rId16" w:history="1">
              <w:r w:rsidRPr="00552BB0">
                <w:rPr>
                  <w:rStyle w:val="Hyperlink"/>
                </w:rPr>
                <w:t>CDIP/3/INF/2</w:t>
              </w:r>
            </w:hyperlink>
            <w:r w:rsidRPr="00552BB0">
              <w:t>)</w:t>
            </w:r>
          </w:p>
        </w:tc>
      </w:tr>
      <w:tr w:rsidR="00DD3A94" w:rsidRPr="00552BB0" w14:paraId="0196FE7F" w14:textId="77777777" w:rsidTr="009D48A4">
        <w:trPr>
          <w:trHeight w:val="406"/>
        </w:trPr>
        <w:tc>
          <w:tcPr>
            <w:tcW w:w="9493" w:type="dxa"/>
            <w:gridSpan w:val="2"/>
            <w:shd w:val="clear" w:color="auto" w:fill="00FFCC"/>
          </w:tcPr>
          <w:p w14:paraId="4129F489" w14:textId="20134A43" w:rsidR="00DD3A94" w:rsidRPr="00552BB0" w:rsidRDefault="00DD3A94" w:rsidP="009D48A4">
            <w:pPr>
              <w:pStyle w:val="TableParagraph"/>
              <w:widowControl/>
              <w:spacing w:before="120" w:after="120"/>
              <w:ind w:left="110"/>
              <w:jc w:val="center"/>
            </w:pPr>
            <w:r w:rsidRPr="00552BB0">
              <w:rPr>
                <w:b/>
              </w:rPr>
              <w:t>2.10 Contribution aux résultats escomptés dans le Programme et le budget de l</w:t>
            </w:r>
            <w:r w:rsidR="005C3C29" w:rsidRPr="00552BB0">
              <w:rPr>
                <w:b/>
              </w:rPr>
              <w:t>’</w:t>
            </w:r>
            <w:r w:rsidRPr="00552BB0">
              <w:rPr>
                <w:b/>
              </w:rPr>
              <w:t>OMPI</w:t>
            </w:r>
          </w:p>
        </w:tc>
      </w:tr>
      <w:tr w:rsidR="00DD3A94" w:rsidRPr="00552BB0" w14:paraId="6B99D077" w14:textId="77777777" w:rsidTr="009D48A4">
        <w:trPr>
          <w:trHeight w:val="451"/>
        </w:trPr>
        <w:tc>
          <w:tcPr>
            <w:tcW w:w="9493" w:type="dxa"/>
            <w:gridSpan w:val="2"/>
          </w:tcPr>
          <w:p w14:paraId="18ADEFA2" w14:textId="47DF9F16" w:rsidR="00DD3A94" w:rsidRPr="00552BB0" w:rsidRDefault="00DD3A94" w:rsidP="009D48A4">
            <w:pPr>
              <w:pStyle w:val="TableParagraph"/>
              <w:widowControl/>
              <w:spacing w:before="120" w:after="120"/>
              <w:ind w:left="110"/>
              <w:jc w:val="center"/>
              <w:rPr>
                <w:u w:val="single"/>
              </w:rPr>
            </w:pPr>
            <w:r w:rsidRPr="00552BB0">
              <w:rPr>
                <w:u w:val="single"/>
              </w:rPr>
              <w:t>Programme et budget pour l</w:t>
            </w:r>
            <w:r w:rsidR="005C3C29" w:rsidRPr="00552BB0">
              <w:rPr>
                <w:u w:val="single"/>
              </w:rPr>
              <w:t>’</w:t>
            </w:r>
            <w:r w:rsidRPr="00552BB0">
              <w:rPr>
                <w:u w:val="single"/>
              </w:rPr>
              <w:t>exercice biennal 2024</w:t>
            </w:r>
            <w:r w:rsidR="00B065DC">
              <w:rPr>
                <w:u w:val="single"/>
              </w:rPr>
              <w:noBreakHyphen/>
            </w:r>
            <w:r w:rsidRPr="00552BB0">
              <w:rPr>
                <w:u w:val="single"/>
              </w:rPr>
              <w:t>2025</w:t>
            </w:r>
          </w:p>
          <w:p w14:paraId="63CED4BF" w14:textId="7FA315CB" w:rsidR="00DD3A94" w:rsidRPr="00552BB0" w:rsidRDefault="00DD3A94" w:rsidP="009D48A4">
            <w:pPr>
              <w:pStyle w:val="TableParagraph"/>
              <w:widowControl/>
              <w:spacing w:before="120" w:after="120"/>
              <w:ind w:left="110"/>
            </w:pPr>
            <w:r w:rsidRPr="00552BB0">
              <w:t>4.2 Mise en place d</w:t>
            </w:r>
            <w:r w:rsidR="005C3C29" w:rsidRPr="00552BB0">
              <w:t>’</w:t>
            </w:r>
            <w:r w:rsidRPr="00552BB0">
              <w:t>écosystèmes équilibrés et efficaces en matière de propriété intellectuelle, d</w:t>
            </w:r>
            <w:r w:rsidR="005C3C29" w:rsidRPr="00552BB0">
              <w:t>’</w:t>
            </w:r>
            <w:r w:rsidRPr="00552BB0">
              <w:t>innovation et de création dans les États membres.</w:t>
            </w:r>
          </w:p>
          <w:p w14:paraId="10C47FE4" w14:textId="77777777" w:rsidR="00DD3A94" w:rsidRPr="00552BB0" w:rsidRDefault="00DD3A94" w:rsidP="009D48A4">
            <w:pPr>
              <w:pStyle w:val="TableParagraph"/>
              <w:widowControl/>
              <w:spacing w:before="120" w:after="120"/>
              <w:ind w:left="110"/>
            </w:pPr>
            <w:r w:rsidRPr="00552BB0">
              <w:t>4.3 Mise en valeur des connaissances et des compétences en matière de propriété intellectuelle dans tous les États membres.</w:t>
            </w:r>
          </w:p>
          <w:p w14:paraId="5D6AF730" w14:textId="31159E1A" w:rsidR="00DD3A94" w:rsidRPr="00552BB0" w:rsidRDefault="00DD3A94" w:rsidP="009D48A4">
            <w:pPr>
              <w:pStyle w:val="TableParagraph"/>
              <w:widowControl/>
              <w:spacing w:before="120" w:after="120"/>
              <w:ind w:left="110"/>
            </w:pPr>
            <w:r w:rsidRPr="00552BB0">
              <w:t>4.5 Amélioration de l</w:t>
            </w:r>
            <w:r w:rsidR="005C3C29" w:rsidRPr="00552BB0">
              <w:t>’</w:t>
            </w:r>
            <w:r w:rsidRPr="00552BB0">
              <w:t>infrastructure en matière de propriété intellectuelle pour les offices de propriété intellectuelle.</w:t>
            </w:r>
          </w:p>
        </w:tc>
      </w:tr>
      <w:tr w:rsidR="00DD3A94" w:rsidRPr="00552BB0" w14:paraId="4054E6E6" w14:textId="77777777" w:rsidTr="009D48A4">
        <w:trPr>
          <w:trHeight w:val="352"/>
        </w:trPr>
        <w:tc>
          <w:tcPr>
            <w:tcW w:w="9493" w:type="dxa"/>
            <w:gridSpan w:val="2"/>
            <w:shd w:val="clear" w:color="auto" w:fill="00FFCC"/>
          </w:tcPr>
          <w:p w14:paraId="06DF51E1" w14:textId="77777777" w:rsidR="00DD3A94" w:rsidRPr="00552BB0" w:rsidRDefault="00DD3A94" w:rsidP="009D48A4">
            <w:pPr>
              <w:pStyle w:val="TableParagraph"/>
              <w:widowControl/>
              <w:spacing w:before="120" w:after="120"/>
              <w:ind w:left="110" w:right="77"/>
              <w:jc w:val="center"/>
              <w:rPr>
                <w:b/>
              </w:rPr>
            </w:pPr>
            <w:r w:rsidRPr="00552BB0">
              <w:rPr>
                <w:b/>
              </w:rPr>
              <w:t>2.11 Risques et stratégies atténuation</w:t>
            </w:r>
          </w:p>
        </w:tc>
      </w:tr>
      <w:tr w:rsidR="00DD3A94" w:rsidRPr="00552BB0" w14:paraId="155DBD97" w14:textId="77777777" w:rsidTr="009D48A4">
        <w:trPr>
          <w:trHeight w:val="424"/>
        </w:trPr>
        <w:tc>
          <w:tcPr>
            <w:tcW w:w="9493" w:type="dxa"/>
            <w:gridSpan w:val="2"/>
            <w:shd w:val="clear" w:color="auto" w:fill="FFFFFF" w:themeFill="background1"/>
          </w:tcPr>
          <w:p w14:paraId="142AEE4F" w14:textId="31AF1B7E" w:rsidR="00DD3A94" w:rsidRPr="00552BB0" w:rsidRDefault="00DD3A94" w:rsidP="009D48A4">
            <w:pPr>
              <w:pStyle w:val="TableParagraph"/>
              <w:widowControl/>
              <w:spacing w:before="120" w:after="120"/>
              <w:ind w:left="110" w:right="77"/>
            </w:pPr>
            <w:r w:rsidRPr="00552BB0">
              <w:rPr>
                <w:b/>
                <w:i/>
              </w:rPr>
              <w:t>Risque n° 1</w:t>
            </w:r>
            <w:r w:rsidR="005C3C29" w:rsidRPr="00552BB0">
              <w:rPr>
                <w:b/>
                <w:i/>
              </w:rPr>
              <w:t> :</w:t>
            </w:r>
            <w:r w:rsidRPr="00552BB0">
              <w:t xml:space="preserve"> Disponibilité et qualité des données insuffisantes.</w:t>
            </w:r>
          </w:p>
          <w:p w14:paraId="149A5B2F" w14:textId="25BE91E2" w:rsidR="005C3C29" w:rsidRPr="00552BB0" w:rsidRDefault="00DD3A94" w:rsidP="009D48A4">
            <w:pPr>
              <w:pStyle w:val="TableParagraph"/>
              <w:widowControl/>
              <w:spacing w:before="120" w:after="120"/>
              <w:ind w:left="110" w:right="77"/>
            </w:pPr>
            <w:r w:rsidRPr="00552BB0">
              <w:rPr>
                <w:b/>
                <w:i/>
              </w:rPr>
              <w:t>Stratégie d</w:t>
            </w:r>
            <w:r w:rsidR="005C3C29" w:rsidRPr="00552BB0">
              <w:rPr>
                <w:b/>
                <w:i/>
              </w:rPr>
              <w:t>’</w:t>
            </w:r>
            <w:r w:rsidRPr="00552BB0">
              <w:rPr>
                <w:b/>
                <w:i/>
              </w:rPr>
              <w:t>atténuation n° 1</w:t>
            </w:r>
            <w:r w:rsidR="005C3C29" w:rsidRPr="00552BB0">
              <w:rPr>
                <w:b/>
                <w:i/>
              </w:rPr>
              <w:t> :</w:t>
            </w:r>
            <w:r w:rsidRPr="00552BB0">
              <w:t xml:space="preserve"> Différentes méthodologies de recherche seront utilisées pour garantir la collecte de suffisamment de données précises.</w:t>
            </w:r>
          </w:p>
          <w:p w14:paraId="3082D46B" w14:textId="1AEF4E2A" w:rsidR="00DD3A94" w:rsidRPr="00552BB0" w:rsidRDefault="00DD3A94" w:rsidP="009D48A4">
            <w:pPr>
              <w:pStyle w:val="TableParagraph"/>
              <w:widowControl/>
              <w:spacing w:before="120" w:after="120"/>
              <w:ind w:left="110" w:right="77"/>
            </w:pPr>
            <w:r w:rsidRPr="00552BB0">
              <w:rPr>
                <w:b/>
                <w:i/>
              </w:rPr>
              <w:t>Risque n° 2</w:t>
            </w:r>
            <w:r w:rsidR="005C3C29" w:rsidRPr="00552BB0">
              <w:rPr>
                <w:b/>
                <w:i/>
              </w:rPr>
              <w:t> :</w:t>
            </w:r>
            <w:r w:rsidRPr="00552BB0">
              <w:t xml:space="preserve"> Participation limitée des parties prenantes</w:t>
            </w:r>
          </w:p>
          <w:p w14:paraId="261BD8ED" w14:textId="69966A89" w:rsidR="00DD3A94" w:rsidRPr="00552BB0" w:rsidRDefault="00DD3A94" w:rsidP="009D48A4">
            <w:pPr>
              <w:pStyle w:val="TableParagraph"/>
              <w:widowControl/>
              <w:spacing w:before="120" w:after="120"/>
              <w:ind w:left="110" w:right="77"/>
              <w:rPr>
                <w:b/>
              </w:rPr>
            </w:pPr>
            <w:r w:rsidRPr="00552BB0">
              <w:rPr>
                <w:b/>
                <w:i/>
              </w:rPr>
              <w:t>Stratégie d</w:t>
            </w:r>
            <w:r w:rsidR="005C3C29" w:rsidRPr="00552BB0">
              <w:rPr>
                <w:b/>
                <w:i/>
              </w:rPr>
              <w:t>’</w:t>
            </w:r>
            <w:r w:rsidRPr="00552BB0">
              <w:rPr>
                <w:b/>
                <w:i/>
              </w:rPr>
              <w:t>atténuation n° 2</w:t>
            </w:r>
            <w:r w:rsidR="005C3C29" w:rsidRPr="00552BB0">
              <w:rPr>
                <w:b/>
                <w:i/>
              </w:rPr>
              <w:t> :</w:t>
            </w:r>
            <w:r w:rsidRPr="00552BB0">
              <w:t xml:space="preserve"> Un plan complet de mobilisation des parties prenantes sera élaboré.</w:t>
            </w:r>
          </w:p>
        </w:tc>
      </w:tr>
    </w:tbl>
    <w:p w14:paraId="73F47C14" w14:textId="77777777" w:rsidR="004935D8" w:rsidRDefault="004935D8" w:rsidP="009D48A4">
      <w:pPr>
        <w:spacing w:line="234" w:lineRule="exact"/>
        <w:rPr>
          <w:rFonts w:asciiTheme="minorBidi" w:hAnsiTheme="minorBidi" w:cstheme="minorBidi"/>
          <w:lang w:val="fr-FR"/>
        </w:rPr>
      </w:pPr>
    </w:p>
    <w:p w14:paraId="6AD542E3" w14:textId="77777777" w:rsidR="00D306B6" w:rsidRPr="00552BB0" w:rsidRDefault="00D306B6" w:rsidP="009D48A4">
      <w:pPr>
        <w:spacing w:line="234" w:lineRule="exact"/>
        <w:rPr>
          <w:rFonts w:asciiTheme="minorBidi" w:hAnsiTheme="minorBidi" w:cstheme="minorBidi"/>
          <w:lang w:val="fr-FR"/>
        </w:rPr>
        <w:sectPr w:rsidR="00D306B6" w:rsidRPr="00552BB0" w:rsidSect="00AC5B03">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1417" w:left="1417" w:header="709" w:footer="709" w:gutter="0"/>
          <w:pgNumType w:start="1"/>
          <w:cols w:space="720"/>
          <w:titlePg/>
          <w:docGrid w:linePitch="299"/>
        </w:sectPr>
      </w:pPr>
    </w:p>
    <w:p w14:paraId="1ED21CB7" w14:textId="4188DFD7" w:rsidR="00DD3A94" w:rsidRPr="00552BB0" w:rsidRDefault="00B73781" w:rsidP="009D48A4">
      <w:pPr>
        <w:pStyle w:val="ListParagraph"/>
        <w:widowControl/>
        <w:numPr>
          <w:ilvl w:val="0"/>
          <w:numId w:val="12"/>
        </w:numPr>
        <w:spacing w:after="240" w:line="234" w:lineRule="exact"/>
        <w:ind w:left="567" w:hanging="567"/>
        <w:rPr>
          <w:b/>
          <w:caps/>
        </w:rPr>
      </w:pPr>
      <w:r w:rsidRPr="00552BB0">
        <w:rPr>
          <w:b/>
          <w:caps/>
        </w:rPr>
        <w:t>Calendrier de mise en œuvre provisoire</w:t>
      </w:r>
    </w:p>
    <w:tbl>
      <w:tblPr>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50"/>
        <w:gridCol w:w="1118"/>
        <w:gridCol w:w="1119"/>
        <w:gridCol w:w="1119"/>
        <w:gridCol w:w="1119"/>
        <w:gridCol w:w="1119"/>
        <w:gridCol w:w="1509"/>
      </w:tblGrid>
      <w:tr w:rsidR="00DD3A94" w:rsidRPr="00552BB0" w14:paraId="094E1605" w14:textId="77777777" w:rsidTr="00954994">
        <w:trPr>
          <w:trHeight w:val="20"/>
        </w:trPr>
        <w:tc>
          <w:tcPr>
            <w:tcW w:w="2543" w:type="pct"/>
            <w:vMerge w:val="restart"/>
            <w:shd w:val="clear" w:color="auto" w:fill="auto"/>
            <w:vAlign w:val="center"/>
          </w:tcPr>
          <w:p w14:paraId="7DA453BF" w14:textId="77777777" w:rsidR="00DD3A94" w:rsidRPr="00552BB0" w:rsidRDefault="00DD3A94" w:rsidP="009D48A4">
            <w:pPr>
              <w:rPr>
                <w:b/>
                <w:lang w:val="fr-FR"/>
              </w:rPr>
            </w:pPr>
            <w:r w:rsidRPr="00552BB0">
              <w:rPr>
                <w:b/>
                <w:lang w:val="fr-FR"/>
              </w:rPr>
              <w:t>Résultats attendus du projet</w:t>
            </w:r>
          </w:p>
        </w:tc>
        <w:tc>
          <w:tcPr>
            <w:tcW w:w="2457" w:type="pct"/>
            <w:gridSpan w:val="6"/>
            <w:shd w:val="clear" w:color="auto" w:fill="auto"/>
          </w:tcPr>
          <w:p w14:paraId="242DBA3A" w14:textId="77777777" w:rsidR="00DD3A94" w:rsidRPr="00552BB0" w:rsidRDefault="00DD3A94" w:rsidP="009D48A4">
            <w:pPr>
              <w:jc w:val="center"/>
              <w:rPr>
                <w:b/>
                <w:lang w:val="fr-FR"/>
              </w:rPr>
            </w:pPr>
            <w:r w:rsidRPr="00552BB0">
              <w:rPr>
                <w:b/>
                <w:lang w:val="fr-FR"/>
              </w:rPr>
              <w:t>Trimestres</w:t>
            </w:r>
          </w:p>
        </w:tc>
      </w:tr>
      <w:tr w:rsidR="00DD3A94" w:rsidRPr="00552BB0" w14:paraId="2E8E41F9" w14:textId="77777777" w:rsidTr="00954994">
        <w:trPr>
          <w:trHeight w:val="20"/>
        </w:trPr>
        <w:tc>
          <w:tcPr>
            <w:tcW w:w="2543" w:type="pct"/>
            <w:vMerge/>
            <w:shd w:val="clear" w:color="auto" w:fill="auto"/>
          </w:tcPr>
          <w:p w14:paraId="13AF7438" w14:textId="77777777" w:rsidR="00DD3A94" w:rsidRPr="00552BB0" w:rsidRDefault="00DD3A94" w:rsidP="009D48A4">
            <w:pPr>
              <w:rPr>
                <w:b/>
                <w:lang w:val="fr-FR"/>
              </w:rPr>
            </w:pPr>
          </w:p>
        </w:tc>
        <w:tc>
          <w:tcPr>
            <w:tcW w:w="1548" w:type="pct"/>
            <w:gridSpan w:val="4"/>
            <w:shd w:val="clear" w:color="auto" w:fill="auto"/>
          </w:tcPr>
          <w:p w14:paraId="4D0A36E0" w14:textId="77777777" w:rsidR="00DD3A94" w:rsidRPr="00552BB0" w:rsidRDefault="00DD3A94" w:rsidP="009D48A4">
            <w:pPr>
              <w:jc w:val="center"/>
              <w:rPr>
                <w:b/>
                <w:lang w:val="fr-FR"/>
              </w:rPr>
            </w:pPr>
            <w:r w:rsidRPr="00552BB0">
              <w:rPr>
                <w:b/>
                <w:lang w:val="fr-FR"/>
              </w:rPr>
              <w:t>Année 1</w:t>
            </w:r>
          </w:p>
        </w:tc>
        <w:tc>
          <w:tcPr>
            <w:tcW w:w="909" w:type="pct"/>
            <w:gridSpan w:val="2"/>
          </w:tcPr>
          <w:p w14:paraId="1BE80180" w14:textId="77777777" w:rsidR="00DD3A94" w:rsidRPr="00552BB0" w:rsidRDefault="00DD3A94" w:rsidP="009D48A4">
            <w:pPr>
              <w:jc w:val="center"/>
              <w:rPr>
                <w:b/>
                <w:lang w:val="fr-FR"/>
              </w:rPr>
            </w:pPr>
            <w:r w:rsidRPr="00552BB0">
              <w:rPr>
                <w:b/>
                <w:lang w:val="fr-FR"/>
              </w:rPr>
              <w:t>Année 2</w:t>
            </w:r>
          </w:p>
        </w:tc>
      </w:tr>
      <w:tr w:rsidR="00DD3A94" w:rsidRPr="00552BB0" w14:paraId="717155DB" w14:textId="77777777" w:rsidTr="00954994">
        <w:trPr>
          <w:trHeight w:val="20"/>
        </w:trPr>
        <w:tc>
          <w:tcPr>
            <w:tcW w:w="2543" w:type="pct"/>
            <w:vMerge/>
            <w:shd w:val="clear" w:color="auto" w:fill="auto"/>
          </w:tcPr>
          <w:p w14:paraId="2285C952" w14:textId="77777777" w:rsidR="00DD3A94" w:rsidRPr="00552BB0" w:rsidRDefault="00DD3A94" w:rsidP="009D48A4">
            <w:pPr>
              <w:pBdr>
                <w:top w:val="nil"/>
                <w:left w:val="nil"/>
                <w:bottom w:val="nil"/>
                <w:right w:val="nil"/>
                <w:between w:val="nil"/>
              </w:pBdr>
              <w:rPr>
                <w:lang w:val="fr-FR"/>
              </w:rPr>
            </w:pPr>
          </w:p>
        </w:tc>
        <w:tc>
          <w:tcPr>
            <w:tcW w:w="387" w:type="pct"/>
            <w:shd w:val="clear" w:color="auto" w:fill="D9D9D9" w:themeFill="background1" w:themeFillShade="D9"/>
          </w:tcPr>
          <w:p w14:paraId="01891CCB" w14:textId="77777777" w:rsidR="00DD3A94" w:rsidRPr="00552BB0" w:rsidRDefault="00DD3A94" w:rsidP="009D48A4">
            <w:pPr>
              <w:jc w:val="center"/>
              <w:rPr>
                <w:lang w:val="fr-FR"/>
              </w:rPr>
            </w:pPr>
            <w:r w:rsidRPr="00552BB0">
              <w:rPr>
                <w:lang w:val="fr-FR"/>
              </w:rPr>
              <w:t>T1</w:t>
            </w:r>
          </w:p>
        </w:tc>
        <w:tc>
          <w:tcPr>
            <w:tcW w:w="387" w:type="pct"/>
            <w:shd w:val="clear" w:color="auto" w:fill="D9D9D9" w:themeFill="background1" w:themeFillShade="D9"/>
          </w:tcPr>
          <w:p w14:paraId="04224E99" w14:textId="77777777" w:rsidR="00DD3A94" w:rsidRPr="00552BB0" w:rsidRDefault="00DD3A94" w:rsidP="009D48A4">
            <w:pPr>
              <w:jc w:val="center"/>
              <w:rPr>
                <w:lang w:val="fr-FR"/>
              </w:rPr>
            </w:pPr>
            <w:r w:rsidRPr="00552BB0">
              <w:rPr>
                <w:lang w:val="fr-FR"/>
              </w:rPr>
              <w:t>T2</w:t>
            </w:r>
          </w:p>
        </w:tc>
        <w:tc>
          <w:tcPr>
            <w:tcW w:w="387" w:type="pct"/>
            <w:shd w:val="clear" w:color="auto" w:fill="D9D9D9" w:themeFill="background1" w:themeFillShade="D9"/>
          </w:tcPr>
          <w:p w14:paraId="332DF590" w14:textId="77777777" w:rsidR="00DD3A94" w:rsidRPr="00552BB0" w:rsidRDefault="00DD3A94" w:rsidP="009D48A4">
            <w:pPr>
              <w:jc w:val="center"/>
              <w:rPr>
                <w:lang w:val="fr-FR"/>
              </w:rPr>
            </w:pPr>
            <w:r w:rsidRPr="00552BB0">
              <w:rPr>
                <w:lang w:val="fr-FR"/>
              </w:rPr>
              <w:t>T3</w:t>
            </w:r>
          </w:p>
        </w:tc>
        <w:tc>
          <w:tcPr>
            <w:tcW w:w="387" w:type="pct"/>
            <w:shd w:val="clear" w:color="auto" w:fill="D9D9D9" w:themeFill="background1" w:themeFillShade="D9"/>
          </w:tcPr>
          <w:p w14:paraId="05325A35" w14:textId="77777777" w:rsidR="00DD3A94" w:rsidRPr="00552BB0" w:rsidRDefault="00DD3A94" w:rsidP="009D48A4">
            <w:pPr>
              <w:jc w:val="center"/>
              <w:rPr>
                <w:lang w:val="fr-FR"/>
              </w:rPr>
            </w:pPr>
            <w:r w:rsidRPr="00552BB0">
              <w:rPr>
                <w:lang w:val="fr-FR"/>
              </w:rPr>
              <w:t>T4</w:t>
            </w:r>
          </w:p>
        </w:tc>
        <w:tc>
          <w:tcPr>
            <w:tcW w:w="387" w:type="pct"/>
            <w:shd w:val="clear" w:color="auto" w:fill="D9D9D9" w:themeFill="background1" w:themeFillShade="D9"/>
          </w:tcPr>
          <w:p w14:paraId="77BB62FA" w14:textId="77777777" w:rsidR="00DD3A94" w:rsidRPr="00552BB0" w:rsidRDefault="00DD3A94" w:rsidP="009D48A4">
            <w:pPr>
              <w:jc w:val="center"/>
              <w:rPr>
                <w:lang w:val="fr-FR"/>
              </w:rPr>
            </w:pPr>
            <w:r w:rsidRPr="00552BB0">
              <w:rPr>
                <w:lang w:val="fr-FR"/>
              </w:rPr>
              <w:t>T1</w:t>
            </w:r>
          </w:p>
        </w:tc>
        <w:tc>
          <w:tcPr>
            <w:tcW w:w="522" w:type="pct"/>
            <w:shd w:val="clear" w:color="auto" w:fill="D9D9D9" w:themeFill="background1" w:themeFillShade="D9"/>
          </w:tcPr>
          <w:p w14:paraId="6AD11075" w14:textId="77777777" w:rsidR="00DD3A94" w:rsidRPr="00552BB0" w:rsidRDefault="00DD3A94" w:rsidP="009D48A4">
            <w:pPr>
              <w:jc w:val="center"/>
              <w:rPr>
                <w:lang w:val="fr-FR"/>
              </w:rPr>
            </w:pPr>
            <w:r w:rsidRPr="00552BB0">
              <w:rPr>
                <w:lang w:val="fr-FR"/>
              </w:rPr>
              <w:t>T2</w:t>
            </w:r>
          </w:p>
        </w:tc>
      </w:tr>
      <w:tr w:rsidR="00DD3A94" w:rsidRPr="00552BB0" w14:paraId="147555B7" w14:textId="77777777" w:rsidTr="00954994">
        <w:trPr>
          <w:trHeight w:val="20"/>
        </w:trPr>
        <w:tc>
          <w:tcPr>
            <w:tcW w:w="2543" w:type="pct"/>
            <w:shd w:val="clear" w:color="auto" w:fill="auto"/>
          </w:tcPr>
          <w:p w14:paraId="3042F230" w14:textId="07CCFB45" w:rsidR="005C3C29" w:rsidRPr="00552BB0" w:rsidRDefault="00DD3A94" w:rsidP="009D48A4">
            <w:pPr>
              <w:rPr>
                <w:lang w:val="fr-FR"/>
              </w:rPr>
            </w:pPr>
            <w:r w:rsidRPr="00552BB0">
              <w:rPr>
                <w:lang w:val="fr-FR"/>
              </w:rPr>
              <w:t>Activités préalables à la mise en œuvre</w:t>
            </w:r>
            <w:r w:rsidRPr="00552BB0">
              <w:rPr>
                <w:rStyle w:val="FootnoteReference"/>
                <w:lang w:val="fr-FR"/>
              </w:rPr>
              <w:footnoteReference w:id="2"/>
            </w:r>
            <w:r w:rsidR="005C3C29" w:rsidRPr="00552BB0">
              <w:rPr>
                <w:lang w:val="fr-FR"/>
              </w:rPr>
              <w:t> :</w:t>
            </w:r>
          </w:p>
          <w:p w14:paraId="6FEAFC16" w14:textId="725E8C8D" w:rsidR="00DD3A94" w:rsidRPr="00552BB0" w:rsidRDefault="00DD3A94" w:rsidP="009D48A4">
            <w:pPr>
              <w:rPr>
                <w:lang w:val="fr-FR"/>
              </w:rPr>
            </w:pPr>
            <w:r w:rsidRPr="00552BB0">
              <w:rPr>
                <w:lang w:val="fr-FR"/>
              </w:rPr>
              <w:t>– Consultation des coordonnateurs nationaux et régionaux</w:t>
            </w:r>
          </w:p>
        </w:tc>
        <w:tc>
          <w:tcPr>
            <w:tcW w:w="387" w:type="pct"/>
            <w:shd w:val="clear" w:color="auto" w:fill="D9D9D9" w:themeFill="background1" w:themeFillShade="D9"/>
            <w:vAlign w:val="center"/>
          </w:tcPr>
          <w:p w14:paraId="24D5C132"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37614F8A"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2B3539B3"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33F35654"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1943A73D" w14:textId="77777777" w:rsidR="00DD3A94" w:rsidRPr="00552BB0" w:rsidRDefault="00DD3A94" w:rsidP="009D48A4">
            <w:pPr>
              <w:jc w:val="center"/>
              <w:rPr>
                <w:lang w:val="fr-FR"/>
              </w:rPr>
            </w:pPr>
          </w:p>
        </w:tc>
        <w:tc>
          <w:tcPr>
            <w:tcW w:w="522" w:type="pct"/>
            <w:shd w:val="clear" w:color="auto" w:fill="D9D9D9" w:themeFill="background1" w:themeFillShade="D9"/>
            <w:vAlign w:val="center"/>
          </w:tcPr>
          <w:p w14:paraId="53739704" w14:textId="77777777" w:rsidR="00DD3A94" w:rsidRPr="00552BB0" w:rsidRDefault="00DD3A94" w:rsidP="009D48A4">
            <w:pPr>
              <w:jc w:val="center"/>
              <w:rPr>
                <w:lang w:val="fr-FR"/>
              </w:rPr>
            </w:pPr>
          </w:p>
        </w:tc>
      </w:tr>
      <w:tr w:rsidR="00DD3A94" w:rsidRPr="00552BB0" w14:paraId="7EE02793" w14:textId="77777777" w:rsidTr="00954994">
        <w:trPr>
          <w:trHeight w:val="20"/>
        </w:trPr>
        <w:tc>
          <w:tcPr>
            <w:tcW w:w="2543" w:type="pct"/>
            <w:shd w:val="clear" w:color="auto" w:fill="auto"/>
          </w:tcPr>
          <w:p w14:paraId="7465F81D" w14:textId="15DD7F73" w:rsidR="00DD3A94" w:rsidRPr="00552BB0" w:rsidRDefault="00DD3A94" w:rsidP="009D48A4">
            <w:pPr>
              <w:pStyle w:val="TableParagraph"/>
              <w:widowControl/>
              <w:ind w:right="140"/>
              <w:rPr>
                <w:iCs/>
              </w:rPr>
            </w:pPr>
            <w:r w:rsidRPr="00552BB0">
              <w:t>Étude exploratoire sur les connaissances, les expériences et les enseignements tirés de situations de crise spécifiques ou d</w:t>
            </w:r>
            <w:r w:rsidR="005C3C29" w:rsidRPr="00552BB0">
              <w:t>’</w:t>
            </w:r>
            <w:r w:rsidRPr="00552BB0">
              <w:t>urgences</w:t>
            </w:r>
          </w:p>
        </w:tc>
        <w:tc>
          <w:tcPr>
            <w:tcW w:w="387" w:type="pct"/>
            <w:shd w:val="clear" w:color="auto" w:fill="D9D9D9" w:themeFill="background1" w:themeFillShade="D9"/>
            <w:vAlign w:val="center"/>
          </w:tcPr>
          <w:p w14:paraId="06EC57F1"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33F65F24"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0DACB076"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34FA642D"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04E1ECDD" w14:textId="77777777" w:rsidR="00DD3A94" w:rsidRPr="00552BB0" w:rsidRDefault="00DD3A94" w:rsidP="009D48A4">
            <w:pPr>
              <w:jc w:val="center"/>
              <w:rPr>
                <w:lang w:val="fr-FR"/>
              </w:rPr>
            </w:pPr>
          </w:p>
        </w:tc>
        <w:tc>
          <w:tcPr>
            <w:tcW w:w="522" w:type="pct"/>
            <w:shd w:val="clear" w:color="auto" w:fill="D9D9D9" w:themeFill="background1" w:themeFillShade="D9"/>
            <w:vAlign w:val="center"/>
          </w:tcPr>
          <w:p w14:paraId="6A489DF1" w14:textId="77777777" w:rsidR="00DD3A94" w:rsidRPr="00552BB0" w:rsidRDefault="00DD3A94" w:rsidP="009D48A4">
            <w:pPr>
              <w:jc w:val="center"/>
              <w:rPr>
                <w:lang w:val="fr-FR"/>
              </w:rPr>
            </w:pPr>
          </w:p>
        </w:tc>
      </w:tr>
      <w:tr w:rsidR="00DD3A94" w:rsidRPr="00552BB0" w14:paraId="6F8E48AE" w14:textId="77777777" w:rsidTr="00954994">
        <w:trPr>
          <w:trHeight w:val="20"/>
        </w:trPr>
        <w:tc>
          <w:tcPr>
            <w:tcW w:w="2543" w:type="pct"/>
            <w:shd w:val="clear" w:color="auto" w:fill="auto"/>
          </w:tcPr>
          <w:p w14:paraId="785B2A5C" w14:textId="77777777" w:rsidR="00DD3A94" w:rsidRPr="00552BB0" w:rsidRDefault="00DD3A94" w:rsidP="009D48A4">
            <w:pPr>
              <w:pStyle w:val="TableParagraph"/>
              <w:widowControl/>
              <w:ind w:right="175"/>
              <w:rPr>
                <w:iCs/>
              </w:rPr>
            </w:pPr>
            <w:r w:rsidRPr="00552BB0">
              <w:t>Séminaire sur la gestion de la propriété intellectuelle et la fourniture de services en temps de crise</w:t>
            </w:r>
          </w:p>
        </w:tc>
        <w:tc>
          <w:tcPr>
            <w:tcW w:w="387" w:type="pct"/>
            <w:shd w:val="clear" w:color="auto" w:fill="D9D9D9" w:themeFill="background1" w:themeFillShade="D9"/>
            <w:vAlign w:val="center"/>
          </w:tcPr>
          <w:p w14:paraId="5C750448"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1032178D"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6CBE2415"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557B2BBE"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714A0A70" w14:textId="77777777" w:rsidR="00DD3A94" w:rsidRPr="00552BB0" w:rsidRDefault="00DD3A94" w:rsidP="009D48A4">
            <w:pPr>
              <w:jc w:val="center"/>
              <w:rPr>
                <w:lang w:val="fr-FR"/>
              </w:rPr>
            </w:pPr>
          </w:p>
        </w:tc>
        <w:tc>
          <w:tcPr>
            <w:tcW w:w="522" w:type="pct"/>
            <w:shd w:val="clear" w:color="auto" w:fill="D9D9D9" w:themeFill="background1" w:themeFillShade="D9"/>
            <w:vAlign w:val="center"/>
          </w:tcPr>
          <w:p w14:paraId="407F528A" w14:textId="77777777" w:rsidR="00DD3A94" w:rsidRPr="00552BB0" w:rsidRDefault="00DD3A94" w:rsidP="009D48A4">
            <w:pPr>
              <w:jc w:val="center"/>
              <w:rPr>
                <w:lang w:val="fr-FR"/>
              </w:rPr>
            </w:pPr>
          </w:p>
        </w:tc>
      </w:tr>
      <w:tr w:rsidR="00DD3A94" w:rsidRPr="00552BB0" w14:paraId="7B719B66" w14:textId="77777777" w:rsidTr="00954994">
        <w:trPr>
          <w:trHeight w:val="20"/>
        </w:trPr>
        <w:tc>
          <w:tcPr>
            <w:tcW w:w="2543" w:type="pct"/>
            <w:shd w:val="clear" w:color="auto" w:fill="auto"/>
          </w:tcPr>
          <w:p w14:paraId="40871F2A" w14:textId="0017072E" w:rsidR="00DD3A94" w:rsidRPr="00552BB0" w:rsidRDefault="00DD3A94" w:rsidP="009D48A4">
            <w:pPr>
              <w:pStyle w:val="TableParagraph"/>
              <w:widowControl/>
              <w:ind w:right="175"/>
              <w:rPr>
                <w:bCs/>
                <w:iCs/>
              </w:rPr>
            </w:pPr>
            <w:r w:rsidRPr="00552BB0">
              <w:t>Identification et validation des spécialistes nationaux et régionaux à inclure dans la base de données relative à la liste des consultants de l</w:t>
            </w:r>
            <w:r w:rsidR="005C3C29" w:rsidRPr="00552BB0">
              <w:t>’</w:t>
            </w:r>
            <w:r w:rsidRPr="00552BB0">
              <w:t>OMPI (IP</w:t>
            </w:r>
            <w:r w:rsidR="00B065DC">
              <w:noBreakHyphen/>
            </w:r>
            <w:r w:rsidRPr="00552BB0">
              <w:t>ROC)</w:t>
            </w:r>
          </w:p>
        </w:tc>
        <w:tc>
          <w:tcPr>
            <w:tcW w:w="387" w:type="pct"/>
            <w:shd w:val="clear" w:color="auto" w:fill="D9D9D9" w:themeFill="background1" w:themeFillShade="D9"/>
            <w:vAlign w:val="center"/>
          </w:tcPr>
          <w:p w14:paraId="1AC37417"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57494410"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30C4EC03"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0D9EEC89"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24E4F526" w14:textId="77777777" w:rsidR="00DD3A94" w:rsidRPr="00552BB0" w:rsidRDefault="00DD3A94" w:rsidP="009D48A4">
            <w:pPr>
              <w:jc w:val="center"/>
              <w:rPr>
                <w:lang w:val="fr-FR"/>
              </w:rPr>
            </w:pPr>
            <w:r w:rsidRPr="00552BB0">
              <w:rPr>
                <w:lang w:val="fr-FR"/>
              </w:rPr>
              <w:t>X</w:t>
            </w:r>
          </w:p>
        </w:tc>
        <w:tc>
          <w:tcPr>
            <w:tcW w:w="522" w:type="pct"/>
            <w:shd w:val="clear" w:color="auto" w:fill="D9D9D9" w:themeFill="background1" w:themeFillShade="D9"/>
            <w:vAlign w:val="center"/>
          </w:tcPr>
          <w:p w14:paraId="7E9D812D" w14:textId="77777777" w:rsidR="00DD3A94" w:rsidRPr="00552BB0" w:rsidRDefault="00DD3A94" w:rsidP="009D48A4">
            <w:pPr>
              <w:jc w:val="center"/>
              <w:rPr>
                <w:lang w:val="fr-FR"/>
              </w:rPr>
            </w:pPr>
          </w:p>
        </w:tc>
      </w:tr>
      <w:tr w:rsidR="00DD3A94" w:rsidRPr="00552BB0" w14:paraId="04B9055E" w14:textId="77777777" w:rsidTr="00954994">
        <w:trPr>
          <w:trHeight w:val="20"/>
        </w:trPr>
        <w:tc>
          <w:tcPr>
            <w:tcW w:w="2543" w:type="pct"/>
            <w:shd w:val="clear" w:color="auto" w:fill="auto"/>
          </w:tcPr>
          <w:p w14:paraId="5063823A" w14:textId="43A36559" w:rsidR="00DD3A94" w:rsidRPr="00552BB0" w:rsidRDefault="00DD3A94" w:rsidP="009D48A4">
            <w:pPr>
              <w:pStyle w:val="TableParagraph"/>
              <w:widowControl/>
              <w:ind w:right="175"/>
              <w:rPr>
                <w:iCs/>
              </w:rPr>
            </w:pPr>
            <w:r w:rsidRPr="00552BB0">
              <w:t>Élaboration d</w:t>
            </w:r>
            <w:r w:rsidR="005C3C29" w:rsidRPr="00552BB0">
              <w:t>’</w:t>
            </w:r>
            <w:r w:rsidRPr="00552BB0">
              <w:t>outils de sensibilisation à la propriété intellectuelle et à la gestion des crises</w:t>
            </w:r>
          </w:p>
        </w:tc>
        <w:tc>
          <w:tcPr>
            <w:tcW w:w="387" w:type="pct"/>
            <w:shd w:val="clear" w:color="auto" w:fill="D9D9D9" w:themeFill="background1" w:themeFillShade="D9"/>
            <w:vAlign w:val="center"/>
          </w:tcPr>
          <w:p w14:paraId="1487D3C0"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39D316B6"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721B132A"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13BB244D" w14:textId="77777777" w:rsidR="00DD3A94" w:rsidRPr="00552BB0" w:rsidRDefault="00DD3A94" w:rsidP="009D48A4">
            <w:pPr>
              <w:jc w:val="center"/>
              <w:rPr>
                <w:lang w:val="fr-FR"/>
              </w:rPr>
            </w:pPr>
            <w:r w:rsidRPr="00552BB0">
              <w:rPr>
                <w:lang w:val="fr-FR"/>
              </w:rPr>
              <w:t>X</w:t>
            </w:r>
          </w:p>
        </w:tc>
        <w:tc>
          <w:tcPr>
            <w:tcW w:w="387" w:type="pct"/>
            <w:shd w:val="clear" w:color="auto" w:fill="D9D9D9" w:themeFill="background1" w:themeFillShade="D9"/>
            <w:vAlign w:val="center"/>
          </w:tcPr>
          <w:p w14:paraId="0D6C6323" w14:textId="77777777" w:rsidR="00DD3A94" w:rsidRPr="00552BB0" w:rsidRDefault="00DD3A94" w:rsidP="009D48A4">
            <w:pPr>
              <w:jc w:val="center"/>
              <w:rPr>
                <w:lang w:val="fr-FR"/>
              </w:rPr>
            </w:pPr>
            <w:r w:rsidRPr="00552BB0">
              <w:rPr>
                <w:lang w:val="fr-FR"/>
              </w:rPr>
              <w:t>X</w:t>
            </w:r>
          </w:p>
        </w:tc>
        <w:tc>
          <w:tcPr>
            <w:tcW w:w="522" w:type="pct"/>
            <w:shd w:val="clear" w:color="auto" w:fill="D9D9D9" w:themeFill="background1" w:themeFillShade="D9"/>
            <w:vAlign w:val="center"/>
          </w:tcPr>
          <w:p w14:paraId="1223DBEE" w14:textId="77777777" w:rsidR="00DD3A94" w:rsidRPr="00552BB0" w:rsidRDefault="00DD3A94" w:rsidP="009D48A4">
            <w:pPr>
              <w:jc w:val="center"/>
              <w:rPr>
                <w:lang w:val="fr-FR"/>
              </w:rPr>
            </w:pPr>
          </w:p>
        </w:tc>
      </w:tr>
      <w:tr w:rsidR="00DD3A94" w:rsidRPr="00552BB0" w14:paraId="71409830" w14:textId="77777777" w:rsidTr="00954994">
        <w:trPr>
          <w:trHeight w:val="20"/>
        </w:trPr>
        <w:tc>
          <w:tcPr>
            <w:tcW w:w="2543" w:type="pct"/>
            <w:shd w:val="clear" w:color="auto" w:fill="auto"/>
          </w:tcPr>
          <w:p w14:paraId="490F9AB3" w14:textId="77777777" w:rsidR="00DD3A94" w:rsidRPr="00552BB0" w:rsidRDefault="00DD3A94" w:rsidP="009D48A4">
            <w:pPr>
              <w:rPr>
                <w:lang w:val="fr-FR"/>
              </w:rPr>
            </w:pPr>
            <w:r w:rsidRPr="00552BB0">
              <w:rPr>
                <w:lang w:val="fr-FR"/>
              </w:rPr>
              <w:t>Évaluation du projet</w:t>
            </w:r>
          </w:p>
        </w:tc>
        <w:tc>
          <w:tcPr>
            <w:tcW w:w="387" w:type="pct"/>
            <w:shd w:val="clear" w:color="auto" w:fill="D9D9D9" w:themeFill="background1" w:themeFillShade="D9"/>
            <w:vAlign w:val="center"/>
          </w:tcPr>
          <w:p w14:paraId="76AE9DAA"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23E37E64"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69749113"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37EE826F"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540EB1D1" w14:textId="77777777" w:rsidR="00DD3A94" w:rsidRPr="00552BB0" w:rsidRDefault="00DD3A94" w:rsidP="009D48A4">
            <w:pPr>
              <w:jc w:val="center"/>
              <w:rPr>
                <w:lang w:val="fr-FR"/>
              </w:rPr>
            </w:pPr>
          </w:p>
        </w:tc>
        <w:tc>
          <w:tcPr>
            <w:tcW w:w="522" w:type="pct"/>
            <w:shd w:val="clear" w:color="auto" w:fill="D9D9D9" w:themeFill="background1" w:themeFillShade="D9"/>
            <w:vAlign w:val="center"/>
          </w:tcPr>
          <w:p w14:paraId="52C8826E" w14:textId="77777777" w:rsidR="00DD3A94" w:rsidRPr="00552BB0" w:rsidRDefault="00DD3A94" w:rsidP="009D48A4">
            <w:pPr>
              <w:jc w:val="center"/>
              <w:rPr>
                <w:lang w:val="fr-FR"/>
              </w:rPr>
            </w:pPr>
            <w:r w:rsidRPr="00552BB0">
              <w:rPr>
                <w:lang w:val="fr-FR"/>
              </w:rPr>
              <w:t>X</w:t>
            </w:r>
          </w:p>
        </w:tc>
      </w:tr>
      <w:tr w:rsidR="00DD3A94" w:rsidRPr="00552BB0" w14:paraId="7ADBB888" w14:textId="77777777" w:rsidTr="00954994">
        <w:trPr>
          <w:trHeight w:val="20"/>
        </w:trPr>
        <w:tc>
          <w:tcPr>
            <w:tcW w:w="2543" w:type="pct"/>
            <w:shd w:val="clear" w:color="auto" w:fill="auto"/>
          </w:tcPr>
          <w:p w14:paraId="561B6EA9" w14:textId="570DF263" w:rsidR="00DD3A94" w:rsidRPr="00552BB0" w:rsidRDefault="00DD3A94" w:rsidP="009D48A4">
            <w:pPr>
              <w:rPr>
                <w:lang w:val="fr-FR"/>
              </w:rPr>
            </w:pPr>
            <w:r w:rsidRPr="00552BB0">
              <w:rPr>
                <w:lang w:val="fr-FR"/>
              </w:rPr>
              <w:t>Événement en marge de la session</w:t>
            </w:r>
            <w:r w:rsidR="005C3C29" w:rsidRPr="00552BB0">
              <w:rPr>
                <w:lang w:val="fr-FR"/>
              </w:rPr>
              <w:t xml:space="preserve"> du CDI</w:t>
            </w:r>
            <w:r w:rsidRPr="00552BB0">
              <w:rPr>
                <w:lang w:val="fr-FR"/>
              </w:rPr>
              <w:t>P</w:t>
            </w:r>
          </w:p>
        </w:tc>
        <w:tc>
          <w:tcPr>
            <w:tcW w:w="387" w:type="pct"/>
            <w:shd w:val="clear" w:color="auto" w:fill="D9D9D9" w:themeFill="background1" w:themeFillShade="D9"/>
            <w:vAlign w:val="center"/>
          </w:tcPr>
          <w:p w14:paraId="757121BB"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1028090F"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6AF03D51"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1D6D4776" w14:textId="77777777" w:rsidR="00DD3A94" w:rsidRPr="00552BB0" w:rsidRDefault="00DD3A94" w:rsidP="009D48A4">
            <w:pPr>
              <w:jc w:val="center"/>
              <w:rPr>
                <w:lang w:val="fr-FR"/>
              </w:rPr>
            </w:pPr>
          </w:p>
        </w:tc>
        <w:tc>
          <w:tcPr>
            <w:tcW w:w="387" w:type="pct"/>
            <w:shd w:val="clear" w:color="auto" w:fill="D9D9D9" w:themeFill="background1" w:themeFillShade="D9"/>
            <w:vAlign w:val="center"/>
          </w:tcPr>
          <w:p w14:paraId="045B373D" w14:textId="77777777" w:rsidR="00DD3A94" w:rsidRPr="00552BB0" w:rsidRDefault="00DD3A94" w:rsidP="009D48A4">
            <w:pPr>
              <w:jc w:val="center"/>
              <w:rPr>
                <w:lang w:val="fr-FR"/>
              </w:rPr>
            </w:pPr>
          </w:p>
        </w:tc>
        <w:tc>
          <w:tcPr>
            <w:tcW w:w="522" w:type="pct"/>
            <w:shd w:val="clear" w:color="auto" w:fill="D9D9D9" w:themeFill="background1" w:themeFillShade="D9"/>
            <w:vAlign w:val="center"/>
          </w:tcPr>
          <w:p w14:paraId="3A62C992" w14:textId="77777777" w:rsidR="00DD3A94" w:rsidRPr="00552BB0" w:rsidRDefault="00DD3A94" w:rsidP="009D48A4">
            <w:pPr>
              <w:jc w:val="center"/>
              <w:rPr>
                <w:lang w:val="fr-FR"/>
              </w:rPr>
            </w:pPr>
            <w:r w:rsidRPr="00552BB0">
              <w:rPr>
                <w:lang w:val="fr-FR"/>
              </w:rPr>
              <w:t>X</w:t>
            </w:r>
          </w:p>
        </w:tc>
      </w:tr>
    </w:tbl>
    <w:p w14:paraId="7D11C7E6" w14:textId="036F6866" w:rsidR="00DD3A94" w:rsidRPr="00552BB0" w:rsidRDefault="004935D8" w:rsidP="009D48A4">
      <w:pPr>
        <w:rPr>
          <w:rFonts w:asciiTheme="minorBidi" w:hAnsiTheme="minorBidi" w:cstheme="minorBidi"/>
          <w:lang w:val="fr-FR"/>
        </w:rPr>
      </w:pPr>
      <w:r w:rsidRPr="00552BB0">
        <w:rPr>
          <w:rFonts w:asciiTheme="minorBidi" w:hAnsiTheme="minorBidi" w:cstheme="minorBidi"/>
          <w:lang w:val="fr-FR"/>
        </w:rPr>
        <w:br w:type="page"/>
      </w:r>
    </w:p>
    <w:p w14:paraId="52FD0A3A" w14:textId="265E1BB3" w:rsidR="00DD3A94" w:rsidRPr="00552BB0" w:rsidRDefault="00B73781" w:rsidP="009D48A4">
      <w:pPr>
        <w:pStyle w:val="ListParagraph"/>
        <w:widowControl/>
        <w:numPr>
          <w:ilvl w:val="0"/>
          <w:numId w:val="12"/>
        </w:numPr>
        <w:spacing w:after="240" w:line="234" w:lineRule="exact"/>
        <w:ind w:left="567" w:hanging="567"/>
        <w:rPr>
          <w:b/>
          <w:caps/>
        </w:rPr>
      </w:pPr>
      <w:r w:rsidRPr="00552BB0">
        <w:rPr>
          <w:b/>
          <w:caps/>
        </w:rPr>
        <w:t>Budget du projet par réalisation</w:t>
      </w:r>
    </w:p>
    <w:tbl>
      <w:tblPr>
        <w:tblW w:w="5204" w:type="pct"/>
        <w:tblLook w:val="04A0" w:firstRow="1" w:lastRow="0" w:firstColumn="1" w:lastColumn="0" w:noHBand="0" w:noVBand="1"/>
      </w:tblPr>
      <w:tblGrid>
        <w:gridCol w:w="4904"/>
        <w:gridCol w:w="1877"/>
        <w:gridCol w:w="1880"/>
        <w:gridCol w:w="2058"/>
        <w:gridCol w:w="2061"/>
        <w:gridCol w:w="1816"/>
      </w:tblGrid>
      <w:tr w:rsidR="00DD3A94" w:rsidRPr="00552BB0" w14:paraId="2B9F5706" w14:textId="77777777" w:rsidTr="00465561">
        <w:trPr>
          <w:trHeight w:val="654"/>
        </w:trPr>
        <w:tc>
          <w:tcPr>
            <w:tcW w:w="1680" w:type="pct"/>
            <w:tcBorders>
              <w:top w:val="single" w:sz="4" w:space="0" w:color="BFBFBF"/>
              <w:left w:val="single" w:sz="4" w:space="0" w:color="BFBFBF"/>
              <w:bottom w:val="nil"/>
              <w:right w:val="single" w:sz="4" w:space="0" w:color="A6A6A6"/>
            </w:tcBorders>
            <w:shd w:val="clear" w:color="000000" w:fill="C7CFD8"/>
            <w:noWrap/>
            <w:vAlign w:val="center"/>
            <w:hideMark/>
          </w:tcPr>
          <w:p w14:paraId="507E3779" w14:textId="77777777" w:rsidR="00DD3A94" w:rsidRPr="00552BB0" w:rsidRDefault="00DD3A94" w:rsidP="009D48A4">
            <w:pPr>
              <w:spacing w:before="120" w:after="120"/>
              <w:rPr>
                <w:rFonts w:eastAsia="Times New Roman"/>
                <w:i/>
                <w:iCs/>
                <w:color w:val="002839"/>
                <w:sz w:val="18"/>
                <w:szCs w:val="18"/>
                <w:lang w:val="fr-FR"/>
              </w:rPr>
            </w:pPr>
            <w:r w:rsidRPr="00552BB0">
              <w:rPr>
                <w:i/>
                <w:color w:val="002839"/>
                <w:sz w:val="18"/>
                <w:lang w:val="fr-FR"/>
              </w:rPr>
              <w:t>(</w:t>
            </w:r>
            <w:proofErr w:type="gramStart"/>
            <w:r w:rsidRPr="00552BB0">
              <w:rPr>
                <w:i/>
                <w:color w:val="002839"/>
                <w:sz w:val="18"/>
                <w:lang w:val="fr-FR"/>
              </w:rPr>
              <w:t>en</w:t>
            </w:r>
            <w:proofErr w:type="gramEnd"/>
            <w:r w:rsidRPr="00552BB0">
              <w:rPr>
                <w:i/>
                <w:color w:val="002839"/>
                <w:sz w:val="18"/>
                <w:lang w:val="fr-FR"/>
              </w:rPr>
              <w:t xml:space="preserve"> francs suisses)</w:t>
            </w:r>
          </w:p>
        </w:tc>
        <w:tc>
          <w:tcPr>
            <w:tcW w:w="1286"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15230616"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Année 1</w:t>
            </w:r>
          </w:p>
        </w:tc>
        <w:tc>
          <w:tcPr>
            <w:tcW w:w="1411"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7BAD2765"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Année 2</w:t>
            </w:r>
          </w:p>
        </w:tc>
        <w:tc>
          <w:tcPr>
            <w:tcW w:w="622"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3CCD50BE"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Total</w:t>
            </w:r>
          </w:p>
        </w:tc>
      </w:tr>
      <w:tr w:rsidR="00B73781" w:rsidRPr="00552BB0" w14:paraId="1D58C2C3" w14:textId="77777777" w:rsidTr="00465561">
        <w:trPr>
          <w:trHeight w:val="654"/>
        </w:trPr>
        <w:tc>
          <w:tcPr>
            <w:tcW w:w="1680" w:type="pct"/>
            <w:tcBorders>
              <w:top w:val="nil"/>
              <w:left w:val="single" w:sz="4" w:space="0" w:color="BFBFBF"/>
              <w:bottom w:val="single" w:sz="4" w:space="0" w:color="BFBFBF"/>
              <w:right w:val="nil"/>
            </w:tcBorders>
            <w:shd w:val="clear" w:color="000000" w:fill="C7CFD8"/>
            <w:noWrap/>
            <w:vAlign w:val="center"/>
            <w:hideMark/>
          </w:tcPr>
          <w:p w14:paraId="1ADA5E65" w14:textId="77777777" w:rsidR="00DD3A94" w:rsidRPr="00552BB0" w:rsidRDefault="00DD3A94" w:rsidP="009D48A4">
            <w:pPr>
              <w:spacing w:before="120" w:after="120"/>
              <w:rPr>
                <w:rFonts w:eastAsia="Times New Roman"/>
                <w:b/>
                <w:bCs/>
                <w:color w:val="002839"/>
                <w:sz w:val="18"/>
                <w:szCs w:val="18"/>
                <w:lang w:val="fr-FR"/>
              </w:rPr>
            </w:pPr>
            <w:r w:rsidRPr="00552BB0">
              <w:rPr>
                <w:b/>
                <w:color w:val="002839"/>
                <w:sz w:val="18"/>
                <w:lang w:val="fr-FR"/>
              </w:rPr>
              <w:t xml:space="preserve">Réalisations du projet </w:t>
            </w:r>
          </w:p>
        </w:tc>
        <w:tc>
          <w:tcPr>
            <w:tcW w:w="643" w:type="pct"/>
            <w:tcBorders>
              <w:top w:val="nil"/>
              <w:left w:val="single" w:sz="4" w:space="0" w:color="A6A6A6"/>
              <w:bottom w:val="single" w:sz="4" w:space="0" w:color="BFBFBF"/>
              <w:right w:val="single" w:sz="4" w:space="0" w:color="A6A6A6"/>
            </w:tcBorders>
            <w:shd w:val="clear" w:color="000000" w:fill="C7CFD8"/>
            <w:vAlign w:val="center"/>
            <w:hideMark/>
          </w:tcPr>
          <w:p w14:paraId="4663FAAB"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 xml:space="preserve">Dépenses de personnel </w:t>
            </w:r>
          </w:p>
        </w:tc>
        <w:tc>
          <w:tcPr>
            <w:tcW w:w="644" w:type="pct"/>
            <w:tcBorders>
              <w:top w:val="nil"/>
              <w:left w:val="nil"/>
              <w:bottom w:val="single" w:sz="4" w:space="0" w:color="BFBFBF"/>
              <w:right w:val="single" w:sz="4" w:space="0" w:color="A6A6A6"/>
            </w:tcBorders>
            <w:shd w:val="clear" w:color="000000" w:fill="C7CFD8"/>
            <w:vAlign w:val="center"/>
            <w:hideMark/>
          </w:tcPr>
          <w:p w14:paraId="049451E2"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 xml:space="preserve">Autres dépenses </w:t>
            </w:r>
          </w:p>
        </w:tc>
        <w:tc>
          <w:tcPr>
            <w:tcW w:w="705" w:type="pct"/>
            <w:tcBorders>
              <w:top w:val="nil"/>
              <w:left w:val="nil"/>
              <w:bottom w:val="single" w:sz="4" w:space="0" w:color="BFBFBF"/>
              <w:right w:val="single" w:sz="4" w:space="0" w:color="A6A6A6"/>
            </w:tcBorders>
            <w:shd w:val="clear" w:color="000000" w:fill="C7CFD8"/>
            <w:vAlign w:val="center"/>
            <w:hideMark/>
          </w:tcPr>
          <w:p w14:paraId="491603D2"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 xml:space="preserve">Dépenses de personnel </w:t>
            </w:r>
          </w:p>
        </w:tc>
        <w:tc>
          <w:tcPr>
            <w:tcW w:w="706" w:type="pct"/>
            <w:tcBorders>
              <w:top w:val="nil"/>
              <w:left w:val="nil"/>
              <w:bottom w:val="single" w:sz="4" w:space="0" w:color="BFBFBF"/>
              <w:right w:val="single" w:sz="4" w:space="0" w:color="A6A6A6"/>
            </w:tcBorders>
            <w:shd w:val="clear" w:color="000000" w:fill="C7CFD8"/>
            <w:vAlign w:val="center"/>
            <w:hideMark/>
          </w:tcPr>
          <w:p w14:paraId="6C9D7C62" w14:textId="77777777" w:rsidR="00DD3A94" w:rsidRPr="00552BB0" w:rsidRDefault="00DD3A94" w:rsidP="009D48A4">
            <w:pPr>
              <w:spacing w:before="120" w:after="120"/>
              <w:jc w:val="center"/>
              <w:rPr>
                <w:rFonts w:eastAsia="Times New Roman"/>
                <w:b/>
                <w:bCs/>
                <w:color w:val="002839"/>
                <w:sz w:val="18"/>
                <w:szCs w:val="18"/>
                <w:lang w:val="fr-FR"/>
              </w:rPr>
            </w:pPr>
            <w:r w:rsidRPr="00552BB0">
              <w:rPr>
                <w:b/>
                <w:color w:val="002839"/>
                <w:sz w:val="18"/>
                <w:lang w:val="fr-FR"/>
              </w:rPr>
              <w:t xml:space="preserve">Autres dépenses </w:t>
            </w:r>
          </w:p>
        </w:tc>
        <w:tc>
          <w:tcPr>
            <w:tcW w:w="622" w:type="pct"/>
            <w:vMerge/>
            <w:tcBorders>
              <w:top w:val="single" w:sz="4" w:space="0" w:color="BFBFBF"/>
              <w:left w:val="nil"/>
              <w:bottom w:val="single" w:sz="4" w:space="0" w:color="BFBFBF"/>
              <w:right w:val="single" w:sz="4" w:space="0" w:color="BFBFBF"/>
            </w:tcBorders>
            <w:vAlign w:val="center"/>
            <w:hideMark/>
          </w:tcPr>
          <w:p w14:paraId="70B9A76C" w14:textId="77777777" w:rsidR="00DD3A94" w:rsidRPr="00552BB0" w:rsidRDefault="00DD3A94" w:rsidP="009D48A4">
            <w:pPr>
              <w:spacing w:before="120" w:after="120"/>
              <w:rPr>
                <w:rFonts w:eastAsia="Times New Roman"/>
                <w:b/>
                <w:bCs/>
                <w:color w:val="002839"/>
                <w:sz w:val="18"/>
                <w:szCs w:val="18"/>
                <w:lang w:val="fr-FR"/>
              </w:rPr>
            </w:pPr>
          </w:p>
        </w:tc>
      </w:tr>
      <w:tr w:rsidR="00954994" w:rsidRPr="00552BB0" w14:paraId="132C7792" w14:textId="77777777" w:rsidTr="00954994">
        <w:trPr>
          <w:trHeight w:val="364"/>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7134754C" w14:textId="710A8A34"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Étude exploratoire sur les connaissances, les expériences et les enseignements tirés de situations de crise spécifiques ou d</w:t>
            </w:r>
            <w:r w:rsidR="005C3C29" w:rsidRPr="00552BB0">
              <w:rPr>
                <w:color w:val="002839"/>
                <w:sz w:val="18"/>
                <w:lang w:val="fr-FR"/>
              </w:rPr>
              <w:t>’</w:t>
            </w:r>
            <w:r w:rsidRPr="00552BB0">
              <w:rPr>
                <w:color w:val="002839"/>
                <w:sz w:val="18"/>
                <w:lang w:val="fr-FR"/>
              </w:rPr>
              <w:t xml:space="preserve">urgences </w:t>
            </w:r>
          </w:p>
        </w:tc>
        <w:tc>
          <w:tcPr>
            <w:tcW w:w="643" w:type="pct"/>
            <w:tcBorders>
              <w:top w:val="nil"/>
              <w:left w:val="nil"/>
              <w:bottom w:val="single" w:sz="4" w:space="0" w:color="BFBFBF"/>
              <w:right w:val="single" w:sz="4" w:space="0" w:color="BFBFBF"/>
            </w:tcBorders>
            <w:shd w:val="clear" w:color="auto" w:fill="auto"/>
            <w:noWrap/>
            <w:vAlign w:val="bottom"/>
            <w:hideMark/>
          </w:tcPr>
          <w:p w14:paraId="0484E93D"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79F469C0"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30 000 </w:t>
            </w:r>
          </w:p>
        </w:tc>
        <w:tc>
          <w:tcPr>
            <w:tcW w:w="705" w:type="pct"/>
            <w:tcBorders>
              <w:top w:val="nil"/>
              <w:left w:val="nil"/>
              <w:bottom w:val="single" w:sz="4" w:space="0" w:color="BFBFBF"/>
              <w:right w:val="single" w:sz="4" w:space="0" w:color="BFBFBF"/>
            </w:tcBorders>
            <w:shd w:val="clear" w:color="auto" w:fill="auto"/>
            <w:noWrap/>
            <w:vAlign w:val="bottom"/>
            <w:hideMark/>
          </w:tcPr>
          <w:p w14:paraId="3089EB7A"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361B838F" w14:textId="77777777" w:rsidR="00DD3A94" w:rsidRPr="00552BB0" w:rsidRDefault="00DD3A94" w:rsidP="009D48A4">
            <w:pPr>
              <w:spacing w:before="120" w:after="120"/>
              <w:jc w:val="right"/>
              <w:rPr>
                <w:rFonts w:eastAsia="Times New Roman"/>
                <w:color w:val="000000"/>
                <w:sz w:val="18"/>
                <w:szCs w:val="18"/>
                <w:lang w:val="fr-FR"/>
              </w:rPr>
            </w:pPr>
            <w:r w:rsidRPr="00552BB0">
              <w:rPr>
                <w:rFonts w:ascii="Arial Narrow" w:hAnsi="Arial Narrow"/>
                <w:color w:val="002839"/>
                <w:sz w:val="20"/>
                <w:lang w:val="fr-FR"/>
              </w:rPr>
              <w:t>–</w:t>
            </w:r>
          </w:p>
        </w:tc>
        <w:tc>
          <w:tcPr>
            <w:tcW w:w="622" w:type="pct"/>
            <w:tcBorders>
              <w:top w:val="nil"/>
              <w:left w:val="nil"/>
              <w:bottom w:val="single" w:sz="4" w:space="0" w:color="BFBFBF"/>
              <w:right w:val="single" w:sz="4" w:space="0" w:color="BFBFBF"/>
            </w:tcBorders>
            <w:shd w:val="clear" w:color="auto" w:fill="auto"/>
            <w:noWrap/>
            <w:vAlign w:val="bottom"/>
            <w:hideMark/>
          </w:tcPr>
          <w:p w14:paraId="5892CF6D"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30 000 </w:t>
            </w:r>
          </w:p>
        </w:tc>
      </w:tr>
      <w:tr w:rsidR="00954994" w:rsidRPr="00552BB0" w14:paraId="76394CE8" w14:textId="77777777" w:rsidTr="00954994">
        <w:trPr>
          <w:trHeight w:val="175"/>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2BF3CFE4" w14:textId="77777777"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Séminaire sur la gestion de la propriété intellectuelle et la fourniture de services en temps de crise</w:t>
            </w:r>
          </w:p>
        </w:tc>
        <w:tc>
          <w:tcPr>
            <w:tcW w:w="643" w:type="pct"/>
            <w:tcBorders>
              <w:top w:val="nil"/>
              <w:left w:val="nil"/>
              <w:bottom w:val="single" w:sz="4" w:space="0" w:color="BFBFBF"/>
              <w:right w:val="single" w:sz="4" w:space="0" w:color="BFBFBF"/>
            </w:tcBorders>
            <w:shd w:val="clear" w:color="auto" w:fill="auto"/>
            <w:noWrap/>
            <w:vAlign w:val="bottom"/>
            <w:hideMark/>
          </w:tcPr>
          <w:p w14:paraId="437B2BFA"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675300F7"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95 000 </w:t>
            </w:r>
          </w:p>
        </w:tc>
        <w:tc>
          <w:tcPr>
            <w:tcW w:w="705" w:type="pct"/>
            <w:tcBorders>
              <w:top w:val="nil"/>
              <w:left w:val="nil"/>
              <w:bottom w:val="single" w:sz="4" w:space="0" w:color="BFBFBF"/>
              <w:right w:val="single" w:sz="4" w:space="0" w:color="BFBFBF"/>
            </w:tcBorders>
            <w:shd w:val="clear" w:color="auto" w:fill="auto"/>
            <w:noWrap/>
            <w:vAlign w:val="bottom"/>
            <w:hideMark/>
          </w:tcPr>
          <w:p w14:paraId="7658FA30"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4E830A4F"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w:t>
            </w:r>
            <w:r w:rsidRPr="00552BB0">
              <w:rPr>
                <w:rFonts w:ascii="Arial Narrow" w:hAnsi="Arial Narrow"/>
                <w:color w:val="002839"/>
                <w:sz w:val="20"/>
                <w:lang w:val="fr-FR"/>
              </w:rPr>
              <w:t>–</w:t>
            </w:r>
          </w:p>
        </w:tc>
        <w:tc>
          <w:tcPr>
            <w:tcW w:w="622" w:type="pct"/>
            <w:tcBorders>
              <w:top w:val="nil"/>
              <w:left w:val="nil"/>
              <w:bottom w:val="single" w:sz="4" w:space="0" w:color="BFBFBF"/>
              <w:right w:val="single" w:sz="4" w:space="0" w:color="BFBFBF"/>
            </w:tcBorders>
            <w:shd w:val="clear" w:color="auto" w:fill="auto"/>
            <w:noWrap/>
            <w:vAlign w:val="bottom"/>
            <w:hideMark/>
          </w:tcPr>
          <w:p w14:paraId="142F50BE"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95 000 </w:t>
            </w:r>
          </w:p>
        </w:tc>
      </w:tr>
      <w:tr w:rsidR="00954994" w:rsidRPr="00552BB0" w14:paraId="751CD4F8" w14:textId="77777777" w:rsidTr="00954994">
        <w:trPr>
          <w:trHeight w:val="193"/>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0F484FDA" w14:textId="26018E9A"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Identification et validation des spécialistes nationaux et régionaux à inclure dans la base de données relative à la liste des consultants de l</w:t>
            </w:r>
            <w:r w:rsidR="005C3C29" w:rsidRPr="00552BB0">
              <w:rPr>
                <w:color w:val="002839"/>
                <w:sz w:val="18"/>
                <w:lang w:val="fr-FR"/>
              </w:rPr>
              <w:t>’</w:t>
            </w:r>
            <w:r w:rsidRPr="00552BB0">
              <w:rPr>
                <w:color w:val="002839"/>
                <w:sz w:val="18"/>
                <w:lang w:val="fr-FR"/>
              </w:rPr>
              <w:t>OMPI (IP</w:t>
            </w:r>
            <w:r w:rsidR="00B065DC">
              <w:rPr>
                <w:color w:val="002839"/>
                <w:sz w:val="18"/>
                <w:lang w:val="fr-FR"/>
              </w:rPr>
              <w:noBreakHyphen/>
            </w:r>
            <w:r w:rsidRPr="00552BB0">
              <w:rPr>
                <w:color w:val="002839"/>
                <w:sz w:val="18"/>
                <w:lang w:val="fr-FR"/>
              </w:rPr>
              <w:t xml:space="preserve">ROC) </w:t>
            </w:r>
          </w:p>
        </w:tc>
        <w:tc>
          <w:tcPr>
            <w:tcW w:w="643" w:type="pct"/>
            <w:tcBorders>
              <w:top w:val="nil"/>
              <w:left w:val="nil"/>
              <w:bottom w:val="single" w:sz="4" w:space="0" w:color="BFBFBF"/>
              <w:right w:val="single" w:sz="4" w:space="0" w:color="BFBFBF"/>
            </w:tcBorders>
            <w:shd w:val="clear" w:color="auto" w:fill="auto"/>
            <w:noWrap/>
            <w:vAlign w:val="bottom"/>
            <w:hideMark/>
          </w:tcPr>
          <w:p w14:paraId="642C2381"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0C5AE661"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10 000 </w:t>
            </w:r>
          </w:p>
        </w:tc>
        <w:tc>
          <w:tcPr>
            <w:tcW w:w="705" w:type="pct"/>
            <w:tcBorders>
              <w:top w:val="nil"/>
              <w:left w:val="nil"/>
              <w:bottom w:val="single" w:sz="4" w:space="0" w:color="BFBFBF"/>
              <w:right w:val="single" w:sz="4" w:space="0" w:color="BFBFBF"/>
            </w:tcBorders>
            <w:shd w:val="clear" w:color="auto" w:fill="auto"/>
            <w:noWrap/>
            <w:vAlign w:val="bottom"/>
            <w:hideMark/>
          </w:tcPr>
          <w:p w14:paraId="1644DAE7"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6A8E8437"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w:t>
            </w:r>
            <w:r w:rsidRPr="00552BB0">
              <w:rPr>
                <w:rFonts w:ascii="Arial Narrow" w:hAnsi="Arial Narrow"/>
                <w:color w:val="002839"/>
                <w:sz w:val="20"/>
                <w:lang w:val="fr-FR"/>
              </w:rPr>
              <w:t>–</w:t>
            </w:r>
          </w:p>
        </w:tc>
        <w:tc>
          <w:tcPr>
            <w:tcW w:w="622" w:type="pct"/>
            <w:tcBorders>
              <w:top w:val="nil"/>
              <w:left w:val="nil"/>
              <w:bottom w:val="single" w:sz="4" w:space="0" w:color="BFBFBF"/>
              <w:right w:val="single" w:sz="4" w:space="0" w:color="BFBFBF"/>
            </w:tcBorders>
            <w:shd w:val="clear" w:color="auto" w:fill="auto"/>
            <w:noWrap/>
            <w:vAlign w:val="bottom"/>
            <w:hideMark/>
          </w:tcPr>
          <w:p w14:paraId="787329F0"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10 000 </w:t>
            </w:r>
          </w:p>
        </w:tc>
      </w:tr>
      <w:tr w:rsidR="00954994" w:rsidRPr="00552BB0" w14:paraId="5B48587F" w14:textId="77777777" w:rsidTr="00954994">
        <w:trPr>
          <w:trHeight w:val="50"/>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6E2326CD" w14:textId="1CA84475"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Élaboration d</w:t>
            </w:r>
            <w:r w:rsidR="005C3C29" w:rsidRPr="00552BB0">
              <w:rPr>
                <w:color w:val="002839"/>
                <w:sz w:val="18"/>
                <w:lang w:val="fr-FR"/>
              </w:rPr>
              <w:t>’</w:t>
            </w:r>
            <w:r w:rsidRPr="00552BB0">
              <w:rPr>
                <w:color w:val="002839"/>
                <w:sz w:val="18"/>
                <w:lang w:val="fr-FR"/>
              </w:rPr>
              <w:t>outils de sensibilisation à la propriété intellectuelle et à la gestion des crises</w:t>
            </w:r>
          </w:p>
        </w:tc>
        <w:tc>
          <w:tcPr>
            <w:tcW w:w="643" w:type="pct"/>
            <w:tcBorders>
              <w:top w:val="nil"/>
              <w:left w:val="nil"/>
              <w:bottom w:val="single" w:sz="4" w:space="0" w:color="BFBFBF"/>
              <w:right w:val="single" w:sz="4" w:space="0" w:color="BFBFBF"/>
            </w:tcBorders>
            <w:shd w:val="clear" w:color="auto" w:fill="auto"/>
            <w:noWrap/>
            <w:vAlign w:val="bottom"/>
            <w:hideMark/>
          </w:tcPr>
          <w:p w14:paraId="5594784A"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3BD7856D"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20 000 </w:t>
            </w:r>
          </w:p>
        </w:tc>
        <w:tc>
          <w:tcPr>
            <w:tcW w:w="705" w:type="pct"/>
            <w:tcBorders>
              <w:top w:val="nil"/>
              <w:left w:val="nil"/>
              <w:bottom w:val="single" w:sz="4" w:space="0" w:color="BFBFBF"/>
              <w:right w:val="single" w:sz="4" w:space="0" w:color="BFBFBF"/>
            </w:tcBorders>
            <w:shd w:val="clear" w:color="auto" w:fill="auto"/>
            <w:noWrap/>
            <w:vAlign w:val="bottom"/>
            <w:hideMark/>
          </w:tcPr>
          <w:p w14:paraId="56267891"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1CEC47F1"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20 000 </w:t>
            </w:r>
          </w:p>
        </w:tc>
        <w:tc>
          <w:tcPr>
            <w:tcW w:w="622" w:type="pct"/>
            <w:tcBorders>
              <w:top w:val="nil"/>
              <w:left w:val="nil"/>
              <w:bottom w:val="single" w:sz="4" w:space="0" w:color="BFBFBF"/>
              <w:right w:val="single" w:sz="4" w:space="0" w:color="BFBFBF"/>
            </w:tcBorders>
            <w:shd w:val="clear" w:color="auto" w:fill="auto"/>
            <w:noWrap/>
            <w:vAlign w:val="bottom"/>
            <w:hideMark/>
          </w:tcPr>
          <w:p w14:paraId="2F90A64B"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40 000 </w:t>
            </w:r>
          </w:p>
        </w:tc>
      </w:tr>
      <w:tr w:rsidR="00954994" w:rsidRPr="00552BB0" w14:paraId="78B1065A" w14:textId="77777777" w:rsidTr="00954994">
        <w:trPr>
          <w:trHeight w:val="50"/>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0177E465" w14:textId="77777777"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 xml:space="preserve">Évaluation du projet </w:t>
            </w:r>
          </w:p>
        </w:tc>
        <w:tc>
          <w:tcPr>
            <w:tcW w:w="643" w:type="pct"/>
            <w:tcBorders>
              <w:top w:val="nil"/>
              <w:left w:val="nil"/>
              <w:bottom w:val="single" w:sz="4" w:space="0" w:color="BFBFBF"/>
              <w:right w:val="single" w:sz="4" w:space="0" w:color="BFBFBF"/>
            </w:tcBorders>
            <w:shd w:val="clear" w:color="auto" w:fill="auto"/>
            <w:noWrap/>
            <w:vAlign w:val="bottom"/>
            <w:hideMark/>
          </w:tcPr>
          <w:p w14:paraId="6F81AB83"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5C9DC2F7"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w:t>
            </w:r>
            <w:r w:rsidRPr="00552BB0">
              <w:rPr>
                <w:rFonts w:ascii="Arial Narrow" w:hAnsi="Arial Narrow"/>
                <w:color w:val="002839"/>
                <w:sz w:val="20"/>
                <w:lang w:val="fr-FR"/>
              </w:rPr>
              <w:t>–</w:t>
            </w:r>
          </w:p>
        </w:tc>
        <w:tc>
          <w:tcPr>
            <w:tcW w:w="705" w:type="pct"/>
            <w:tcBorders>
              <w:top w:val="nil"/>
              <w:left w:val="nil"/>
              <w:bottom w:val="single" w:sz="4" w:space="0" w:color="BFBFBF"/>
              <w:right w:val="single" w:sz="4" w:space="0" w:color="BFBFBF"/>
            </w:tcBorders>
            <w:shd w:val="clear" w:color="auto" w:fill="auto"/>
            <w:noWrap/>
            <w:vAlign w:val="bottom"/>
            <w:hideMark/>
          </w:tcPr>
          <w:p w14:paraId="2B4D6535"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5330762C"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15 000 </w:t>
            </w:r>
          </w:p>
        </w:tc>
        <w:tc>
          <w:tcPr>
            <w:tcW w:w="622" w:type="pct"/>
            <w:tcBorders>
              <w:top w:val="nil"/>
              <w:left w:val="nil"/>
              <w:bottom w:val="single" w:sz="4" w:space="0" w:color="BFBFBF"/>
              <w:right w:val="single" w:sz="4" w:space="0" w:color="BFBFBF"/>
            </w:tcBorders>
            <w:shd w:val="clear" w:color="auto" w:fill="auto"/>
            <w:noWrap/>
            <w:vAlign w:val="bottom"/>
            <w:hideMark/>
          </w:tcPr>
          <w:p w14:paraId="0532609C"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15 000 </w:t>
            </w:r>
          </w:p>
        </w:tc>
      </w:tr>
      <w:tr w:rsidR="00954994" w:rsidRPr="00552BB0" w14:paraId="0D1355BF" w14:textId="77777777" w:rsidTr="00954994">
        <w:trPr>
          <w:trHeight w:val="50"/>
        </w:trPr>
        <w:tc>
          <w:tcPr>
            <w:tcW w:w="1680" w:type="pct"/>
            <w:tcBorders>
              <w:top w:val="nil"/>
              <w:left w:val="single" w:sz="4" w:space="0" w:color="BFBFBF"/>
              <w:bottom w:val="single" w:sz="4" w:space="0" w:color="BFBFBF"/>
              <w:right w:val="single" w:sz="4" w:space="0" w:color="BFBFBF"/>
            </w:tcBorders>
            <w:shd w:val="clear" w:color="auto" w:fill="auto"/>
            <w:vAlign w:val="center"/>
            <w:hideMark/>
          </w:tcPr>
          <w:p w14:paraId="3A4DA80D" w14:textId="3358FDDB" w:rsidR="00DD3A94" w:rsidRPr="00552BB0" w:rsidRDefault="00DD3A94" w:rsidP="009D48A4">
            <w:pPr>
              <w:spacing w:before="120" w:after="120"/>
              <w:rPr>
                <w:rFonts w:eastAsia="Times New Roman"/>
                <w:color w:val="002839"/>
                <w:sz w:val="18"/>
                <w:szCs w:val="18"/>
                <w:lang w:val="fr-FR"/>
              </w:rPr>
            </w:pPr>
            <w:r w:rsidRPr="00552BB0">
              <w:rPr>
                <w:color w:val="002839"/>
                <w:sz w:val="18"/>
                <w:lang w:val="fr-FR"/>
              </w:rPr>
              <w:t>Événement en marge de la session</w:t>
            </w:r>
            <w:r w:rsidR="005C3C29" w:rsidRPr="00552BB0">
              <w:rPr>
                <w:color w:val="002839"/>
                <w:sz w:val="18"/>
                <w:lang w:val="fr-FR"/>
              </w:rPr>
              <w:t xml:space="preserve"> du CDI</w:t>
            </w:r>
            <w:r w:rsidRPr="00552BB0">
              <w:rPr>
                <w:color w:val="002839"/>
                <w:sz w:val="18"/>
                <w:lang w:val="fr-FR"/>
              </w:rPr>
              <w:t xml:space="preserve">P </w:t>
            </w:r>
          </w:p>
        </w:tc>
        <w:tc>
          <w:tcPr>
            <w:tcW w:w="643" w:type="pct"/>
            <w:tcBorders>
              <w:top w:val="nil"/>
              <w:left w:val="nil"/>
              <w:bottom w:val="single" w:sz="4" w:space="0" w:color="BFBFBF"/>
              <w:right w:val="single" w:sz="4" w:space="0" w:color="BFBFBF"/>
            </w:tcBorders>
            <w:shd w:val="clear" w:color="auto" w:fill="auto"/>
            <w:noWrap/>
            <w:vAlign w:val="bottom"/>
            <w:hideMark/>
          </w:tcPr>
          <w:p w14:paraId="5034D037"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644" w:type="pct"/>
            <w:tcBorders>
              <w:top w:val="nil"/>
              <w:left w:val="nil"/>
              <w:bottom w:val="single" w:sz="4" w:space="0" w:color="BFBFBF"/>
              <w:right w:val="single" w:sz="4" w:space="0" w:color="BFBFBF"/>
            </w:tcBorders>
            <w:shd w:val="clear" w:color="auto" w:fill="auto"/>
            <w:vAlign w:val="bottom"/>
            <w:hideMark/>
          </w:tcPr>
          <w:p w14:paraId="1524B17D"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w:t>
            </w:r>
            <w:r w:rsidRPr="00552BB0">
              <w:rPr>
                <w:rFonts w:ascii="Arial Narrow" w:hAnsi="Arial Narrow"/>
                <w:color w:val="002839"/>
                <w:sz w:val="20"/>
                <w:lang w:val="fr-FR"/>
              </w:rPr>
              <w:t>–</w:t>
            </w:r>
          </w:p>
        </w:tc>
        <w:tc>
          <w:tcPr>
            <w:tcW w:w="705" w:type="pct"/>
            <w:tcBorders>
              <w:top w:val="nil"/>
              <w:left w:val="nil"/>
              <w:bottom w:val="single" w:sz="4" w:space="0" w:color="BFBFBF"/>
              <w:right w:val="single" w:sz="4" w:space="0" w:color="BFBFBF"/>
            </w:tcBorders>
            <w:shd w:val="clear" w:color="auto" w:fill="auto"/>
            <w:noWrap/>
            <w:vAlign w:val="bottom"/>
            <w:hideMark/>
          </w:tcPr>
          <w:p w14:paraId="3BB9C447" w14:textId="77777777" w:rsidR="00DD3A94" w:rsidRPr="00552BB0" w:rsidRDefault="00DD3A94" w:rsidP="009D48A4">
            <w:pPr>
              <w:spacing w:before="120" w:after="120"/>
              <w:jc w:val="right"/>
              <w:rPr>
                <w:rFonts w:eastAsia="Times New Roman"/>
                <w:color w:val="002839"/>
                <w:sz w:val="18"/>
                <w:szCs w:val="18"/>
                <w:lang w:val="fr-FR"/>
              </w:rPr>
            </w:pPr>
            <w:r w:rsidRPr="00552BB0">
              <w:rPr>
                <w:rFonts w:ascii="Arial Narrow" w:hAnsi="Arial Narrow"/>
                <w:color w:val="002839"/>
                <w:sz w:val="20"/>
                <w:lang w:val="fr-FR"/>
              </w:rPr>
              <w:t>–</w:t>
            </w:r>
          </w:p>
        </w:tc>
        <w:tc>
          <w:tcPr>
            <w:tcW w:w="706" w:type="pct"/>
            <w:tcBorders>
              <w:top w:val="nil"/>
              <w:left w:val="nil"/>
              <w:bottom w:val="single" w:sz="4" w:space="0" w:color="BFBFBF"/>
              <w:right w:val="single" w:sz="4" w:space="0" w:color="BFBFBF"/>
            </w:tcBorders>
            <w:shd w:val="clear" w:color="auto" w:fill="auto"/>
            <w:vAlign w:val="bottom"/>
            <w:hideMark/>
          </w:tcPr>
          <w:p w14:paraId="60ABB6A7" w14:textId="77777777" w:rsidR="00DD3A94" w:rsidRPr="00552BB0" w:rsidRDefault="00DD3A94" w:rsidP="009D48A4">
            <w:pPr>
              <w:spacing w:before="120" w:after="120"/>
              <w:jc w:val="right"/>
              <w:rPr>
                <w:rFonts w:eastAsia="Times New Roman"/>
                <w:color w:val="000000"/>
                <w:sz w:val="18"/>
                <w:szCs w:val="18"/>
                <w:lang w:val="fr-FR"/>
              </w:rPr>
            </w:pPr>
            <w:r w:rsidRPr="00552BB0">
              <w:rPr>
                <w:color w:val="000000"/>
                <w:sz w:val="18"/>
                <w:lang w:val="fr-FR"/>
              </w:rPr>
              <w:t xml:space="preserve">15 000 </w:t>
            </w:r>
          </w:p>
        </w:tc>
        <w:tc>
          <w:tcPr>
            <w:tcW w:w="622" w:type="pct"/>
            <w:tcBorders>
              <w:top w:val="nil"/>
              <w:left w:val="nil"/>
              <w:bottom w:val="single" w:sz="4" w:space="0" w:color="BFBFBF"/>
              <w:right w:val="single" w:sz="4" w:space="0" w:color="BFBFBF"/>
            </w:tcBorders>
            <w:shd w:val="clear" w:color="auto" w:fill="auto"/>
            <w:noWrap/>
            <w:vAlign w:val="bottom"/>
            <w:hideMark/>
          </w:tcPr>
          <w:p w14:paraId="368AFCDC" w14:textId="77777777" w:rsidR="00DD3A94" w:rsidRPr="00552BB0" w:rsidRDefault="00DD3A94" w:rsidP="009D48A4">
            <w:pPr>
              <w:spacing w:before="120" w:after="120"/>
              <w:jc w:val="right"/>
              <w:rPr>
                <w:rFonts w:eastAsia="Times New Roman"/>
                <w:color w:val="002839"/>
                <w:sz w:val="18"/>
                <w:szCs w:val="18"/>
                <w:lang w:val="fr-FR"/>
              </w:rPr>
            </w:pPr>
            <w:r w:rsidRPr="00552BB0">
              <w:rPr>
                <w:color w:val="002839"/>
                <w:sz w:val="18"/>
                <w:lang w:val="fr-FR"/>
              </w:rPr>
              <w:t xml:space="preserve">15 000 </w:t>
            </w:r>
          </w:p>
        </w:tc>
      </w:tr>
      <w:tr w:rsidR="00AC5B03" w:rsidRPr="00552BB0" w14:paraId="2368C4A2" w14:textId="77777777" w:rsidTr="00954994">
        <w:trPr>
          <w:trHeight w:val="250"/>
        </w:trPr>
        <w:tc>
          <w:tcPr>
            <w:tcW w:w="1680" w:type="pct"/>
            <w:tcBorders>
              <w:top w:val="nil"/>
              <w:left w:val="single" w:sz="4" w:space="0" w:color="BFBFBF"/>
              <w:bottom w:val="single" w:sz="4" w:space="0" w:color="BFBFBF"/>
              <w:right w:val="single" w:sz="4" w:space="0" w:color="BFBFBF"/>
            </w:tcBorders>
            <w:shd w:val="clear" w:color="000000" w:fill="EDF0F3"/>
            <w:vAlign w:val="center"/>
            <w:hideMark/>
          </w:tcPr>
          <w:p w14:paraId="39CD415A" w14:textId="77777777" w:rsidR="00DD3A94" w:rsidRPr="00552BB0" w:rsidRDefault="00DD3A94" w:rsidP="009D48A4">
            <w:pPr>
              <w:spacing w:before="120" w:after="120"/>
              <w:rPr>
                <w:rFonts w:eastAsia="Times New Roman"/>
                <w:b/>
                <w:bCs/>
                <w:color w:val="002839"/>
                <w:sz w:val="18"/>
                <w:szCs w:val="18"/>
                <w:lang w:val="fr-FR"/>
              </w:rPr>
            </w:pPr>
            <w:r w:rsidRPr="00552BB0">
              <w:rPr>
                <w:b/>
                <w:color w:val="002839"/>
                <w:sz w:val="18"/>
                <w:lang w:val="fr-FR"/>
              </w:rPr>
              <w:t xml:space="preserve">Total </w:t>
            </w:r>
          </w:p>
        </w:tc>
        <w:tc>
          <w:tcPr>
            <w:tcW w:w="643" w:type="pct"/>
            <w:tcBorders>
              <w:top w:val="nil"/>
              <w:left w:val="nil"/>
              <w:bottom w:val="single" w:sz="4" w:space="0" w:color="BFBFBF"/>
              <w:right w:val="single" w:sz="4" w:space="0" w:color="BFBFBF"/>
            </w:tcBorders>
            <w:shd w:val="clear" w:color="000000" w:fill="EDF0F3"/>
            <w:noWrap/>
            <w:vAlign w:val="bottom"/>
            <w:hideMark/>
          </w:tcPr>
          <w:p w14:paraId="1250DFAE" w14:textId="3A362DFF" w:rsidR="00DD3A94" w:rsidRPr="00552BB0" w:rsidRDefault="00B065DC" w:rsidP="009D48A4">
            <w:pPr>
              <w:spacing w:before="120" w:after="120"/>
              <w:jc w:val="right"/>
              <w:rPr>
                <w:rFonts w:eastAsia="Times New Roman"/>
                <w:b/>
                <w:bCs/>
                <w:color w:val="002839"/>
                <w:sz w:val="18"/>
                <w:szCs w:val="18"/>
                <w:lang w:val="fr-FR"/>
              </w:rPr>
            </w:pPr>
            <w:r>
              <w:rPr>
                <w:rFonts w:ascii="Arial Narrow" w:hAnsi="Arial Narrow"/>
                <w:b/>
                <w:sz w:val="18"/>
                <w:lang w:val="fr-FR"/>
              </w:rPr>
              <w:noBreakHyphen/>
            </w:r>
          </w:p>
        </w:tc>
        <w:tc>
          <w:tcPr>
            <w:tcW w:w="644" w:type="pct"/>
            <w:tcBorders>
              <w:top w:val="nil"/>
              <w:left w:val="nil"/>
              <w:bottom w:val="single" w:sz="4" w:space="0" w:color="BFBFBF"/>
              <w:right w:val="single" w:sz="4" w:space="0" w:color="BFBFBF"/>
            </w:tcBorders>
            <w:shd w:val="clear" w:color="000000" w:fill="EDF0F3"/>
            <w:noWrap/>
            <w:vAlign w:val="bottom"/>
            <w:hideMark/>
          </w:tcPr>
          <w:p w14:paraId="43A1E2B6" w14:textId="77777777" w:rsidR="00DD3A94" w:rsidRPr="00552BB0" w:rsidRDefault="00DD3A94" w:rsidP="009D48A4">
            <w:pPr>
              <w:spacing w:before="120" w:after="120"/>
              <w:jc w:val="right"/>
              <w:rPr>
                <w:rFonts w:eastAsia="Times New Roman"/>
                <w:b/>
                <w:bCs/>
                <w:color w:val="002839"/>
                <w:sz w:val="18"/>
                <w:szCs w:val="18"/>
                <w:lang w:val="fr-FR"/>
              </w:rPr>
            </w:pPr>
            <w:r w:rsidRPr="00552BB0">
              <w:rPr>
                <w:b/>
                <w:color w:val="002839"/>
                <w:sz w:val="18"/>
                <w:lang w:val="fr-FR"/>
              </w:rPr>
              <w:t xml:space="preserve">155 000 </w:t>
            </w:r>
          </w:p>
        </w:tc>
        <w:tc>
          <w:tcPr>
            <w:tcW w:w="705" w:type="pct"/>
            <w:tcBorders>
              <w:top w:val="nil"/>
              <w:left w:val="nil"/>
              <w:bottom w:val="single" w:sz="4" w:space="0" w:color="BFBFBF"/>
              <w:right w:val="single" w:sz="4" w:space="0" w:color="BFBFBF"/>
            </w:tcBorders>
            <w:shd w:val="clear" w:color="000000" w:fill="EDF0F3"/>
            <w:noWrap/>
            <w:vAlign w:val="bottom"/>
            <w:hideMark/>
          </w:tcPr>
          <w:p w14:paraId="34834B6A" w14:textId="56E28999" w:rsidR="00DD3A94" w:rsidRPr="00552BB0" w:rsidRDefault="00B065DC" w:rsidP="009D48A4">
            <w:pPr>
              <w:spacing w:before="120" w:after="120"/>
              <w:jc w:val="right"/>
              <w:rPr>
                <w:rFonts w:eastAsia="Times New Roman"/>
                <w:b/>
                <w:bCs/>
                <w:color w:val="002839"/>
                <w:sz w:val="18"/>
                <w:szCs w:val="18"/>
                <w:lang w:val="fr-FR"/>
              </w:rPr>
            </w:pPr>
            <w:r>
              <w:rPr>
                <w:rFonts w:ascii="Arial Narrow" w:hAnsi="Arial Narrow"/>
                <w:b/>
                <w:sz w:val="18"/>
                <w:lang w:val="fr-FR"/>
              </w:rPr>
              <w:noBreakHyphen/>
            </w:r>
          </w:p>
        </w:tc>
        <w:tc>
          <w:tcPr>
            <w:tcW w:w="706" w:type="pct"/>
            <w:tcBorders>
              <w:top w:val="nil"/>
              <w:left w:val="nil"/>
              <w:bottom w:val="single" w:sz="4" w:space="0" w:color="BFBFBF"/>
              <w:right w:val="single" w:sz="4" w:space="0" w:color="BFBFBF"/>
            </w:tcBorders>
            <w:shd w:val="clear" w:color="000000" w:fill="EDF0F3"/>
            <w:noWrap/>
            <w:vAlign w:val="bottom"/>
            <w:hideMark/>
          </w:tcPr>
          <w:p w14:paraId="2BF0FF8B" w14:textId="77777777" w:rsidR="00DD3A94" w:rsidRPr="00552BB0" w:rsidRDefault="00DD3A94" w:rsidP="009D48A4">
            <w:pPr>
              <w:spacing w:before="120" w:after="120"/>
              <w:jc w:val="right"/>
              <w:rPr>
                <w:rFonts w:eastAsia="Times New Roman"/>
                <w:b/>
                <w:bCs/>
                <w:color w:val="002839"/>
                <w:sz w:val="18"/>
                <w:szCs w:val="18"/>
                <w:lang w:val="fr-FR"/>
              </w:rPr>
            </w:pPr>
            <w:r w:rsidRPr="00552BB0">
              <w:rPr>
                <w:b/>
                <w:color w:val="002839"/>
                <w:sz w:val="18"/>
                <w:lang w:val="fr-FR"/>
              </w:rPr>
              <w:t xml:space="preserve">50 000 </w:t>
            </w:r>
          </w:p>
        </w:tc>
        <w:tc>
          <w:tcPr>
            <w:tcW w:w="622" w:type="pct"/>
            <w:tcBorders>
              <w:top w:val="nil"/>
              <w:left w:val="nil"/>
              <w:bottom w:val="single" w:sz="4" w:space="0" w:color="BFBFBF"/>
              <w:right w:val="single" w:sz="4" w:space="0" w:color="BFBFBF"/>
            </w:tcBorders>
            <w:shd w:val="clear" w:color="000000" w:fill="EDF0F3"/>
            <w:noWrap/>
            <w:vAlign w:val="bottom"/>
            <w:hideMark/>
          </w:tcPr>
          <w:p w14:paraId="57884FC3" w14:textId="77777777" w:rsidR="00DD3A94" w:rsidRPr="00552BB0" w:rsidRDefault="00DD3A94" w:rsidP="009D48A4">
            <w:pPr>
              <w:spacing w:before="120" w:after="120"/>
              <w:jc w:val="right"/>
              <w:rPr>
                <w:rFonts w:eastAsia="Times New Roman"/>
                <w:b/>
                <w:bCs/>
                <w:color w:val="002839"/>
                <w:sz w:val="18"/>
                <w:szCs w:val="18"/>
                <w:lang w:val="fr-FR"/>
              </w:rPr>
            </w:pPr>
            <w:r w:rsidRPr="00552BB0">
              <w:rPr>
                <w:b/>
                <w:color w:val="002839"/>
                <w:sz w:val="18"/>
                <w:lang w:val="fr-FR"/>
              </w:rPr>
              <w:t xml:space="preserve">205 000 </w:t>
            </w:r>
          </w:p>
        </w:tc>
      </w:tr>
    </w:tbl>
    <w:p w14:paraId="58016E05" w14:textId="77777777" w:rsidR="00DD3A94" w:rsidRPr="00552BB0" w:rsidRDefault="00DD3A94" w:rsidP="009D48A4">
      <w:pPr>
        <w:rPr>
          <w:rFonts w:asciiTheme="minorBidi" w:hAnsiTheme="minorBidi" w:cstheme="minorBidi"/>
          <w:b/>
          <w:bCs/>
          <w:lang w:val="fr-FR"/>
        </w:rPr>
      </w:pPr>
      <w:r w:rsidRPr="00552BB0">
        <w:rPr>
          <w:lang w:val="fr-FR"/>
        </w:rPr>
        <w:br w:type="page"/>
      </w:r>
    </w:p>
    <w:p w14:paraId="49E6A529" w14:textId="24807E63" w:rsidR="00DD3A94" w:rsidRPr="00552BB0" w:rsidRDefault="00AC5B03" w:rsidP="009D48A4">
      <w:pPr>
        <w:pStyle w:val="ListParagraph"/>
        <w:widowControl/>
        <w:numPr>
          <w:ilvl w:val="0"/>
          <w:numId w:val="12"/>
        </w:numPr>
        <w:spacing w:after="240" w:line="234" w:lineRule="exact"/>
        <w:ind w:left="567" w:hanging="567"/>
        <w:rPr>
          <w:b/>
          <w:caps/>
        </w:rPr>
      </w:pPr>
      <w:r w:rsidRPr="00552BB0">
        <w:rPr>
          <w:b/>
          <w:caps/>
        </w:rPr>
        <w:t>Budget du projet par catégorie de coût</w:t>
      </w:r>
    </w:p>
    <w:tbl>
      <w:tblPr>
        <w:tblW w:w="5164" w:type="pct"/>
        <w:tblLayout w:type="fixed"/>
        <w:tblLook w:val="04A0" w:firstRow="1" w:lastRow="0" w:firstColumn="1" w:lastColumn="0" w:noHBand="0" w:noVBand="1"/>
      </w:tblPr>
      <w:tblGrid>
        <w:gridCol w:w="2340"/>
        <w:gridCol w:w="1326"/>
        <w:gridCol w:w="1327"/>
        <w:gridCol w:w="1327"/>
        <w:gridCol w:w="1330"/>
        <w:gridCol w:w="1318"/>
        <w:gridCol w:w="1318"/>
        <w:gridCol w:w="1318"/>
        <w:gridCol w:w="1324"/>
        <w:gridCol w:w="1556"/>
      </w:tblGrid>
      <w:tr w:rsidR="00B73781" w:rsidRPr="00552BB0" w14:paraId="102355B0" w14:textId="77777777" w:rsidTr="00954994">
        <w:trPr>
          <w:trHeight w:val="94"/>
        </w:trPr>
        <w:tc>
          <w:tcPr>
            <w:tcW w:w="808" w:type="pct"/>
            <w:tcBorders>
              <w:top w:val="single" w:sz="4" w:space="0" w:color="BFBFBF"/>
              <w:left w:val="single" w:sz="4" w:space="0" w:color="BFBFBF"/>
              <w:bottom w:val="nil"/>
              <w:right w:val="single" w:sz="4" w:space="0" w:color="A6A6A6"/>
            </w:tcBorders>
            <w:shd w:val="clear" w:color="000000" w:fill="C7CFD8"/>
            <w:noWrap/>
            <w:vAlign w:val="bottom"/>
            <w:hideMark/>
          </w:tcPr>
          <w:p w14:paraId="305AEC96" w14:textId="77777777" w:rsidR="00DD3A94" w:rsidRPr="00552BB0" w:rsidRDefault="00DD3A94" w:rsidP="009D48A4">
            <w:pPr>
              <w:spacing w:after="40"/>
              <w:rPr>
                <w:rFonts w:eastAsia="Times New Roman"/>
                <w:i/>
                <w:iCs/>
                <w:color w:val="002839"/>
                <w:sz w:val="18"/>
                <w:szCs w:val="18"/>
                <w:lang w:val="fr-FR"/>
              </w:rPr>
            </w:pPr>
            <w:r w:rsidRPr="00552BB0">
              <w:rPr>
                <w:i/>
                <w:color w:val="002839"/>
                <w:sz w:val="18"/>
                <w:lang w:val="fr-FR"/>
              </w:rPr>
              <w:t>(</w:t>
            </w:r>
            <w:proofErr w:type="gramStart"/>
            <w:r w:rsidRPr="00552BB0">
              <w:rPr>
                <w:i/>
                <w:color w:val="002839"/>
                <w:sz w:val="18"/>
                <w:lang w:val="fr-FR"/>
              </w:rPr>
              <w:t>en</w:t>
            </w:r>
            <w:proofErr w:type="gramEnd"/>
            <w:r w:rsidRPr="00552BB0">
              <w:rPr>
                <w:i/>
                <w:color w:val="002839"/>
                <w:sz w:val="18"/>
                <w:lang w:val="fr-FR"/>
              </w:rPr>
              <w:t xml:space="preserve"> francs suisses)</w:t>
            </w:r>
          </w:p>
        </w:tc>
        <w:tc>
          <w:tcPr>
            <w:tcW w:w="1833"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2B331667"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 xml:space="preserve">Voyages, formations et indemnités </w:t>
            </w:r>
          </w:p>
        </w:tc>
        <w:tc>
          <w:tcPr>
            <w:tcW w:w="1822"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61EF3413"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Services contractuels</w:t>
            </w:r>
          </w:p>
        </w:tc>
        <w:tc>
          <w:tcPr>
            <w:tcW w:w="537"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0ADA1C2"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Total</w:t>
            </w:r>
          </w:p>
        </w:tc>
      </w:tr>
      <w:tr w:rsidR="00B73781" w:rsidRPr="00552BB0" w14:paraId="38CCE98B" w14:textId="77777777" w:rsidTr="00954994">
        <w:trPr>
          <w:trHeight w:val="1052"/>
        </w:trPr>
        <w:tc>
          <w:tcPr>
            <w:tcW w:w="808" w:type="pct"/>
            <w:tcBorders>
              <w:top w:val="nil"/>
              <w:left w:val="single" w:sz="4" w:space="0" w:color="BFBFBF"/>
              <w:bottom w:val="single" w:sz="4" w:space="0" w:color="BFBFBF"/>
              <w:right w:val="single" w:sz="4" w:space="0" w:color="A6A6A6"/>
            </w:tcBorders>
            <w:shd w:val="clear" w:color="000000" w:fill="C7CFD8"/>
            <w:noWrap/>
            <w:vAlign w:val="bottom"/>
            <w:hideMark/>
          </w:tcPr>
          <w:p w14:paraId="369AFBFB" w14:textId="77777777" w:rsidR="00DD3A94" w:rsidRPr="00552BB0" w:rsidRDefault="00DD3A94" w:rsidP="009D48A4">
            <w:pPr>
              <w:spacing w:after="40"/>
              <w:rPr>
                <w:rFonts w:eastAsia="Times New Roman"/>
                <w:b/>
                <w:bCs/>
                <w:color w:val="002839"/>
                <w:sz w:val="18"/>
                <w:szCs w:val="18"/>
                <w:lang w:val="fr-FR"/>
              </w:rPr>
            </w:pPr>
            <w:r w:rsidRPr="00552BB0">
              <w:rPr>
                <w:b/>
                <w:color w:val="002839"/>
                <w:sz w:val="18"/>
                <w:lang w:val="fr-FR"/>
              </w:rPr>
              <w:t>Activités</w:t>
            </w:r>
          </w:p>
        </w:tc>
        <w:tc>
          <w:tcPr>
            <w:tcW w:w="458" w:type="pct"/>
            <w:tcBorders>
              <w:top w:val="nil"/>
              <w:left w:val="nil"/>
              <w:bottom w:val="single" w:sz="4" w:space="0" w:color="BFBFBF"/>
              <w:right w:val="single" w:sz="4" w:space="0" w:color="A6A6A6"/>
            </w:tcBorders>
            <w:shd w:val="clear" w:color="000000" w:fill="C7CFD8"/>
            <w:vAlign w:val="center"/>
            <w:hideMark/>
          </w:tcPr>
          <w:p w14:paraId="72C1AB1D"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Missions du personnel</w:t>
            </w:r>
          </w:p>
        </w:tc>
        <w:tc>
          <w:tcPr>
            <w:tcW w:w="458" w:type="pct"/>
            <w:tcBorders>
              <w:top w:val="nil"/>
              <w:left w:val="nil"/>
              <w:bottom w:val="single" w:sz="4" w:space="0" w:color="BFBFBF"/>
              <w:right w:val="single" w:sz="4" w:space="0" w:color="A6A6A6"/>
            </w:tcBorders>
            <w:shd w:val="clear" w:color="000000" w:fill="C7CFD8"/>
            <w:vAlign w:val="center"/>
            <w:hideMark/>
          </w:tcPr>
          <w:p w14:paraId="0ACE7D10"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Voyages de tiers</w:t>
            </w:r>
          </w:p>
        </w:tc>
        <w:tc>
          <w:tcPr>
            <w:tcW w:w="458" w:type="pct"/>
            <w:tcBorders>
              <w:top w:val="nil"/>
              <w:left w:val="nil"/>
              <w:bottom w:val="single" w:sz="4" w:space="0" w:color="BFBFBF"/>
              <w:right w:val="single" w:sz="4" w:space="0" w:color="A6A6A6"/>
            </w:tcBorders>
            <w:shd w:val="clear" w:color="000000" w:fill="C7CFD8"/>
            <w:vAlign w:val="center"/>
            <w:hideMark/>
          </w:tcPr>
          <w:p w14:paraId="2EA0764D" w14:textId="7E5FE1AD"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Formations et demandes de paiement des frais de voyage y</w:t>
            </w:r>
            <w:r w:rsidR="009D48A4">
              <w:rPr>
                <w:b/>
                <w:color w:val="002839"/>
                <w:sz w:val="18"/>
                <w:lang w:val="fr-FR"/>
              </w:rPr>
              <w:t> </w:t>
            </w:r>
            <w:r w:rsidRPr="00552BB0">
              <w:rPr>
                <w:b/>
                <w:color w:val="002839"/>
                <w:sz w:val="18"/>
                <w:lang w:val="fr-FR"/>
              </w:rPr>
              <w:t>relatifs</w:t>
            </w:r>
          </w:p>
        </w:tc>
        <w:tc>
          <w:tcPr>
            <w:tcW w:w="459" w:type="pct"/>
            <w:tcBorders>
              <w:top w:val="nil"/>
              <w:left w:val="nil"/>
              <w:bottom w:val="single" w:sz="4" w:space="0" w:color="BFBFBF"/>
              <w:right w:val="single" w:sz="4" w:space="0" w:color="A6A6A6"/>
            </w:tcBorders>
            <w:shd w:val="clear" w:color="000000" w:fill="C7CFD8"/>
            <w:noWrap/>
            <w:vAlign w:val="center"/>
            <w:hideMark/>
          </w:tcPr>
          <w:p w14:paraId="5CE7373F"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Conférences</w:t>
            </w:r>
          </w:p>
        </w:tc>
        <w:tc>
          <w:tcPr>
            <w:tcW w:w="455" w:type="pct"/>
            <w:tcBorders>
              <w:top w:val="nil"/>
              <w:left w:val="nil"/>
              <w:bottom w:val="single" w:sz="4" w:space="0" w:color="BFBFBF"/>
              <w:right w:val="single" w:sz="4" w:space="0" w:color="A6A6A6"/>
            </w:tcBorders>
            <w:shd w:val="clear" w:color="000000" w:fill="C7CFD8"/>
            <w:noWrap/>
            <w:vAlign w:val="center"/>
            <w:hideMark/>
          </w:tcPr>
          <w:p w14:paraId="2D3F4C79"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Publications</w:t>
            </w:r>
          </w:p>
        </w:tc>
        <w:tc>
          <w:tcPr>
            <w:tcW w:w="455" w:type="pct"/>
            <w:tcBorders>
              <w:top w:val="nil"/>
              <w:left w:val="nil"/>
              <w:bottom w:val="single" w:sz="4" w:space="0" w:color="BFBFBF"/>
              <w:right w:val="single" w:sz="4" w:space="0" w:color="A6A6A6"/>
            </w:tcBorders>
            <w:shd w:val="clear" w:color="000000" w:fill="C7CFD8"/>
            <w:vAlign w:val="center"/>
            <w:hideMark/>
          </w:tcPr>
          <w:p w14:paraId="7065769A"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Services contractuels individuels</w:t>
            </w:r>
          </w:p>
        </w:tc>
        <w:tc>
          <w:tcPr>
            <w:tcW w:w="455" w:type="pct"/>
            <w:tcBorders>
              <w:top w:val="nil"/>
              <w:left w:val="nil"/>
              <w:bottom w:val="single" w:sz="4" w:space="0" w:color="BFBFBF"/>
              <w:right w:val="single" w:sz="4" w:space="0" w:color="A6A6A6"/>
            </w:tcBorders>
            <w:shd w:val="clear" w:color="000000" w:fill="C7CFD8"/>
            <w:vAlign w:val="center"/>
            <w:hideMark/>
          </w:tcPr>
          <w:p w14:paraId="7F83D812" w14:textId="6A46AA93"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Bourses de l</w:t>
            </w:r>
            <w:r w:rsidR="005C3C29" w:rsidRPr="00552BB0">
              <w:rPr>
                <w:b/>
                <w:color w:val="002839"/>
                <w:sz w:val="18"/>
                <w:lang w:val="fr-FR"/>
              </w:rPr>
              <w:t>’</w:t>
            </w:r>
            <w:r w:rsidRPr="00552BB0">
              <w:rPr>
                <w:b/>
                <w:color w:val="002839"/>
                <w:sz w:val="18"/>
                <w:lang w:val="fr-FR"/>
              </w:rPr>
              <w:t>OMPI</w:t>
            </w:r>
          </w:p>
        </w:tc>
        <w:tc>
          <w:tcPr>
            <w:tcW w:w="457" w:type="pct"/>
            <w:tcBorders>
              <w:top w:val="nil"/>
              <w:left w:val="nil"/>
              <w:bottom w:val="single" w:sz="4" w:space="0" w:color="BFBFBF"/>
              <w:right w:val="nil"/>
            </w:tcBorders>
            <w:shd w:val="clear" w:color="000000" w:fill="C7CFD8"/>
            <w:vAlign w:val="center"/>
            <w:hideMark/>
          </w:tcPr>
          <w:p w14:paraId="00051A90" w14:textId="77777777" w:rsidR="00DD3A94" w:rsidRPr="00552BB0" w:rsidRDefault="00DD3A94" w:rsidP="009D48A4">
            <w:pPr>
              <w:spacing w:after="40"/>
              <w:jc w:val="center"/>
              <w:rPr>
                <w:rFonts w:eastAsia="Times New Roman"/>
                <w:b/>
                <w:bCs/>
                <w:color w:val="002839"/>
                <w:sz w:val="18"/>
                <w:szCs w:val="18"/>
                <w:lang w:val="fr-FR"/>
              </w:rPr>
            </w:pPr>
            <w:r w:rsidRPr="00552BB0">
              <w:rPr>
                <w:b/>
                <w:color w:val="002839"/>
                <w:sz w:val="18"/>
                <w:lang w:val="fr-FR"/>
              </w:rPr>
              <w:t>Autres services contractuels</w:t>
            </w:r>
          </w:p>
        </w:tc>
        <w:tc>
          <w:tcPr>
            <w:tcW w:w="537" w:type="pct"/>
            <w:vMerge/>
            <w:tcBorders>
              <w:top w:val="single" w:sz="4" w:space="0" w:color="BFBFBF"/>
              <w:left w:val="single" w:sz="4" w:space="0" w:color="A6A6A6"/>
              <w:bottom w:val="single" w:sz="4" w:space="0" w:color="BFBFBF"/>
              <w:right w:val="single" w:sz="4" w:space="0" w:color="BFBFBF"/>
            </w:tcBorders>
            <w:vAlign w:val="center"/>
            <w:hideMark/>
          </w:tcPr>
          <w:p w14:paraId="5ED8A8B4" w14:textId="77777777" w:rsidR="00DD3A94" w:rsidRPr="00552BB0" w:rsidRDefault="00DD3A94" w:rsidP="009D48A4">
            <w:pPr>
              <w:spacing w:after="40"/>
              <w:rPr>
                <w:rFonts w:eastAsia="Times New Roman"/>
                <w:b/>
                <w:bCs/>
                <w:color w:val="002839"/>
                <w:sz w:val="18"/>
                <w:szCs w:val="18"/>
                <w:lang w:val="fr-FR"/>
              </w:rPr>
            </w:pPr>
          </w:p>
        </w:tc>
      </w:tr>
      <w:tr w:rsidR="00B73781" w:rsidRPr="00552BB0" w14:paraId="2A18F19D" w14:textId="77777777" w:rsidTr="00954994">
        <w:trPr>
          <w:trHeight w:val="460"/>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28284D45" w14:textId="1AEB27BF" w:rsidR="00DD3A94" w:rsidRPr="00552BB0" w:rsidRDefault="00DD3A94" w:rsidP="009D48A4">
            <w:pPr>
              <w:spacing w:after="40"/>
              <w:rPr>
                <w:rFonts w:eastAsia="Times New Roman"/>
                <w:color w:val="002839"/>
                <w:sz w:val="18"/>
                <w:szCs w:val="18"/>
                <w:lang w:val="fr-FR"/>
              </w:rPr>
            </w:pPr>
            <w:r w:rsidRPr="00552BB0">
              <w:rPr>
                <w:color w:val="002839"/>
                <w:sz w:val="18"/>
                <w:lang w:val="fr-FR"/>
              </w:rPr>
              <w:t>Étude exploratoire sur les connaissances, les expériences et les enseignements tirés de situations de crise spécifiques ou d</w:t>
            </w:r>
            <w:r w:rsidR="005C3C29" w:rsidRPr="00552BB0">
              <w:rPr>
                <w:color w:val="002839"/>
                <w:sz w:val="18"/>
                <w:lang w:val="fr-FR"/>
              </w:rPr>
              <w:t>’</w:t>
            </w:r>
            <w:r w:rsidRPr="00552BB0">
              <w:rPr>
                <w:color w:val="002839"/>
                <w:sz w:val="18"/>
                <w:lang w:val="fr-FR"/>
              </w:rPr>
              <w:t xml:space="preserve">urgences </w:t>
            </w:r>
          </w:p>
        </w:tc>
        <w:tc>
          <w:tcPr>
            <w:tcW w:w="458" w:type="pct"/>
            <w:tcBorders>
              <w:top w:val="nil"/>
              <w:left w:val="nil"/>
              <w:bottom w:val="single" w:sz="4" w:space="0" w:color="BFBFBF"/>
              <w:right w:val="single" w:sz="4" w:space="0" w:color="BFBFBF"/>
            </w:tcBorders>
            <w:shd w:val="clear" w:color="auto" w:fill="auto"/>
            <w:noWrap/>
            <w:vAlign w:val="center"/>
            <w:hideMark/>
          </w:tcPr>
          <w:p w14:paraId="2D290664"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8" w:type="pct"/>
            <w:tcBorders>
              <w:top w:val="nil"/>
              <w:left w:val="nil"/>
              <w:bottom w:val="single" w:sz="4" w:space="0" w:color="BFBFBF"/>
              <w:right w:val="single" w:sz="4" w:space="0" w:color="BFBFBF"/>
            </w:tcBorders>
            <w:shd w:val="clear" w:color="auto" w:fill="auto"/>
            <w:noWrap/>
            <w:vAlign w:val="center"/>
            <w:hideMark/>
          </w:tcPr>
          <w:p w14:paraId="19E6F842"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8" w:type="pct"/>
            <w:tcBorders>
              <w:top w:val="nil"/>
              <w:left w:val="nil"/>
              <w:bottom w:val="single" w:sz="4" w:space="0" w:color="BFBFBF"/>
              <w:right w:val="single" w:sz="4" w:space="0" w:color="BFBFBF"/>
            </w:tcBorders>
            <w:shd w:val="clear" w:color="auto" w:fill="auto"/>
            <w:noWrap/>
            <w:vAlign w:val="center"/>
            <w:hideMark/>
          </w:tcPr>
          <w:p w14:paraId="4CCEABDB"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9" w:type="pct"/>
            <w:tcBorders>
              <w:top w:val="nil"/>
              <w:left w:val="nil"/>
              <w:bottom w:val="single" w:sz="4" w:space="0" w:color="BFBFBF"/>
              <w:right w:val="single" w:sz="4" w:space="0" w:color="BFBFBF"/>
            </w:tcBorders>
            <w:shd w:val="clear" w:color="auto" w:fill="auto"/>
            <w:noWrap/>
            <w:vAlign w:val="center"/>
            <w:hideMark/>
          </w:tcPr>
          <w:p w14:paraId="2FA3CD05"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5" w:type="pct"/>
            <w:tcBorders>
              <w:top w:val="nil"/>
              <w:left w:val="nil"/>
              <w:bottom w:val="single" w:sz="4" w:space="0" w:color="BFBFBF"/>
              <w:right w:val="single" w:sz="4" w:space="0" w:color="BFBFBF"/>
            </w:tcBorders>
            <w:shd w:val="clear" w:color="auto" w:fill="auto"/>
            <w:noWrap/>
            <w:vAlign w:val="center"/>
            <w:hideMark/>
          </w:tcPr>
          <w:p w14:paraId="39FD1833"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3D963F2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30 000 </w:t>
            </w:r>
          </w:p>
        </w:tc>
        <w:tc>
          <w:tcPr>
            <w:tcW w:w="455" w:type="pct"/>
            <w:tcBorders>
              <w:top w:val="nil"/>
              <w:left w:val="nil"/>
              <w:bottom w:val="single" w:sz="4" w:space="0" w:color="BFBFBF"/>
              <w:right w:val="single" w:sz="4" w:space="0" w:color="BFBFBF"/>
            </w:tcBorders>
            <w:shd w:val="clear" w:color="auto" w:fill="auto"/>
            <w:noWrap/>
            <w:vAlign w:val="center"/>
            <w:hideMark/>
          </w:tcPr>
          <w:p w14:paraId="4800D6B0"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633907E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537" w:type="pct"/>
            <w:tcBorders>
              <w:top w:val="nil"/>
              <w:left w:val="nil"/>
              <w:bottom w:val="single" w:sz="4" w:space="0" w:color="BFBFBF"/>
              <w:right w:val="single" w:sz="4" w:space="0" w:color="BFBFBF"/>
            </w:tcBorders>
            <w:shd w:val="clear" w:color="auto" w:fill="auto"/>
            <w:noWrap/>
            <w:vAlign w:val="center"/>
            <w:hideMark/>
          </w:tcPr>
          <w:p w14:paraId="1DF0632A"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30 000 </w:t>
            </w:r>
          </w:p>
        </w:tc>
      </w:tr>
      <w:tr w:rsidR="00B73781" w:rsidRPr="00552BB0" w14:paraId="311832F2" w14:textId="77777777" w:rsidTr="00954994">
        <w:trPr>
          <w:trHeight w:val="220"/>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19F9E616" w14:textId="77777777" w:rsidR="00DD3A94" w:rsidRPr="00552BB0" w:rsidRDefault="00DD3A94" w:rsidP="009D48A4">
            <w:pPr>
              <w:spacing w:after="40"/>
              <w:rPr>
                <w:rFonts w:eastAsia="Times New Roman"/>
                <w:color w:val="002839"/>
                <w:sz w:val="18"/>
                <w:szCs w:val="18"/>
                <w:lang w:val="fr-FR"/>
              </w:rPr>
            </w:pPr>
            <w:r w:rsidRPr="00552BB0">
              <w:rPr>
                <w:color w:val="002839"/>
                <w:sz w:val="18"/>
                <w:lang w:val="fr-FR"/>
              </w:rPr>
              <w:t>Séminaire sur la gestion de la propriété intellectuelle et la fourniture de services en temps de crise</w:t>
            </w:r>
          </w:p>
        </w:tc>
        <w:tc>
          <w:tcPr>
            <w:tcW w:w="458" w:type="pct"/>
            <w:tcBorders>
              <w:top w:val="nil"/>
              <w:left w:val="nil"/>
              <w:bottom w:val="single" w:sz="4" w:space="0" w:color="BFBFBF"/>
              <w:right w:val="single" w:sz="4" w:space="0" w:color="BFBFBF"/>
            </w:tcBorders>
            <w:shd w:val="clear" w:color="auto" w:fill="auto"/>
            <w:noWrap/>
            <w:vAlign w:val="center"/>
            <w:hideMark/>
          </w:tcPr>
          <w:p w14:paraId="22FC8980"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20 000 </w:t>
            </w:r>
          </w:p>
        </w:tc>
        <w:tc>
          <w:tcPr>
            <w:tcW w:w="458" w:type="pct"/>
            <w:tcBorders>
              <w:top w:val="nil"/>
              <w:left w:val="nil"/>
              <w:bottom w:val="single" w:sz="4" w:space="0" w:color="BFBFBF"/>
              <w:right w:val="single" w:sz="4" w:space="0" w:color="BFBFBF"/>
            </w:tcBorders>
            <w:shd w:val="clear" w:color="auto" w:fill="auto"/>
            <w:noWrap/>
            <w:vAlign w:val="center"/>
            <w:hideMark/>
          </w:tcPr>
          <w:p w14:paraId="4D33AD1F"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50 000 </w:t>
            </w:r>
          </w:p>
        </w:tc>
        <w:tc>
          <w:tcPr>
            <w:tcW w:w="458" w:type="pct"/>
            <w:tcBorders>
              <w:top w:val="nil"/>
              <w:left w:val="nil"/>
              <w:bottom w:val="single" w:sz="4" w:space="0" w:color="BFBFBF"/>
              <w:right w:val="single" w:sz="4" w:space="0" w:color="BFBFBF"/>
            </w:tcBorders>
            <w:shd w:val="clear" w:color="auto" w:fill="auto"/>
            <w:noWrap/>
            <w:vAlign w:val="center"/>
            <w:hideMark/>
          </w:tcPr>
          <w:p w14:paraId="52854BE3"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9" w:type="pct"/>
            <w:tcBorders>
              <w:top w:val="nil"/>
              <w:left w:val="nil"/>
              <w:bottom w:val="single" w:sz="4" w:space="0" w:color="BFBFBF"/>
              <w:right w:val="single" w:sz="4" w:space="0" w:color="BFBFBF"/>
            </w:tcBorders>
            <w:shd w:val="clear" w:color="auto" w:fill="auto"/>
            <w:noWrap/>
            <w:vAlign w:val="center"/>
            <w:hideMark/>
          </w:tcPr>
          <w:p w14:paraId="5EBD243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5 000 </w:t>
            </w:r>
          </w:p>
        </w:tc>
        <w:tc>
          <w:tcPr>
            <w:tcW w:w="455" w:type="pct"/>
            <w:tcBorders>
              <w:top w:val="nil"/>
              <w:left w:val="nil"/>
              <w:bottom w:val="single" w:sz="4" w:space="0" w:color="BFBFBF"/>
              <w:right w:val="single" w:sz="4" w:space="0" w:color="BFBFBF"/>
            </w:tcBorders>
            <w:shd w:val="clear" w:color="auto" w:fill="auto"/>
            <w:noWrap/>
            <w:vAlign w:val="center"/>
            <w:hideMark/>
          </w:tcPr>
          <w:p w14:paraId="19227F1D"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5B73330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10 000 </w:t>
            </w:r>
          </w:p>
        </w:tc>
        <w:tc>
          <w:tcPr>
            <w:tcW w:w="455" w:type="pct"/>
            <w:tcBorders>
              <w:top w:val="nil"/>
              <w:left w:val="nil"/>
              <w:bottom w:val="single" w:sz="4" w:space="0" w:color="BFBFBF"/>
              <w:right w:val="single" w:sz="4" w:space="0" w:color="BFBFBF"/>
            </w:tcBorders>
            <w:shd w:val="clear" w:color="auto" w:fill="auto"/>
            <w:noWrap/>
            <w:vAlign w:val="center"/>
            <w:hideMark/>
          </w:tcPr>
          <w:p w14:paraId="6D7A90C7"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6" w:type="pct"/>
            <w:tcBorders>
              <w:top w:val="nil"/>
              <w:left w:val="nil"/>
              <w:bottom w:val="single" w:sz="4" w:space="0" w:color="BFBFBF"/>
              <w:right w:val="single" w:sz="4" w:space="0" w:color="BFBFBF"/>
            </w:tcBorders>
            <w:shd w:val="clear" w:color="auto" w:fill="auto"/>
            <w:noWrap/>
            <w:vAlign w:val="center"/>
            <w:hideMark/>
          </w:tcPr>
          <w:p w14:paraId="12110354"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10 000 </w:t>
            </w:r>
          </w:p>
        </w:tc>
        <w:tc>
          <w:tcPr>
            <w:tcW w:w="537" w:type="pct"/>
            <w:tcBorders>
              <w:top w:val="nil"/>
              <w:left w:val="nil"/>
              <w:bottom w:val="single" w:sz="4" w:space="0" w:color="BFBFBF"/>
              <w:right w:val="single" w:sz="4" w:space="0" w:color="BFBFBF"/>
            </w:tcBorders>
            <w:shd w:val="clear" w:color="auto" w:fill="auto"/>
            <w:noWrap/>
            <w:vAlign w:val="center"/>
            <w:hideMark/>
          </w:tcPr>
          <w:p w14:paraId="31B969AF"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95 000 </w:t>
            </w:r>
          </w:p>
        </w:tc>
      </w:tr>
      <w:tr w:rsidR="00B73781" w:rsidRPr="00552BB0" w14:paraId="26397583" w14:textId="77777777" w:rsidTr="00954994">
        <w:trPr>
          <w:trHeight w:val="460"/>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086735A0" w14:textId="737DEA5A" w:rsidR="00DD3A94" w:rsidRPr="00552BB0" w:rsidRDefault="00DD3A94" w:rsidP="009D48A4">
            <w:pPr>
              <w:spacing w:after="40"/>
              <w:rPr>
                <w:rFonts w:eastAsia="Times New Roman"/>
                <w:color w:val="002839"/>
                <w:sz w:val="18"/>
                <w:szCs w:val="18"/>
                <w:lang w:val="fr-FR"/>
              </w:rPr>
            </w:pPr>
            <w:r w:rsidRPr="00552BB0">
              <w:rPr>
                <w:color w:val="002839"/>
                <w:sz w:val="18"/>
                <w:lang w:val="fr-FR"/>
              </w:rPr>
              <w:t>Identification et validation des spécialistes nationaux et régionaux à inclure dans la base de données relative à la liste des consultants de l</w:t>
            </w:r>
            <w:r w:rsidR="005C3C29" w:rsidRPr="00552BB0">
              <w:rPr>
                <w:color w:val="002839"/>
                <w:sz w:val="18"/>
                <w:lang w:val="fr-FR"/>
              </w:rPr>
              <w:t>’</w:t>
            </w:r>
            <w:r w:rsidRPr="00552BB0">
              <w:rPr>
                <w:color w:val="002839"/>
                <w:sz w:val="18"/>
                <w:lang w:val="fr-FR"/>
              </w:rPr>
              <w:t>OMPI (IP</w:t>
            </w:r>
            <w:r w:rsidR="00B065DC">
              <w:rPr>
                <w:color w:val="002839"/>
                <w:sz w:val="18"/>
                <w:lang w:val="fr-FR"/>
              </w:rPr>
              <w:noBreakHyphen/>
            </w:r>
            <w:r w:rsidRPr="00552BB0">
              <w:rPr>
                <w:color w:val="002839"/>
                <w:sz w:val="18"/>
                <w:lang w:val="fr-FR"/>
              </w:rPr>
              <w:t xml:space="preserve">ROC) </w:t>
            </w:r>
          </w:p>
        </w:tc>
        <w:tc>
          <w:tcPr>
            <w:tcW w:w="458" w:type="pct"/>
            <w:tcBorders>
              <w:top w:val="nil"/>
              <w:left w:val="nil"/>
              <w:bottom w:val="single" w:sz="4" w:space="0" w:color="BFBFBF"/>
              <w:right w:val="single" w:sz="4" w:space="0" w:color="BFBFBF"/>
            </w:tcBorders>
            <w:shd w:val="clear" w:color="auto" w:fill="auto"/>
            <w:noWrap/>
            <w:vAlign w:val="center"/>
            <w:hideMark/>
          </w:tcPr>
          <w:p w14:paraId="7A80E814"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8" w:type="pct"/>
            <w:tcBorders>
              <w:top w:val="nil"/>
              <w:left w:val="nil"/>
              <w:bottom w:val="single" w:sz="4" w:space="0" w:color="BFBFBF"/>
              <w:right w:val="single" w:sz="4" w:space="0" w:color="BFBFBF"/>
            </w:tcBorders>
            <w:shd w:val="clear" w:color="auto" w:fill="auto"/>
            <w:noWrap/>
            <w:vAlign w:val="center"/>
            <w:hideMark/>
          </w:tcPr>
          <w:p w14:paraId="3E5446DE"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8" w:type="pct"/>
            <w:tcBorders>
              <w:top w:val="nil"/>
              <w:left w:val="nil"/>
              <w:bottom w:val="single" w:sz="4" w:space="0" w:color="BFBFBF"/>
              <w:right w:val="single" w:sz="4" w:space="0" w:color="BFBFBF"/>
            </w:tcBorders>
            <w:shd w:val="clear" w:color="auto" w:fill="auto"/>
            <w:noWrap/>
            <w:vAlign w:val="center"/>
            <w:hideMark/>
          </w:tcPr>
          <w:p w14:paraId="422F9960"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9" w:type="pct"/>
            <w:tcBorders>
              <w:top w:val="nil"/>
              <w:left w:val="nil"/>
              <w:bottom w:val="single" w:sz="4" w:space="0" w:color="BFBFBF"/>
              <w:right w:val="single" w:sz="4" w:space="0" w:color="BFBFBF"/>
            </w:tcBorders>
            <w:shd w:val="clear" w:color="auto" w:fill="auto"/>
            <w:noWrap/>
            <w:vAlign w:val="center"/>
            <w:hideMark/>
          </w:tcPr>
          <w:p w14:paraId="371BD2D7"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5" w:type="pct"/>
            <w:tcBorders>
              <w:top w:val="nil"/>
              <w:left w:val="nil"/>
              <w:bottom w:val="single" w:sz="4" w:space="0" w:color="BFBFBF"/>
              <w:right w:val="single" w:sz="4" w:space="0" w:color="BFBFBF"/>
            </w:tcBorders>
            <w:shd w:val="clear" w:color="auto" w:fill="auto"/>
            <w:noWrap/>
            <w:vAlign w:val="center"/>
            <w:hideMark/>
          </w:tcPr>
          <w:p w14:paraId="41744936"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252984EB"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10 000 </w:t>
            </w:r>
          </w:p>
        </w:tc>
        <w:tc>
          <w:tcPr>
            <w:tcW w:w="455" w:type="pct"/>
            <w:tcBorders>
              <w:top w:val="nil"/>
              <w:left w:val="nil"/>
              <w:bottom w:val="single" w:sz="4" w:space="0" w:color="BFBFBF"/>
              <w:right w:val="single" w:sz="4" w:space="0" w:color="BFBFBF"/>
            </w:tcBorders>
            <w:shd w:val="clear" w:color="auto" w:fill="auto"/>
            <w:noWrap/>
            <w:vAlign w:val="center"/>
            <w:hideMark/>
          </w:tcPr>
          <w:p w14:paraId="44DCFF37"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6D37C4A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537" w:type="pct"/>
            <w:tcBorders>
              <w:top w:val="nil"/>
              <w:left w:val="nil"/>
              <w:bottom w:val="single" w:sz="4" w:space="0" w:color="BFBFBF"/>
              <w:right w:val="single" w:sz="4" w:space="0" w:color="BFBFBF"/>
            </w:tcBorders>
            <w:shd w:val="clear" w:color="auto" w:fill="auto"/>
            <w:noWrap/>
            <w:vAlign w:val="center"/>
            <w:hideMark/>
          </w:tcPr>
          <w:p w14:paraId="0F7F6B06"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10 000 </w:t>
            </w:r>
          </w:p>
        </w:tc>
      </w:tr>
      <w:tr w:rsidR="00B73781" w:rsidRPr="00552BB0" w14:paraId="60C8BE27" w14:textId="77777777" w:rsidTr="00954994">
        <w:trPr>
          <w:trHeight w:val="460"/>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055DDC24" w14:textId="13726E0C" w:rsidR="00DD3A94" w:rsidRPr="00552BB0" w:rsidRDefault="00DD3A94" w:rsidP="009D48A4">
            <w:pPr>
              <w:spacing w:after="40"/>
              <w:rPr>
                <w:rFonts w:eastAsia="Times New Roman"/>
                <w:color w:val="002839"/>
                <w:sz w:val="18"/>
                <w:szCs w:val="18"/>
                <w:lang w:val="fr-FR"/>
              </w:rPr>
            </w:pPr>
            <w:r w:rsidRPr="00552BB0">
              <w:rPr>
                <w:color w:val="002839"/>
                <w:sz w:val="18"/>
                <w:lang w:val="fr-FR"/>
              </w:rPr>
              <w:t>Élaboration d</w:t>
            </w:r>
            <w:r w:rsidR="005C3C29" w:rsidRPr="00552BB0">
              <w:rPr>
                <w:color w:val="002839"/>
                <w:sz w:val="18"/>
                <w:lang w:val="fr-FR"/>
              </w:rPr>
              <w:t>’</w:t>
            </w:r>
            <w:r w:rsidRPr="00552BB0">
              <w:rPr>
                <w:color w:val="002839"/>
                <w:sz w:val="18"/>
                <w:lang w:val="fr-FR"/>
              </w:rPr>
              <w:t>outils de sensibilisation à la propriété intellectuelle et à la gestion des crises</w:t>
            </w:r>
          </w:p>
        </w:tc>
        <w:tc>
          <w:tcPr>
            <w:tcW w:w="458" w:type="pct"/>
            <w:tcBorders>
              <w:top w:val="nil"/>
              <w:left w:val="nil"/>
              <w:bottom w:val="single" w:sz="4" w:space="0" w:color="BFBFBF"/>
              <w:right w:val="single" w:sz="4" w:space="0" w:color="BFBFBF"/>
            </w:tcBorders>
            <w:shd w:val="clear" w:color="auto" w:fill="auto"/>
            <w:noWrap/>
            <w:vAlign w:val="center"/>
            <w:hideMark/>
          </w:tcPr>
          <w:p w14:paraId="7CD2F15E"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8" w:type="pct"/>
            <w:tcBorders>
              <w:top w:val="nil"/>
              <w:left w:val="nil"/>
              <w:bottom w:val="single" w:sz="4" w:space="0" w:color="BFBFBF"/>
              <w:right w:val="single" w:sz="4" w:space="0" w:color="BFBFBF"/>
            </w:tcBorders>
            <w:shd w:val="clear" w:color="auto" w:fill="auto"/>
            <w:noWrap/>
            <w:vAlign w:val="center"/>
            <w:hideMark/>
          </w:tcPr>
          <w:p w14:paraId="4382AE5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8" w:type="pct"/>
            <w:tcBorders>
              <w:top w:val="nil"/>
              <w:left w:val="nil"/>
              <w:bottom w:val="single" w:sz="4" w:space="0" w:color="BFBFBF"/>
              <w:right w:val="single" w:sz="4" w:space="0" w:color="BFBFBF"/>
            </w:tcBorders>
            <w:shd w:val="clear" w:color="auto" w:fill="auto"/>
            <w:noWrap/>
            <w:vAlign w:val="center"/>
            <w:hideMark/>
          </w:tcPr>
          <w:p w14:paraId="07681283"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9" w:type="pct"/>
            <w:tcBorders>
              <w:top w:val="nil"/>
              <w:left w:val="nil"/>
              <w:bottom w:val="single" w:sz="4" w:space="0" w:color="BFBFBF"/>
              <w:right w:val="single" w:sz="4" w:space="0" w:color="BFBFBF"/>
            </w:tcBorders>
            <w:shd w:val="clear" w:color="auto" w:fill="auto"/>
            <w:noWrap/>
            <w:vAlign w:val="center"/>
            <w:hideMark/>
          </w:tcPr>
          <w:p w14:paraId="3E9ACE35"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53E59DF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10 000 </w:t>
            </w:r>
          </w:p>
        </w:tc>
        <w:tc>
          <w:tcPr>
            <w:tcW w:w="455" w:type="pct"/>
            <w:tcBorders>
              <w:top w:val="nil"/>
              <w:left w:val="nil"/>
              <w:bottom w:val="single" w:sz="4" w:space="0" w:color="BFBFBF"/>
              <w:right w:val="single" w:sz="4" w:space="0" w:color="BFBFBF"/>
            </w:tcBorders>
            <w:shd w:val="clear" w:color="auto" w:fill="auto"/>
            <w:noWrap/>
            <w:vAlign w:val="center"/>
            <w:hideMark/>
          </w:tcPr>
          <w:p w14:paraId="2AE92CD3"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20 000 </w:t>
            </w:r>
          </w:p>
        </w:tc>
        <w:tc>
          <w:tcPr>
            <w:tcW w:w="455" w:type="pct"/>
            <w:tcBorders>
              <w:top w:val="nil"/>
              <w:left w:val="nil"/>
              <w:bottom w:val="single" w:sz="4" w:space="0" w:color="BFBFBF"/>
              <w:right w:val="single" w:sz="4" w:space="0" w:color="BFBFBF"/>
            </w:tcBorders>
            <w:shd w:val="clear" w:color="auto" w:fill="auto"/>
            <w:noWrap/>
            <w:vAlign w:val="center"/>
            <w:hideMark/>
          </w:tcPr>
          <w:p w14:paraId="4E69614F"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3BC6F88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10 000 </w:t>
            </w:r>
          </w:p>
        </w:tc>
        <w:tc>
          <w:tcPr>
            <w:tcW w:w="537" w:type="pct"/>
            <w:tcBorders>
              <w:top w:val="nil"/>
              <w:left w:val="nil"/>
              <w:bottom w:val="single" w:sz="4" w:space="0" w:color="BFBFBF"/>
              <w:right w:val="single" w:sz="4" w:space="0" w:color="BFBFBF"/>
            </w:tcBorders>
            <w:shd w:val="clear" w:color="auto" w:fill="auto"/>
            <w:noWrap/>
            <w:vAlign w:val="center"/>
            <w:hideMark/>
          </w:tcPr>
          <w:p w14:paraId="5B3A25CB"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40 000 </w:t>
            </w:r>
          </w:p>
        </w:tc>
      </w:tr>
      <w:tr w:rsidR="00B73781" w:rsidRPr="00552BB0" w14:paraId="32574E3A" w14:textId="77777777" w:rsidTr="00954994">
        <w:trPr>
          <w:trHeight w:val="247"/>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1033BD1B" w14:textId="77777777" w:rsidR="00DD3A94" w:rsidRPr="00552BB0" w:rsidRDefault="00DD3A94" w:rsidP="009D48A4">
            <w:pPr>
              <w:spacing w:after="40"/>
              <w:rPr>
                <w:rFonts w:eastAsia="Times New Roman"/>
                <w:color w:val="002839"/>
                <w:sz w:val="18"/>
                <w:szCs w:val="18"/>
                <w:lang w:val="fr-FR"/>
              </w:rPr>
            </w:pPr>
            <w:r w:rsidRPr="00552BB0">
              <w:rPr>
                <w:color w:val="002839"/>
                <w:sz w:val="18"/>
                <w:lang w:val="fr-FR"/>
              </w:rPr>
              <w:t xml:space="preserve">Évaluation du projet </w:t>
            </w:r>
          </w:p>
        </w:tc>
        <w:tc>
          <w:tcPr>
            <w:tcW w:w="458" w:type="pct"/>
            <w:tcBorders>
              <w:top w:val="nil"/>
              <w:left w:val="nil"/>
              <w:bottom w:val="single" w:sz="4" w:space="0" w:color="BFBFBF"/>
              <w:right w:val="single" w:sz="4" w:space="0" w:color="BFBFBF"/>
            </w:tcBorders>
            <w:shd w:val="clear" w:color="auto" w:fill="auto"/>
            <w:noWrap/>
            <w:vAlign w:val="center"/>
            <w:hideMark/>
          </w:tcPr>
          <w:p w14:paraId="2BEA6D9B"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8" w:type="pct"/>
            <w:tcBorders>
              <w:top w:val="nil"/>
              <w:left w:val="nil"/>
              <w:bottom w:val="single" w:sz="4" w:space="0" w:color="BFBFBF"/>
              <w:right w:val="single" w:sz="4" w:space="0" w:color="BFBFBF"/>
            </w:tcBorders>
            <w:shd w:val="clear" w:color="auto" w:fill="auto"/>
            <w:noWrap/>
            <w:vAlign w:val="center"/>
            <w:hideMark/>
          </w:tcPr>
          <w:p w14:paraId="5B7BA10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8" w:type="pct"/>
            <w:tcBorders>
              <w:top w:val="nil"/>
              <w:left w:val="nil"/>
              <w:bottom w:val="single" w:sz="4" w:space="0" w:color="BFBFBF"/>
              <w:right w:val="single" w:sz="4" w:space="0" w:color="BFBFBF"/>
            </w:tcBorders>
            <w:shd w:val="clear" w:color="auto" w:fill="auto"/>
            <w:noWrap/>
            <w:vAlign w:val="center"/>
            <w:hideMark/>
          </w:tcPr>
          <w:p w14:paraId="30DCB16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9" w:type="pct"/>
            <w:tcBorders>
              <w:top w:val="nil"/>
              <w:left w:val="nil"/>
              <w:bottom w:val="single" w:sz="4" w:space="0" w:color="BFBFBF"/>
              <w:right w:val="single" w:sz="4" w:space="0" w:color="BFBFBF"/>
            </w:tcBorders>
            <w:shd w:val="clear" w:color="auto" w:fill="auto"/>
            <w:noWrap/>
            <w:vAlign w:val="center"/>
            <w:hideMark/>
          </w:tcPr>
          <w:p w14:paraId="1D8F8B6D"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26E48C7F"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28EEAAF2" w14:textId="4A81FC56"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    15 000 </w:t>
            </w:r>
          </w:p>
        </w:tc>
        <w:tc>
          <w:tcPr>
            <w:tcW w:w="455" w:type="pct"/>
            <w:tcBorders>
              <w:top w:val="nil"/>
              <w:left w:val="nil"/>
              <w:bottom w:val="single" w:sz="4" w:space="0" w:color="BFBFBF"/>
              <w:right w:val="single" w:sz="4" w:space="0" w:color="BFBFBF"/>
            </w:tcBorders>
            <w:shd w:val="clear" w:color="auto" w:fill="auto"/>
            <w:noWrap/>
            <w:vAlign w:val="center"/>
            <w:hideMark/>
          </w:tcPr>
          <w:p w14:paraId="6720D257"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713237EF"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537" w:type="pct"/>
            <w:tcBorders>
              <w:top w:val="nil"/>
              <w:left w:val="nil"/>
              <w:bottom w:val="single" w:sz="4" w:space="0" w:color="BFBFBF"/>
              <w:right w:val="single" w:sz="4" w:space="0" w:color="BFBFBF"/>
            </w:tcBorders>
            <w:shd w:val="clear" w:color="auto" w:fill="auto"/>
            <w:noWrap/>
            <w:vAlign w:val="center"/>
            <w:hideMark/>
          </w:tcPr>
          <w:p w14:paraId="2E98ADFB"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15 000 </w:t>
            </w:r>
          </w:p>
        </w:tc>
      </w:tr>
      <w:tr w:rsidR="00B73781" w:rsidRPr="00552BB0" w14:paraId="1A8496C3" w14:textId="77777777" w:rsidTr="00954994">
        <w:trPr>
          <w:trHeight w:val="85"/>
        </w:trPr>
        <w:tc>
          <w:tcPr>
            <w:tcW w:w="808" w:type="pct"/>
            <w:tcBorders>
              <w:top w:val="nil"/>
              <w:left w:val="single" w:sz="4" w:space="0" w:color="BFBFBF"/>
              <w:bottom w:val="single" w:sz="4" w:space="0" w:color="BFBFBF"/>
              <w:right w:val="single" w:sz="4" w:space="0" w:color="BFBFBF"/>
            </w:tcBorders>
            <w:shd w:val="clear" w:color="auto" w:fill="auto"/>
            <w:vAlign w:val="center"/>
            <w:hideMark/>
          </w:tcPr>
          <w:p w14:paraId="5A60CAF4" w14:textId="76BDBD31" w:rsidR="00DD3A94" w:rsidRPr="00552BB0" w:rsidRDefault="00DD3A94" w:rsidP="009D48A4">
            <w:pPr>
              <w:spacing w:after="40"/>
              <w:rPr>
                <w:rFonts w:eastAsia="Times New Roman"/>
                <w:color w:val="002839"/>
                <w:sz w:val="18"/>
                <w:szCs w:val="18"/>
                <w:lang w:val="fr-FR"/>
              </w:rPr>
            </w:pPr>
            <w:r w:rsidRPr="00552BB0">
              <w:rPr>
                <w:color w:val="002839"/>
                <w:sz w:val="18"/>
                <w:lang w:val="fr-FR"/>
              </w:rPr>
              <w:t>Événement en marge de la session</w:t>
            </w:r>
            <w:r w:rsidR="005C3C29" w:rsidRPr="00552BB0">
              <w:rPr>
                <w:color w:val="002839"/>
                <w:sz w:val="18"/>
                <w:lang w:val="fr-FR"/>
              </w:rPr>
              <w:t xml:space="preserve"> du CDI</w:t>
            </w:r>
            <w:r w:rsidRPr="00552BB0">
              <w:rPr>
                <w:color w:val="002839"/>
                <w:sz w:val="18"/>
                <w:lang w:val="fr-FR"/>
              </w:rPr>
              <w:t xml:space="preserve">P </w:t>
            </w:r>
          </w:p>
        </w:tc>
        <w:tc>
          <w:tcPr>
            <w:tcW w:w="458" w:type="pct"/>
            <w:tcBorders>
              <w:top w:val="nil"/>
              <w:left w:val="nil"/>
              <w:bottom w:val="single" w:sz="4" w:space="0" w:color="BFBFBF"/>
              <w:right w:val="single" w:sz="4" w:space="0" w:color="BFBFBF"/>
            </w:tcBorders>
            <w:shd w:val="clear" w:color="auto" w:fill="auto"/>
            <w:noWrap/>
            <w:vAlign w:val="center"/>
            <w:hideMark/>
          </w:tcPr>
          <w:p w14:paraId="4E56E235"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8" w:type="pct"/>
            <w:tcBorders>
              <w:top w:val="nil"/>
              <w:left w:val="nil"/>
              <w:bottom w:val="single" w:sz="4" w:space="0" w:color="BFBFBF"/>
              <w:right w:val="single" w:sz="4" w:space="0" w:color="BFBFBF"/>
            </w:tcBorders>
            <w:shd w:val="clear" w:color="auto" w:fill="auto"/>
            <w:noWrap/>
            <w:vAlign w:val="center"/>
            <w:hideMark/>
          </w:tcPr>
          <w:p w14:paraId="7630F6D9"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8" w:type="pct"/>
            <w:tcBorders>
              <w:top w:val="nil"/>
              <w:left w:val="nil"/>
              <w:bottom w:val="single" w:sz="4" w:space="0" w:color="BFBFBF"/>
              <w:right w:val="single" w:sz="4" w:space="0" w:color="BFBFBF"/>
            </w:tcBorders>
            <w:shd w:val="clear" w:color="auto" w:fill="auto"/>
            <w:noWrap/>
            <w:vAlign w:val="center"/>
            <w:hideMark/>
          </w:tcPr>
          <w:p w14:paraId="4F7ADCBD"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459" w:type="pct"/>
            <w:tcBorders>
              <w:top w:val="nil"/>
              <w:left w:val="nil"/>
              <w:bottom w:val="single" w:sz="4" w:space="0" w:color="BFBFBF"/>
              <w:right w:val="single" w:sz="4" w:space="0" w:color="BFBFBF"/>
            </w:tcBorders>
            <w:shd w:val="clear" w:color="auto" w:fill="auto"/>
            <w:noWrap/>
            <w:vAlign w:val="center"/>
            <w:hideMark/>
          </w:tcPr>
          <w:p w14:paraId="37732CE1"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xml:space="preserve">15 000 </w:t>
            </w:r>
          </w:p>
        </w:tc>
        <w:tc>
          <w:tcPr>
            <w:tcW w:w="455" w:type="pct"/>
            <w:tcBorders>
              <w:top w:val="nil"/>
              <w:left w:val="nil"/>
              <w:bottom w:val="single" w:sz="4" w:space="0" w:color="BFBFBF"/>
              <w:right w:val="single" w:sz="4" w:space="0" w:color="BFBFBF"/>
            </w:tcBorders>
            <w:shd w:val="clear" w:color="auto" w:fill="auto"/>
            <w:noWrap/>
            <w:vAlign w:val="center"/>
            <w:hideMark/>
          </w:tcPr>
          <w:p w14:paraId="588D94F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4A99CBA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5" w:type="pct"/>
            <w:tcBorders>
              <w:top w:val="nil"/>
              <w:left w:val="nil"/>
              <w:bottom w:val="single" w:sz="4" w:space="0" w:color="BFBFBF"/>
              <w:right w:val="single" w:sz="4" w:space="0" w:color="BFBFBF"/>
            </w:tcBorders>
            <w:shd w:val="clear" w:color="auto" w:fill="auto"/>
            <w:noWrap/>
            <w:vAlign w:val="center"/>
            <w:hideMark/>
          </w:tcPr>
          <w:p w14:paraId="0925ED42"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 </w:t>
            </w:r>
            <w:r w:rsidRPr="00552BB0">
              <w:rPr>
                <w:rFonts w:ascii="Arial Narrow" w:hAnsi="Arial Narrow"/>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0F0BA391" w14:textId="77777777" w:rsidR="00DD3A94" w:rsidRPr="00552BB0" w:rsidRDefault="00DD3A94" w:rsidP="009D48A4">
            <w:pPr>
              <w:spacing w:after="40"/>
              <w:jc w:val="right"/>
              <w:rPr>
                <w:rFonts w:eastAsia="Times New Roman"/>
                <w:color w:val="002839"/>
                <w:sz w:val="18"/>
                <w:szCs w:val="18"/>
                <w:lang w:val="fr-FR"/>
              </w:rPr>
            </w:pPr>
            <w:r w:rsidRPr="00552BB0">
              <w:rPr>
                <w:rFonts w:ascii="Arial Narrow" w:hAnsi="Arial Narrow"/>
                <w:color w:val="002839"/>
                <w:sz w:val="20"/>
                <w:lang w:val="fr-FR"/>
              </w:rPr>
              <w:t>–</w:t>
            </w:r>
            <w:r w:rsidRPr="00552BB0">
              <w:rPr>
                <w:color w:val="002839"/>
                <w:sz w:val="18"/>
                <w:lang w:val="fr-FR"/>
              </w:rPr>
              <w:t> </w:t>
            </w:r>
          </w:p>
        </w:tc>
        <w:tc>
          <w:tcPr>
            <w:tcW w:w="537" w:type="pct"/>
            <w:tcBorders>
              <w:top w:val="nil"/>
              <w:left w:val="nil"/>
              <w:bottom w:val="single" w:sz="4" w:space="0" w:color="BFBFBF"/>
              <w:right w:val="single" w:sz="4" w:space="0" w:color="BFBFBF"/>
            </w:tcBorders>
            <w:shd w:val="clear" w:color="auto" w:fill="auto"/>
            <w:noWrap/>
            <w:vAlign w:val="center"/>
            <w:hideMark/>
          </w:tcPr>
          <w:p w14:paraId="4C8EBA0E" w14:textId="77777777" w:rsidR="00DD3A94" w:rsidRPr="00552BB0" w:rsidRDefault="00DD3A94" w:rsidP="009D48A4">
            <w:pPr>
              <w:spacing w:after="40"/>
              <w:jc w:val="right"/>
              <w:rPr>
                <w:rFonts w:eastAsia="Times New Roman"/>
                <w:color w:val="002839"/>
                <w:sz w:val="18"/>
                <w:szCs w:val="18"/>
                <w:lang w:val="fr-FR"/>
              </w:rPr>
            </w:pPr>
            <w:r w:rsidRPr="00552BB0">
              <w:rPr>
                <w:color w:val="002839"/>
                <w:sz w:val="18"/>
                <w:lang w:val="fr-FR"/>
              </w:rPr>
              <w:t>15 000 </w:t>
            </w:r>
          </w:p>
        </w:tc>
      </w:tr>
      <w:tr w:rsidR="00B73781" w:rsidRPr="00552BB0" w14:paraId="2B54CFEA" w14:textId="77777777" w:rsidTr="00954994">
        <w:trPr>
          <w:trHeight w:val="50"/>
        </w:trPr>
        <w:tc>
          <w:tcPr>
            <w:tcW w:w="808" w:type="pct"/>
            <w:tcBorders>
              <w:top w:val="nil"/>
              <w:left w:val="single" w:sz="4" w:space="0" w:color="BFBFBF"/>
              <w:bottom w:val="single" w:sz="4" w:space="0" w:color="BFBFBF"/>
              <w:right w:val="single" w:sz="4" w:space="0" w:color="BFBFBF"/>
            </w:tcBorders>
            <w:shd w:val="clear" w:color="000000" w:fill="EDF0F3"/>
            <w:vAlign w:val="center"/>
            <w:hideMark/>
          </w:tcPr>
          <w:p w14:paraId="6B986AFD" w14:textId="77777777" w:rsidR="00DD3A94" w:rsidRPr="00552BB0" w:rsidRDefault="00DD3A94" w:rsidP="009D48A4">
            <w:pPr>
              <w:spacing w:after="40"/>
              <w:rPr>
                <w:rFonts w:eastAsia="Times New Roman"/>
                <w:b/>
                <w:bCs/>
                <w:color w:val="002839"/>
                <w:sz w:val="18"/>
                <w:szCs w:val="18"/>
                <w:lang w:val="fr-FR"/>
              </w:rPr>
            </w:pPr>
            <w:r w:rsidRPr="00552BB0">
              <w:rPr>
                <w:b/>
                <w:color w:val="002839"/>
                <w:sz w:val="18"/>
                <w:lang w:val="fr-FR"/>
              </w:rPr>
              <w:t xml:space="preserve">Total </w:t>
            </w:r>
          </w:p>
        </w:tc>
        <w:tc>
          <w:tcPr>
            <w:tcW w:w="458" w:type="pct"/>
            <w:tcBorders>
              <w:top w:val="nil"/>
              <w:left w:val="nil"/>
              <w:bottom w:val="single" w:sz="4" w:space="0" w:color="BFBFBF"/>
              <w:right w:val="single" w:sz="4" w:space="0" w:color="BFBFBF"/>
            </w:tcBorders>
            <w:shd w:val="clear" w:color="000000" w:fill="EDF0F3"/>
            <w:noWrap/>
            <w:vAlign w:val="center"/>
            <w:hideMark/>
          </w:tcPr>
          <w:p w14:paraId="514D55EF"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20 000 </w:t>
            </w:r>
          </w:p>
        </w:tc>
        <w:tc>
          <w:tcPr>
            <w:tcW w:w="458" w:type="pct"/>
            <w:tcBorders>
              <w:top w:val="nil"/>
              <w:left w:val="nil"/>
              <w:bottom w:val="single" w:sz="4" w:space="0" w:color="BFBFBF"/>
              <w:right w:val="single" w:sz="4" w:space="0" w:color="BFBFBF"/>
            </w:tcBorders>
            <w:shd w:val="clear" w:color="000000" w:fill="EDF0F3"/>
            <w:noWrap/>
            <w:vAlign w:val="center"/>
            <w:hideMark/>
          </w:tcPr>
          <w:p w14:paraId="1EE68C91"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50 000 </w:t>
            </w:r>
          </w:p>
        </w:tc>
        <w:tc>
          <w:tcPr>
            <w:tcW w:w="458" w:type="pct"/>
            <w:tcBorders>
              <w:top w:val="nil"/>
              <w:left w:val="nil"/>
              <w:bottom w:val="single" w:sz="4" w:space="0" w:color="BFBFBF"/>
              <w:right w:val="single" w:sz="4" w:space="0" w:color="BFBFBF"/>
            </w:tcBorders>
            <w:shd w:val="clear" w:color="000000" w:fill="EDF0F3"/>
            <w:noWrap/>
            <w:vAlign w:val="center"/>
            <w:hideMark/>
          </w:tcPr>
          <w:p w14:paraId="0DAB48E2" w14:textId="77777777" w:rsidR="00DD3A94" w:rsidRPr="00552BB0" w:rsidRDefault="00DD3A94" w:rsidP="009D48A4">
            <w:pPr>
              <w:spacing w:after="40"/>
              <w:jc w:val="right"/>
              <w:rPr>
                <w:rFonts w:eastAsia="Times New Roman"/>
                <w:b/>
                <w:bCs/>
                <w:color w:val="002839"/>
                <w:sz w:val="18"/>
                <w:szCs w:val="18"/>
                <w:lang w:val="fr-FR"/>
              </w:rPr>
            </w:pPr>
            <w:r w:rsidRPr="00552BB0">
              <w:rPr>
                <w:rFonts w:ascii="Arial Narrow" w:hAnsi="Arial Narrow"/>
                <w:b/>
                <w:sz w:val="18"/>
                <w:lang w:val="fr-FR"/>
              </w:rPr>
              <w:t>–</w:t>
            </w:r>
          </w:p>
        </w:tc>
        <w:tc>
          <w:tcPr>
            <w:tcW w:w="459" w:type="pct"/>
            <w:tcBorders>
              <w:top w:val="nil"/>
              <w:left w:val="nil"/>
              <w:bottom w:val="single" w:sz="4" w:space="0" w:color="BFBFBF"/>
              <w:right w:val="single" w:sz="4" w:space="0" w:color="BFBFBF"/>
            </w:tcBorders>
            <w:shd w:val="clear" w:color="000000" w:fill="EDF0F3"/>
            <w:noWrap/>
            <w:vAlign w:val="center"/>
            <w:hideMark/>
          </w:tcPr>
          <w:p w14:paraId="7F17AE09"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20 000 </w:t>
            </w:r>
          </w:p>
        </w:tc>
        <w:tc>
          <w:tcPr>
            <w:tcW w:w="455" w:type="pct"/>
            <w:tcBorders>
              <w:top w:val="nil"/>
              <w:left w:val="nil"/>
              <w:bottom w:val="single" w:sz="4" w:space="0" w:color="BFBFBF"/>
              <w:right w:val="single" w:sz="4" w:space="0" w:color="BFBFBF"/>
            </w:tcBorders>
            <w:shd w:val="clear" w:color="000000" w:fill="EDF0F3"/>
            <w:noWrap/>
            <w:vAlign w:val="center"/>
            <w:hideMark/>
          </w:tcPr>
          <w:p w14:paraId="4A7C885A"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10 000 </w:t>
            </w:r>
          </w:p>
        </w:tc>
        <w:tc>
          <w:tcPr>
            <w:tcW w:w="455" w:type="pct"/>
            <w:tcBorders>
              <w:top w:val="nil"/>
              <w:left w:val="nil"/>
              <w:bottom w:val="single" w:sz="4" w:space="0" w:color="BFBFBF"/>
              <w:right w:val="single" w:sz="4" w:space="0" w:color="BFBFBF"/>
            </w:tcBorders>
            <w:shd w:val="clear" w:color="000000" w:fill="EDF0F3"/>
            <w:noWrap/>
            <w:vAlign w:val="center"/>
            <w:hideMark/>
          </w:tcPr>
          <w:p w14:paraId="2687D2EB"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85 000 </w:t>
            </w:r>
          </w:p>
        </w:tc>
        <w:tc>
          <w:tcPr>
            <w:tcW w:w="455" w:type="pct"/>
            <w:tcBorders>
              <w:top w:val="nil"/>
              <w:left w:val="nil"/>
              <w:bottom w:val="single" w:sz="4" w:space="0" w:color="BFBFBF"/>
              <w:right w:val="single" w:sz="4" w:space="0" w:color="BFBFBF"/>
            </w:tcBorders>
            <w:shd w:val="clear" w:color="000000" w:fill="EDF0F3"/>
            <w:noWrap/>
            <w:vAlign w:val="center"/>
            <w:hideMark/>
          </w:tcPr>
          <w:p w14:paraId="43B33C44" w14:textId="77777777" w:rsidR="00DD3A94" w:rsidRPr="00552BB0" w:rsidRDefault="00DD3A94" w:rsidP="009D48A4">
            <w:pPr>
              <w:spacing w:after="40"/>
              <w:jc w:val="right"/>
              <w:rPr>
                <w:rFonts w:eastAsia="Times New Roman"/>
                <w:b/>
                <w:bCs/>
                <w:color w:val="002839"/>
                <w:sz w:val="18"/>
                <w:szCs w:val="18"/>
                <w:lang w:val="fr-FR"/>
              </w:rPr>
            </w:pPr>
            <w:r w:rsidRPr="00552BB0">
              <w:rPr>
                <w:rFonts w:ascii="Arial Narrow" w:hAnsi="Arial Narrow"/>
                <w:b/>
                <w:sz w:val="18"/>
                <w:lang w:val="fr-FR"/>
              </w:rPr>
              <w:t>–</w:t>
            </w:r>
          </w:p>
        </w:tc>
        <w:tc>
          <w:tcPr>
            <w:tcW w:w="456" w:type="pct"/>
            <w:tcBorders>
              <w:top w:val="nil"/>
              <w:left w:val="nil"/>
              <w:bottom w:val="single" w:sz="4" w:space="0" w:color="BFBFBF"/>
              <w:right w:val="single" w:sz="4" w:space="0" w:color="BFBFBF"/>
            </w:tcBorders>
            <w:shd w:val="clear" w:color="000000" w:fill="EDF0F3"/>
            <w:noWrap/>
            <w:vAlign w:val="center"/>
            <w:hideMark/>
          </w:tcPr>
          <w:p w14:paraId="4E1BCDB3"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20 000 </w:t>
            </w:r>
          </w:p>
        </w:tc>
        <w:tc>
          <w:tcPr>
            <w:tcW w:w="537" w:type="pct"/>
            <w:tcBorders>
              <w:top w:val="nil"/>
              <w:left w:val="nil"/>
              <w:bottom w:val="single" w:sz="4" w:space="0" w:color="BFBFBF"/>
              <w:right w:val="single" w:sz="4" w:space="0" w:color="BFBFBF"/>
            </w:tcBorders>
            <w:shd w:val="clear" w:color="000000" w:fill="EDF0F3"/>
            <w:noWrap/>
            <w:vAlign w:val="center"/>
            <w:hideMark/>
          </w:tcPr>
          <w:p w14:paraId="1BAF336E" w14:textId="77777777" w:rsidR="00DD3A94" w:rsidRPr="00552BB0" w:rsidRDefault="00DD3A94" w:rsidP="009D48A4">
            <w:pPr>
              <w:spacing w:after="40"/>
              <w:jc w:val="right"/>
              <w:rPr>
                <w:rFonts w:eastAsia="Times New Roman"/>
                <w:b/>
                <w:bCs/>
                <w:color w:val="002839"/>
                <w:sz w:val="18"/>
                <w:szCs w:val="18"/>
                <w:lang w:val="fr-FR"/>
              </w:rPr>
            </w:pPr>
            <w:r w:rsidRPr="00552BB0">
              <w:rPr>
                <w:b/>
                <w:color w:val="002839"/>
                <w:sz w:val="18"/>
                <w:lang w:val="fr-FR"/>
              </w:rPr>
              <w:t xml:space="preserve">205 000 </w:t>
            </w:r>
          </w:p>
        </w:tc>
      </w:tr>
    </w:tbl>
    <w:p w14:paraId="0218E8BC" w14:textId="4F53E88E" w:rsidR="000F5E56" w:rsidRPr="00552BB0" w:rsidRDefault="00DD3A94" w:rsidP="009D48A4">
      <w:pPr>
        <w:pStyle w:val="Endofdocument-Annex"/>
        <w:spacing w:before="720"/>
        <w:ind w:left="10069"/>
        <w:rPr>
          <w:lang w:val="fr-FR"/>
        </w:rPr>
      </w:pPr>
      <w:r w:rsidRPr="00552BB0">
        <w:rPr>
          <w:lang w:val="fr-FR"/>
        </w:rPr>
        <w:t>[Fin de l</w:t>
      </w:r>
      <w:r w:rsidR="005C3C29" w:rsidRPr="00552BB0">
        <w:rPr>
          <w:lang w:val="fr-FR"/>
        </w:rPr>
        <w:t>’</w:t>
      </w:r>
      <w:r w:rsidRPr="00552BB0">
        <w:rPr>
          <w:lang w:val="fr-FR"/>
        </w:rPr>
        <w:t>annexe et du document]</w:t>
      </w:r>
    </w:p>
    <w:sectPr w:rsidR="000F5E56" w:rsidRPr="00552BB0" w:rsidSect="00B73781">
      <w:pgSz w:w="16840" w:h="11907" w:orient="landscape" w:code="9"/>
      <w:pgMar w:top="1417" w:right="1389"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FCEE" w14:textId="77777777" w:rsidR="00DD3A94" w:rsidRDefault="00DD3A94">
      <w:r>
        <w:separator/>
      </w:r>
    </w:p>
  </w:endnote>
  <w:endnote w:type="continuationSeparator" w:id="0">
    <w:p w14:paraId="344C3A13" w14:textId="77777777" w:rsidR="00DD3A94" w:rsidRPr="009D30E6" w:rsidRDefault="00DD3A94" w:rsidP="00D45252">
      <w:pPr>
        <w:rPr>
          <w:sz w:val="17"/>
          <w:szCs w:val="17"/>
        </w:rPr>
      </w:pPr>
      <w:r w:rsidRPr="009D30E6">
        <w:rPr>
          <w:sz w:val="17"/>
          <w:szCs w:val="17"/>
        </w:rPr>
        <w:separator/>
      </w:r>
    </w:p>
    <w:p w14:paraId="6B5CB3A8" w14:textId="77777777" w:rsidR="00DD3A94" w:rsidRPr="009D30E6" w:rsidRDefault="00DD3A94" w:rsidP="00D45252">
      <w:pPr>
        <w:spacing w:after="60"/>
        <w:rPr>
          <w:sz w:val="17"/>
          <w:szCs w:val="17"/>
        </w:rPr>
      </w:pPr>
      <w:r w:rsidRPr="009D30E6">
        <w:rPr>
          <w:sz w:val="17"/>
          <w:szCs w:val="17"/>
        </w:rPr>
        <w:t>[Suite de la note de la page précédente]</w:t>
      </w:r>
    </w:p>
  </w:endnote>
  <w:endnote w:type="continuationNotice" w:id="1">
    <w:p w14:paraId="67F6FD21" w14:textId="77777777" w:rsidR="00DD3A94" w:rsidRPr="009D30E6" w:rsidRDefault="00DD3A9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0583" w14:textId="77777777" w:rsidR="008E7F86" w:rsidRDefault="008E7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6B2F" w14:textId="77777777" w:rsidR="008E7F86" w:rsidRDefault="008E7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A70F" w14:textId="77777777" w:rsidR="008E7F86" w:rsidRDefault="008E7F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F8C6" w14:textId="77777777" w:rsidR="005C3C29" w:rsidRDefault="005C3C29"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A6C" w14:textId="77777777" w:rsidR="005C3C29" w:rsidRPr="00BB6227" w:rsidRDefault="005C3C29"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732D" w14:textId="77777777" w:rsidR="005C3C29" w:rsidRDefault="005C3C29" w:rsidP="00DC3D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BFFD" w14:textId="77777777" w:rsidR="00DD3A94" w:rsidRDefault="00DD3A94">
      <w:r>
        <w:separator/>
      </w:r>
    </w:p>
  </w:footnote>
  <w:footnote w:type="continuationSeparator" w:id="0">
    <w:p w14:paraId="43F6C6CA" w14:textId="77777777" w:rsidR="00DD3A94" w:rsidRDefault="00DD3A94" w:rsidP="007461F1">
      <w:r>
        <w:separator/>
      </w:r>
    </w:p>
    <w:p w14:paraId="6D3501D5" w14:textId="77777777" w:rsidR="00DD3A94" w:rsidRPr="009D30E6" w:rsidRDefault="00DD3A94" w:rsidP="007461F1">
      <w:pPr>
        <w:spacing w:after="60"/>
        <w:rPr>
          <w:sz w:val="17"/>
          <w:szCs w:val="17"/>
        </w:rPr>
      </w:pPr>
      <w:r w:rsidRPr="009D30E6">
        <w:rPr>
          <w:sz w:val="17"/>
          <w:szCs w:val="17"/>
        </w:rPr>
        <w:t>[Suite de la note de la page précédente]</w:t>
      </w:r>
    </w:p>
  </w:footnote>
  <w:footnote w:type="continuationNotice" w:id="1">
    <w:p w14:paraId="3FF72466" w14:textId="77777777" w:rsidR="00DD3A94" w:rsidRPr="009D30E6" w:rsidRDefault="00DD3A94" w:rsidP="007461F1">
      <w:pPr>
        <w:spacing w:before="60"/>
        <w:jc w:val="right"/>
        <w:rPr>
          <w:sz w:val="17"/>
          <w:szCs w:val="17"/>
        </w:rPr>
      </w:pPr>
      <w:r w:rsidRPr="009D30E6">
        <w:rPr>
          <w:sz w:val="17"/>
          <w:szCs w:val="17"/>
        </w:rPr>
        <w:t>[Suite de la note page suivante]</w:t>
      </w:r>
    </w:p>
  </w:footnote>
  <w:footnote w:id="2">
    <w:p w14:paraId="291D1DA3" w14:textId="0C5DBB6E" w:rsidR="00DD3A94" w:rsidRDefault="00DD3A94" w:rsidP="00DD3A94">
      <w:pPr>
        <w:pStyle w:val="FootnoteText"/>
      </w:pPr>
      <w:r>
        <w:rPr>
          <w:rStyle w:val="FootnoteReference"/>
        </w:rPr>
        <w:footnoteRef/>
      </w:r>
      <w:r w:rsidR="00AC5B03">
        <w:t xml:space="preserve"> </w:t>
      </w:r>
      <w:r>
        <w:tab/>
        <w:t>La mise en œuvre du projet commencera uniquement lorsque les activités préalables à la mise en œuvre du projet auront été effectuées.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0ED1" w14:textId="77777777" w:rsidR="00DD3A94" w:rsidRPr="00F321E0" w:rsidRDefault="00DD3A94"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779A4DD3" w14:textId="23A481C0" w:rsidR="00DD3A94" w:rsidRDefault="00DD3A94" w:rsidP="0083556E">
    <w:pPr>
      <w:jc w:val="right"/>
    </w:pPr>
    <w:r>
      <w:t>Annexe I, page</w:t>
    </w:r>
    <w:r w:rsidR="00790519">
      <w:t> </w:t>
    </w:r>
    <w:r>
      <w:fldChar w:fldCharType="begin"/>
    </w:r>
    <w:r>
      <w:instrText xml:space="preserve"> PAGE  \* MERGEFORMAT </w:instrText>
    </w:r>
    <w:r>
      <w:fldChar w:fldCharType="separate"/>
    </w:r>
    <w:r>
      <w:t>6</w:t>
    </w:r>
    <w:r>
      <w:fldChar w:fldCharType="end"/>
    </w:r>
  </w:p>
  <w:p w14:paraId="75A8990D" w14:textId="77777777" w:rsidR="00DD3A94" w:rsidRDefault="00DD3A94" w:rsidP="00516E89">
    <w:pPr>
      <w:pStyle w:val="Header"/>
      <w:jc w:val="right"/>
      <w:rPr>
        <w:color w:val="000000" w:themeColor="text1"/>
      </w:rPr>
    </w:pPr>
  </w:p>
  <w:p w14:paraId="60047C3C" w14:textId="77777777" w:rsidR="00DD3A94" w:rsidRPr="00516E89" w:rsidRDefault="00DD3A94"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97E2" w14:textId="77777777" w:rsidR="00DD3A94" w:rsidRPr="00F321E0" w:rsidRDefault="00DD3A94" w:rsidP="00F441FA">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5091957D" w14:textId="3C3BFE62" w:rsidR="00DD3A94" w:rsidRDefault="00DD3A94" w:rsidP="00F441FA">
    <w:pPr>
      <w:jc w:val="right"/>
    </w:pPr>
    <w:r>
      <w:t>Annexe I, page</w:t>
    </w:r>
    <w:r w:rsidR="00790519">
      <w:t> </w:t>
    </w:r>
    <w:r>
      <w:fldChar w:fldCharType="begin"/>
    </w:r>
    <w:r>
      <w:instrText xml:space="preserve"> PAGE  \* MERGEFORMAT </w:instrText>
    </w:r>
    <w:r>
      <w:fldChar w:fldCharType="separate"/>
    </w:r>
    <w:r>
      <w:t>7</w:t>
    </w:r>
    <w:r>
      <w:fldChar w:fldCharType="end"/>
    </w:r>
  </w:p>
  <w:p w14:paraId="7C20B4D2" w14:textId="77777777" w:rsidR="00DD3A94" w:rsidRDefault="00DD3A94">
    <w:pPr>
      <w:pStyle w:val="Header"/>
    </w:pPr>
  </w:p>
  <w:p w14:paraId="0DC5E962" w14:textId="77777777" w:rsidR="00DD3A94" w:rsidRDefault="00DD3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730" w14:textId="77777777" w:rsidR="00DD3A94" w:rsidRPr="004935D8" w:rsidRDefault="00DD3A94" w:rsidP="00465561">
    <w:pPr>
      <w:pStyle w:val="Header"/>
      <w:spacing w:before="240"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CA0A" w14:textId="77777777" w:rsidR="005C3C29" w:rsidRDefault="005C3C29" w:rsidP="00DE74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FBBB" w14:textId="77777777" w:rsidR="004573F8" w:rsidRDefault="005C3C29" w:rsidP="004573F8">
    <w:pPr>
      <w:pStyle w:val="Header"/>
      <w:ind w:right="-425"/>
      <w:jc w:val="right"/>
    </w:pPr>
    <w:r>
      <w:t>CDIP/32/6</w:t>
    </w:r>
  </w:p>
  <w:p w14:paraId="753B9B25" w14:textId="7C81ADB5" w:rsidR="005C3C29" w:rsidRDefault="005C3C29" w:rsidP="005C6C6F">
    <w:pPr>
      <w:pStyle w:val="Header"/>
      <w:spacing w:after="480"/>
      <w:ind w:right="-425"/>
      <w:jc w:val="right"/>
    </w:pPr>
    <w:r>
      <w:t>Annexe, page </w:t>
    </w:r>
    <w:r>
      <w:fldChar w:fldCharType="begin"/>
    </w:r>
    <w:r>
      <w:instrText xml:space="preserve"> PAGE  \* MERGEFORMAT </w:instrText>
    </w:r>
    <w:r>
      <w:fldChar w:fldCharType="separate"/>
    </w:r>
    <w:r>
      <w:t>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B0E8" w14:textId="2AADB28B" w:rsidR="004573F8" w:rsidRDefault="00AC5B03" w:rsidP="004573F8">
    <w:pPr>
      <w:pStyle w:val="Header"/>
      <w:ind w:right="1"/>
      <w:jc w:val="right"/>
    </w:pPr>
    <w:r>
      <w:t>CDIP/32/</w:t>
    </w:r>
    <w:r w:rsidR="009D48A4">
      <w:t>6</w:t>
    </w:r>
  </w:p>
  <w:p w14:paraId="08CB5193" w14:textId="2D4CA863" w:rsidR="005C3C29" w:rsidRDefault="00AC5B03" w:rsidP="004573F8">
    <w:pPr>
      <w:pStyle w:val="Header"/>
      <w:ind w:right="1"/>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F7C7F"/>
    <w:multiLevelType w:val="hybridMultilevel"/>
    <w:tmpl w:val="8FCC17A6"/>
    <w:lvl w:ilvl="0" w:tplc="7DA49E6A">
      <w:numFmt w:val="bullet"/>
      <w:lvlText w:val="-"/>
      <w:lvlJc w:val="left"/>
      <w:pPr>
        <w:ind w:left="94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783E9D"/>
    <w:multiLevelType w:val="hybridMultilevel"/>
    <w:tmpl w:val="DD1E855E"/>
    <w:lvl w:ilvl="0" w:tplc="91F6251E">
      <w:start w:val="3"/>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100D16"/>
    <w:multiLevelType w:val="hybridMultilevel"/>
    <w:tmpl w:val="73C02A0C"/>
    <w:lvl w:ilvl="0" w:tplc="7DA49E6A">
      <w:numFmt w:val="bullet"/>
      <w:lvlText w:val="-"/>
      <w:lvlJc w:val="left"/>
      <w:pPr>
        <w:ind w:left="83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3"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047E9"/>
    <w:multiLevelType w:val="hybridMultilevel"/>
    <w:tmpl w:val="9D101E44"/>
    <w:lvl w:ilvl="0" w:tplc="040C0017">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 w15:restartNumberingAfterBreak="0">
    <w:nsid w:val="7C67536C"/>
    <w:multiLevelType w:val="hybridMultilevel"/>
    <w:tmpl w:val="8D128AB2"/>
    <w:lvl w:ilvl="0" w:tplc="59CC72D2">
      <w:numFmt w:val="bullet"/>
      <w:lvlText w:val="-"/>
      <w:lvlJc w:val="left"/>
      <w:pPr>
        <w:ind w:left="83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763647199">
    <w:abstractNumId w:val="4"/>
  </w:num>
  <w:num w:numId="2" w16cid:durableId="1514341178">
    <w:abstractNumId w:val="9"/>
  </w:num>
  <w:num w:numId="3" w16cid:durableId="1600137799">
    <w:abstractNumId w:val="0"/>
  </w:num>
  <w:num w:numId="4" w16cid:durableId="2007901379">
    <w:abstractNumId w:val="11"/>
  </w:num>
  <w:num w:numId="5" w16cid:durableId="1962764970">
    <w:abstractNumId w:val="1"/>
  </w:num>
  <w:num w:numId="6" w16cid:durableId="1856072525">
    <w:abstractNumId w:val="5"/>
  </w:num>
  <w:num w:numId="7" w16cid:durableId="668991987">
    <w:abstractNumId w:val="8"/>
  </w:num>
  <w:num w:numId="8" w16cid:durableId="121265250">
    <w:abstractNumId w:val="6"/>
  </w:num>
  <w:num w:numId="9" w16cid:durableId="1948072789">
    <w:abstractNumId w:val="15"/>
  </w:num>
  <w:num w:numId="10" w16cid:durableId="1717197350">
    <w:abstractNumId w:val="14"/>
  </w:num>
  <w:num w:numId="11" w16cid:durableId="1009714524">
    <w:abstractNumId w:val="3"/>
  </w:num>
  <w:num w:numId="12" w16cid:durableId="1296719693">
    <w:abstractNumId w:val="10"/>
  </w:num>
  <w:num w:numId="13" w16cid:durableId="1709646825">
    <w:abstractNumId w:val="7"/>
  </w:num>
  <w:num w:numId="14" w16cid:durableId="1670908699">
    <w:abstractNumId w:val="13"/>
  </w:num>
  <w:num w:numId="15" w16cid:durableId="737675558">
    <w:abstractNumId w:val="16"/>
  </w:num>
  <w:num w:numId="16" w16cid:durableId="615721429">
    <w:abstractNumId w:val="12"/>
  </w:num>
  <w:num w:numId="17" w16cid:durableId="2042247200">
    <w:abstractNumId w:val="2"/>
  </w:num>
  <w:num w:numId="18" w16cid:durableId="1200506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94"/>
    <w:rsid w:val="00011B7D"/>
    <w:rsid w:val="00020C7E"/>
    <w:rsid w:val="00075432"/>
    <w:rsid w:val="000760CD"/>
    <w:rsid w:val="0009458A"/>
    <w:rsid w:val="000C5B60"/>
    <w:rsid w:val="000D77F9"/>
    <w:rsid w:val="000F5E56"/>
    <w:rsid w:val="001060FF"/>
    <w:rsid w:val="001362EE"/>
    <w:rsid w:val="001832A6"/>
    <w:rsid w:val="00195C6E"/>
    <w:rsid w:val="001B266A"/>
    <w:rsid w:val="001B488E"/>
    <w:rsid w:val="001C6508"/>
    <w:rsid w:val="001D3D56"/>
    <w:rsid w:val="00234187"/>
    <w:rsid w:val="00240654"/>
    <w:rsid w:val="002634C4"/>
    <w:rsid w:val="002956DE"/>
    <w:rsid w:val="002E4D1A"/>
    <w:rsid w:val="002F16BC"/>
    <w:rsid w:val="002F4E68"/>
    <w:rsid w:val="002F5495"/>
    <w:rsid w:val="00322C0B"/>
    <w:rsid w:val="003637BB"/>
    <w:rsid w:val="00381798"/>
    <w:rsid w:val="003845C1"/>
    <w:rsid w:val="003A67A3"/>
    <w:rsid w:val="004008A2"/>
    <w:rsid w:val="004025DF"/>
    <w:rsid w:val="0040540C"/>
    <w:rsid w:val="00423E3E"/>
    <w:rsid w:val="00427AF4"/>
    <w:rsid w:val="004573F8"/>
    <w:rsid w:val="004647DA"/>
    <w:rsid w:val="00465561"/>
    <w:rsid w:val="00477D6B"/>
    <w:rsid w:val="004935D8"/>
    <w:rsid w:val="004D6471"/>
    <w:rsid w:val="0051455D"/>
    <w:rsid w:val="00523D00"/>
    <w:rsid w:val="00525B63"/>
    <w:rsid w:val="00525E59"/>
    <w:rsid w:val="00541348"/>
    <w:rsid w:val="005421DD"/>
    <w:rsid w:val="00552BB0"/>
    <w:rsid w:val="00554FA5"/>
    <w:rsid w:val="00567A4C"/>
    <w:rsid w:val="00574036"/>
    <w:rsid w:val="00595F07"/>
    <w:rsid w:val="005C3C29"/>
    <w:rsid w:val="005C6C6F"/>
    <w:rsid w:val="005E6516"/>
    <w:rsid w:val="00605827"/>
    <w:rsid w:val="00616671"/>
    <w:rsid w:val="006B0DB5"/>
    <w:rsid w:val="006E1EC4"/>
    <w:rsid w:val="007461F1"/>
    <w:rsid w:val="00790519"/>
    <w:rsid w:val="007D6961"/>
    <w:rsid w:val="007F07CB"/>
    <w:rsid w:val="00805729"/>
    <w:rsid w:val="00807C77"/>
    <w:rsid w:val="00810CEF"/>
    <w:rsid w:val="0081208D"/>
    <w:rsid w:val="00897816"/>
    <w:rsid w:val="008B2CC1"/>
    <w:rsid w:val="008D734D"/>
    <w:rsid w:val="008E7930"/>
    <w:rsid w:val="008E7F86"/>
    <w:rsid w:val="0090731E"/>
    <w:rsid w:val="00954994"/>
    <w:rsid w:val="00966A22"/>
    <w:rsid w:val="00974CD6"/>
    <w:rsid w:val="009D30E6"/>
    <w:rsid w:val="009D48A4"/>
    <w:rsid w:val="009E3F6F"/>
    <w:rsid w:val="009F499F"/>
    <w:rsid w:val="00A11D74"/>
    <w:rsid w:val="00AC0AE4"/>
    <w:rsid w:val="00AC5B03"/>
    <w:rsid w:val="00AD2D7F"/>
    <w:rsid w:val="00AD61DB"/>
    <w:rsid w:val="00AE47C0"/>
    <w:rsid w:val="00B065DC"/>
    <w:rsid w:val="00B1090C"/>
    <w:rsid w:val="00B35AF5"/>
    <w:rsid w:val="00B45C15"/>
    <w:rsid w:val="00B73781"/>
    <w:rsid w:val="00BD28FF"/>
    <w:rsid w:val="00BE0BE0"/>
    <w:rsid w:val="00C664C8"/>
    <w:rsid w:val="00C91678"/>
    <w:rsid w:val="00CF0460"/>
    <w:rsid w:val="00D306B6"/>
    <w:rsid w:val="00D43E0F"/>
    <w:rsid w:val="00D45252"/>
    <w:rsid w:val="00D5085C"/>
    <w:rsid w:val="00D71B4D"/>
    <w:rsid w:val="00D75C1E"/>
    <w:rsid w:val="00D93D55"/>
    <w:rsid w:val="00DB1C48"/>
    <w:rsid w:val="00DB6CBF"/>
    <w:rsid w:val="00DD3A94"/>
    <w:rsid w:val="00DD4917"/>
    <w:rsid w:val="00DD6A16"/>
    <w:rsid w:val="00E0091A"/>
    <w:rsid w:val="00E203AA"/>
    <w:rsid w:val="00E22727"/>
    <w:rsid w:val="00E5217A"/>
    <w:rsid w:val="00E527A5"/>
    <w:rsid w:val="00E76456"/>
    <w:rsid w:val="00EA5555"/>
    <w:rsid w:val="00EE71CB"/>
    <w:rsid w:val="00F16975"/>
    <w:rsid w:val="00F53681"/>
    <w:rsid w:val="00F66152"/>
    <w:rsid w:val="00F93653"/>
    <w:rsid w:val="00FC1AA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F2D9F"/>
  <w15:docId w15:val="{6C892DC7-EC64-4B4B-A697-4581FC4B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rsid w:val="00DD3A94"/>
    <w:rPr>
      <w:rFonts w:ascii="Arial" w:eastAsia="SimSun" w:hAnsi="Arial" w:cs="Arial"/>
      <w:sz w:val="22"/>
      <w:lang w:eastAsia="zh-CN"/>
    </w:rPr>
  </w:style>
  <w:style w:type="character" w:customStyle="1" w:styleId="FooterChar">
    <w:name w:val="Footer Char"/>
    <w:basedOn w:val="DefaultParagraphFont"/>
    <w:link w:val="Footer"/>
    <w:uiPriority w:val="99"/>
    <w:rsid w:val="00DD3A94"/>
    <w:rPr>
      <w:rFonts w:ascii="Arial" w:eastAsia="SimSun" w:hAnsi="Arial" w:cs="Arial"/>
      <w:sz w:val="22"/>
      <w:lang w:eastAsia="zh-CN"/>
    </w:rPr>
  </w:style>
  <w:style w:type="character" w:customStyle="1" w:styleId="FootnoteTextChar">
    <w:name w:val="Footnote Text Char"/>
    <w:basedOn w:val="DefaultParagraphFont"/>
    <w:link w:val="FootnoteText"/>
    <w:semiHidden/>
    <w:rsid w:val="00DD3A94"/>
    <w:rPr>
      <w:rFonts w:ascii="Arial" w:eastAsia="SimSun" w:hAnsi="Arial" w:cs="Arial"/>
      <w:sz w:val="18"/>
      <w:lang w:eastAsia="zh-CN"/>
    </w:rPr>
  </w:style>
  <w:style w:type="character" w:customStyle="1" w:styleId="BodyTextChar">
    <w:name w:val="Body Text Char"/>
    <w:basedOn w:val="DefaultParagraphFont"/>
    <w:link w:val="BodyText"/>
    <w:uiPriority w:val="1"/>
    <w:rsid w:val="00DD3A94"/>
    <w:rPr>
      <w:rFonts w:ascii="Arial" w:eastAsia="SimSun" w:hAnsi="Arial" w:cs="Arial"/>
      <w:sz w:val="22"/>
      <w:lang w:eastAsia="zh-CN"/>
    </w:rPr>
  </w:style>
  <w:style w:type="paragraph" w:customStyle="1" w:styleId="TableParagraph">
    <w:name w:val="Table Paragraph"/>
    <w:basedOn w:val="Normal"/>
    <w:uiPriority w:val="1"/>
    <w:qFormat/>
    <w:rsid w:val="00DD3A94"/>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DD3A94"/>
    <w:rPr>
      <w:color w:val="0000FF" w:themeColor="hyperlink"/>
      <w:u w:val="single"/>
    </w:rPr>
  </w:style>
  <w:style w:type="paragraph" w:styleId="ListParagraph">
    <w:name w:val="List Paragraph"/>
    <w:basedOn w:val="Normal"/>
    <w:uiPriority w:val="34"/>
    <w:qFormat/>
    <w:rsid w:val="00DD3A94"/>
    <w:pPr>
      <w:widowControl w:val="0"/>
      <w:autoSpaceDE w:val="0"/>
      <w:autoSpaceDN w:val="0"/>
      <w:ind w:left="935" w:hanging="361"/>
    </w:pPr>
    <w:rPr>
      <w:rFonts w:eastAsia="Arial"/>
      <w:szCs w:val="22"/>
      <w:lang w:val="fr-FR" w:eastAsia="en-US"/>
    </w:rPr>
  </w:style>
  <w:style w:type="character" w:styleId="FootnoteReference">
    <w:name w:val="footnote reference"/>
    <w:basedOn w:val="DefaultParagraphFont"/>
    <w:semiHidden/>
    <w:unhideWhenUsed/>
    <w:rsid w:val="00DD3A94"/>
    <w:rPr>
      <w:vertAlign w:val="superscript"/>
    </w:rPr>
  </w:style>
  <w:style w:type="character" w:customStyle="1" w:styleId="cf01">
    <w:name w:val="cf01"/>
    <w:basedOn w:val="DefaultParagraphFont"/>
    <w:rsid w:val="00DD3A94"/>
    <w:rPr>
      <w:rFonts w:ascii="Segoe UI" w:hAnsi="Segoe UI" w:cs="Segoe UI" w:hint="default"/>
      <w:sz w:val="18"/>
      <w:szCs w:val="18"/>
    </w:rPr>
  </w:style>
  <w:style w:type="character" w:styleId="FollowedHyperlink">
    <w:name w:val="FollowedHyperlink"/>
    <w:basedOn w:val="DefaultParagraphFont"/>
    <w:semiHidden/>
    <w:unhideWhenUsed/>
    <w:rsid w:val="000D7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acatalogue.wipo.int/projects/DA_10_05"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catalogue.wipo.int/projects/DA_10_02_01"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2</TotalTime>
  <Pages>9</Pages>
  <Words>2486</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CDIP/32/6</vt:lpstr>
    </vt:vector>
  </TitlesOfParts>
  <Company>WIPO</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CDIP/32/6</dc:title>
  <dc:creator>LE GUEN Haude</dc:creator>
  <cp:keywords>FOR OFFICIAL USE ONLY</cp:keywords>
  <cp:lastModifiedBy>PANAKAL Joseph Lazar</cp:lastModifiedBy>
  <cp:revision>3</cp:revision>
  <cp:lastPrinted>2024-02-29T16:17:00Z</cp:lastPrinted>
  <dcterms:created xsi:type="dcterms:W3CDTF">2024-02-29T16:16:00Z</dcterms:created>
  <dcterms:modified xsi:type="dcterms:W3CDTF">2024-02-29T16:18:00Z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