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0A68" w14:textId="2385C5A5" w:rsidR="008B2CC1" w:rsidRPr="00F043DE" w:rsidRDefault="003449B5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5E76AA6E" wp14:editId="10184A2A">
            <wp:extent cx="3249295" cy="1388853"/>
            <wp:effectExtent l="0" t="0" r="825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147" cy="1391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B0721" w14:textId="502FC577" w:rsidR="008B2CC1" w:rsidRPr="004806AD" w:rsidRDefault="00D4292F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GRATK</w:t>
      </w:r>
      <w:r w:rsidRPr="004806AD">
        <w:rPr>
          <w:rFonts w:ascii="Arial Black" w:hAnsi="Arial Black"/>
          <w:caps/>
          <w:sz w:val="15"/>
          <w:szCs w:val="15"/>
          <w:lang w:val="ru-RU"/>
        </w:rPr>
        <w:t>/</w:t>
      </w:r>
      <w:r w:rsidR="00F067C4">
        <w:rPr>
          <w:rFonts w:ascii="Arial Black" w:hAnsi="Arial Black"/>
          <w:caps/>
          <w:sz w:val="15"/>
          <w:szCs w:val="15"/>
        </w:rPr>
        <w:t>DC</w:t>
      </w:r>
      <w:r w:rsidRPr="004806AD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5A0150">
        <w:rPr>
          <w:rFonts w:ascii="Arial Black" w:hAnsi="Arial Black"/>
          <w:caps/>
          <w:sz w:val="15"/>
          <w:szCs w:val="15"/>
        </w:rPr>
        <w:t>INF</w:t>
      </w:r>
      <w:r w:rsidR="005A0150" w:rsidRPr="004806AD">
        <w:rPr>
          <w:rFonts w:ascii="Arial Black" w:hAnsi="Arial Black"/>
          <w:caps/>
          <w:sz w:val="15"/>
          <w:szCs w:val="15"/>
          <w:lang w:val="ru-RU"/>
        </w:rPr>
        <w:t>/4</w:t>
      </w:r>
    </w:p>
    <w:p w14:paraId="02CD648B" w14:textId="6CF212A3" w:rsidR="008B2CC1" w:rsidRPr="004806AD" w:rsidRDefault="003449B5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proofErr w:type="gramStart"/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4806A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5A0150" w:rsidRPr="004806AD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  <w:proofErr w:type="gramEnd"/>
    </w:p>
    <w:bookmarkEnd w:id="1"/>
    <w:p w14:paraId="1C96DD06" w14:textId="3BAED2DB" w:rsidR="008B2CC1" w:rsidRPr="003449B5" w:rsidRDefault="003449B5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proofErr w:type="gramStart"/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4806AD">
        <w:rPr>
          <w:rFonts w:ascii="Arial Black" w:hAnsi="Arial Black"/>
          <w:caps/>
          <w:sz w:val="15"/>
          <w:szCs w:val="15"/>
          <w:lang w:val="ru-RU"/>
        </w:rPr>
        <w:t>:</w:t>
      </w:r>
      <w:r w:rsidR="005A0150" w:rsidRPr="004806AD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4806AD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Date"/>
      <w:r w:rsidR="005A0150" w:rsidRPr="004806AD">
        <w:rPr>
          <w:rFonts w:ascii="Arial Black" w:hAnsi="Arial Black"/>
          <w:caps/>
          <w:sz w:val="15"/>
          <w:szCs w:val="15"/>
          <w:lang w:val="ru-RU"/>
        </w:rPr>
        <w:t>14</w:t>
      </w:r>
      <w:proofErr w:type="gramEnd"/>
      <w:r>
        <w:rPr>
          <w:rFonts w:ascii="Arial Black" w:hAnsi="Arial Black"/>
          <w:caps/>
          <w:sz w:val="15"/>
          <w:szCs w:val="15"/>
          <w:lang w:val="ru-RU"/>
        </w:rPr>
        <w:t xml:space="preserve"> декабря</w:t>
      </w:r>
      <w:r w:rsidR="005A0150" w:rsidRPr="004806AD">
        <w:rPr>
          <w:rFonts w:ascii="Arial Black" w:hAnsi="Arial Black"/>
          <w:caps/>
          <w:sz w:val="15"/>
          <w:szCs w:val="15"/>
          <w:lang w:val="ru-RU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62A9EF52" w14:textId="4DDF4242" w:rsidR="008B2CC1" w:rsidRPr="004806AD" w:rsidRDefault="00A91F47" w:rsidP="004A5A63">
      <w:pPr>
        <w:pStyle w:val="Heading1"/>
        <w:spacing w:before="0" w:after="600"/>
        <w:rPr>
          <w:sz w:val="28"/>
          <w:szCs w:val="28"/>
          <w:lang w:val="ru-RU"/>
        </w:rPr>
      </w:pPr>
      <w:r w:rsidRPr="00A91F47">
        <w:rPr>
          <w:caps w:val="0"/>
          <w:sz w:val="28"/>
          <w:szCs w:val="28"/>
          <w:lang w:val="ru-RU"/>
        </w:rPr>
        <w:t>Дипломатическая конференция по заключению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2C4EF9DA" w14:textId="136B637A" w:rsidR="00D4292F" w:rsidRPr="00A91F47" w:rsidRDefault="00A91F47" w:rsidP="00D4292F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4292F" w:rsidRPr="004806AD">
        <w:rPr>
          <w:b/>
          <w:sz w:val="24"/>
          <w:szCs w:val="24"/>
          <w:lang w:val="ru-RU"/>
        </w:rPr>
        <w:t xml:space="preserve">, </w:t>
      </w:r>
      <w:r w:rsidR="00F067C4" w:rsidRPr="004806AD">
        <w:rPr>
          <w:b/>
          <w:sz w:val="24"/>
          <w:szCs w:val="24"/>
          <w:lang w:val="ru-RU"/>
        </w:rPr>
        <w:t>13</w:t>
      </w:r>
      <w:r>
        <w:rPr>
          <w:b/>
          <w:sz w:val="24"/>
          <w:szCs w:val="24"/>
          <w:lang w:val="ru-RU"/>
        </w:rPr>
        <w:t>–</w:t>
      </w:r>
      <w:r w:rsidR="00F067C4" w:rsidRPr="004806AD">
        <w:rPr>
          <w:b/>
          <w:sz w:val="24"/>
          <w:szCs w:val="24"/>
          <w:lang w:val="ru-RU"/>
        </w:rPr>
        <w:t>24</w:t>
      </w:r>
      <w:r>
        <w:rPr>
          <w:b/>
          <w:sz w:val="24"/>
          <w:szCs w:val="24"/>
          <w:lang w:val="ru-RU"/>
        </w:rPr>
        <w:t xml:space="preserve"> мая</w:t>
      </w:r>
      <w:r w:rsidR="00D4292F" w:rsidRPr="004806AD">
        <w:rPr>
          <w:b/>
          <w:sz w:val="24"/>
          <w:szCs w:val="24"/>
          <w:lang w:val="ru-RU"/>
        </w:rPr>
        <w:t xml:space="preserve"> 202</w:t>
      </w:r>
      <w:r w:rsidR="00F067C4" w:rsidRPr="004806AD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года</w:t>
      </w:r>
    </w:p>
    <w:p w14:paraId="6CD3EA99" w14:textId="26BDAF76" w:rsidR="008B2CC1" w:rsidRPr="004806AD" w:rsidRDefault="00D92B36" w:rsidP="004117AB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>
        <w:rPr>
          <w:sz w:val="23"/>
          <w:szCs w:val="23"/>
          <w:lang w:val="ru-RU"/>
        </w:rPr>
        <w:t>ПОЯСНЕНИЯ К ПРОЕКТУ ТЕКСТА МЕЖДУНАРОДНО</w:t>
      </w:r>
      <w:r w:rsidR="004806AD">
        <w:rPr>
          <w:sz w:val="23"/>
          <w:szCs w:val="23"/>
          <w:lang w:val="ru-RU"/>
        </w:rPr>
        <w:t>-</w:t>
      </w:r>
      <w:r>
        <w:rPr>
          <w:sz w:val="23"/>
          <w:szCs w:val="23"/>
          <w:lang w:val="ru-RU"/>
        </w:rPr>
        <w:t>ПРАВОВОГО ДОКУМЕНТА, КАСАЮЩЕГОСЯ ИНТЕЛЛЕКТУАЛЬНОЙ СОБСТВЕННОСТИ</w:t>
      </w:r>
      <w:r w:rsidRPr="00D92B36">
        <w:rPr>
          <w:sz w:val="23"/>
          <w:szCs w:val="23"/>
          <w:lang w:val="ru-RU"/>
        </w:rPr>
        <w:t>, ГЕНЕТИЧЕСКИХ РЕСУРСОВ И ТРАДИЦИОННЫХ ЗНАНИЙ, СВЯЗАННЫХ С ГЕНЕТИЧЕСКИМИ РЕСУРСАМИ</w:t>
      </w:r>
    </w:p>
    <w:p w14:paraId="18DBD796" w14:textId="2A7D0B14" w:rsidR="002928D3" w:rsidRPr="004806AD" w:rsidRDefault="00BF679E" w:rsidP="004117AB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iCs/>
          <w:szCs w:val="22"/>
          <w:lang w:val="ru-RU"/>
        </w:rPr>
        <w:t>Документ подготовлен Секретариатом</w:t>
      </w:r>
    </w:p>
    <w:p w14:paraId="30D56005" w14:textId="02B9B3C3" w:rsidR="004117AB" w:rsidRPr="004806AD" w:rsidRDefault="004117AB" w:rsidP="004117AB">
      <w:pPr>
        <w:spacing w:after="220"/>
        <w:rPr>
          <w:lang w:val="ru-RU"/>
        </w:rPr>
      </w:pPr>
      <w:r w:rsidRPr="00430D4C">
        <w:rPr>
          <w:lang w:val="ru-RU"/>
        </w:rPr>
        <w:fldChar w:fldCharType="begin"/>
      </w:r>
      <w:r w:rsidRPr="00430D4C">
        <w:rPr>
          <w:lang w:val="ru-RU"/>
        </w:rPr>
        <w:instrText xml:space="preserve"> AUTONUM  </w:instrText>
      </w:r>
      <w:r w:rsidRPr="00430D4C">
        <w:rPr>
          <w:lang w:val="ru-RU"/>
        </w:rPr>
        <w:fldChar w:fldCharType="end"/>
      </w:r>
      <w:r w:rsidRPr="00430D4C">
        <w:rPr>
          <w:lang w:val="ru-RU"/>
        </w:rPr>
        <w:tab/>
      </w:r>
      <w:r w:rsidR="00430D4C" w:rsidRPr="00430D4C">
        <w:rPr>
          <w:lang w:val="ru-RU"/>
        </w:rPr>
        <w:t>На специальной сессии Межправительственного комитета по интеллектуальной собственности, генетическ</w:t>
      </w:r>
      <w:r w:rsidR="00430D4C" w:rsidRPr="00E52476">
        <w:rPr>
          <w:lang w:val="ru-RU"/>
        </w:rPr>
        <w:t xml:space="preserve">им ресурсам, традиционным знаниям и фольклору </w:t>
      </w:r>
      <w:r w:rsidRPr="00E52476">
        <w:rPr>
          <w:lang w:val="ru-RU"/>
        </w:rPr>
        <w:t>(</w:t>
      </w:r>
      <w:r w:rsidR="00430D4C" w:rsidRPr="00E52476">
        <w:rPr>
          <w:lang w:val="ru-RU"/>
        </w:rPr>
        <w:t>«МКГР»</w:t>
      </w:r>
      <w:r w:rsidRPr="00E52476">
        <w:rPr>
          <w:lang w:val="ru-RU"/>
        </w:rPr>
        <w:t xml:space="preserve">), </w:t>
      </w:r>
      <w:r w:rsidR="00430D4C" w:rsidRPr="00E52476">
        <w:rPr>
          <w:lang w:val="ru-RU"/>
        </w:rPr>
        <w:t xml:space="preserve">состоявшейся </w:t>
      </w:r>
      <w:r w:rsidRPr="00E52476">
        <w:rPr>
          <w:lang w:val="ru-RU"/>
        </w:rPr>
        <w:t>4</w:t>
      </w:r>
      <w:r w:rsidR="00430D4C" w:rsidRPr="00E52476">
        <w:rPr>
          <w:lang w:val="ru-RU"/>
        </w:rPr>
        <w:t>–</w:t>
      </w:r>
      <w:r w:rsidRPr="00E52476">
        <w:rPr>
          <w:lang w:val="ru-RU"/>
        </w:rPr>
        <w:t>8</w:t>
      </w:r>
      <w:r w:rsidR="00430D4C" w:rsidRPr="00E52476">
        <w:rPr>
          <w:lang w:val="ru-RU"/>
        </w:rPr>
        <w:t xml:space="preserve"> сентября</w:t>
      </w:r>
      <w:r w:rsidRPr="00E52476">
        <w:rPr>
          <w:lang w:val="ru-RU"/>
        </w:rPr>
        <w:t xml:space="preserve"> 2023</w:t>
      </w:r>
      <w:r w:rsidR="00430D4C" w:rsidRPr="00E52476">
        <w:rPr>
          <w:lang w:val="ru-RU"/>
        </w:rPr>
        <w:t xml:space="preserve"> года</w:t>
      </w:r>
      <w:r w:rsidRPr="00E52476">
        <w:rPr>
          <w:lang w:val="ru-RU"/>
        </w:rPr>
        <w:t>,</w:t>
      </w:r>
      <w:r w:rsidR="00430D4C" w:rsidRPr="00E52476">
        <w:rPr>
          <w:lang w:val="ru-RU"/>
        </w:rPr>
        <w:t xml:space="preserve"> было решено, что </w:t>
      </w:r>
      <w:r w:rsidR="00E52476" w:rsidRPr="00E52476">
        <w:rPr>
          <w:lang w:val="ru-RU"/>
        </w:rPr>
        <w:t>пояснения к каждой статье, содержащиеся в документе</w:t>
      </w:r>
      <w:r w:rsidRPr="00E52476">
        <w:rPr>
          <w:lang w:val="ru-RU"/>
        </w:rPr>
        <w:t xml:space="preserve"> WIPO/GRTKF/IC/SS/GE/23/2</w:t>
      </w:r>
      <w:r w:rsidR="00E52476" w:rsidRPr="00E52476">
        <w:rPr>
          <w:lang w:val="ru-RU"/>
        </w:rPr>
        <w:t>, будут опубликованы отдельно в качестве информационного документа для Дипломатическ</w:t>
      </w:r>
      <w:r w:rsidR="00E52476" w:rsidRPr="00D67C6A">
        <w:rPr>
          <w:lang w:val="ru-RU"/>
        </w:rPr>
        <w:t xml:space="preserve">ой конференции для заключения </w:t>
      </w:r>
      <w:r w:rsidR="004E6B1F">
        <w:rPr>
          <w:lang w:val="ru-RU"/>
        </w:rPr>
        <w:t>м</w:t>
      </w:r>
      <w:r w:rsidR="00E52476" w:rsidRPr="00D67C6A">
        <w:rPr>
          <w:lang w:val="ru-RU"/>
        </w:rPr>
        <w:t>еждународно</w:t>
      </w:r>
      <w:r w:rsidR="004806AD">
        <w:rPr>
          <w:lang w:val="ru-RU"/>
        </w:rPr>
        <w:t>-</w:t>
      </w:r>
      <w:r w:rsidR="00E52476" w:rsidRPr="00D67C6A">
        <w:rPr>
          <w:lang w:val="ru-RU"/>
        </w:rPr>
        <w:t>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  <w:r w:rsidRPr="00D67C6A">
        <w:rPr>
          <w:lang w:val="ru-RU"/>
        </w:rPr>
        <w:t xml:space="preserve">.  </w:t>
      </w:r>
      <w:r w:rsidR="00D67C6A" w:rsidRPr="00D67C6A">
        <w:rPr>
          <w:lang w:val="ru-RU"/>
        </w:rPr>
        <w:t>Эти пояснения были подготовлены г-ном Иеном Госсом в апреле 2019 года, когда он являлся Председателем МКГР</w:t>
      </w:r>
      <w:r w:rsidRPr="00D67C6A">
        <w:rPr>
          <w:lang w:val="ru-RU"/>
        </w:rPr>
        <w:t>.</w:t>
      </w:r>
    </w:p>
    <w:p w14:paraId="04D17B88" w14:textId="0EE1A4FF" w:rsidR="004117AB" w:rsidRPr="004806AD" w:rsidRDefault="004117AB" w:rsidP="004117AB">
      <w:pPr>
        <w:spacing w:after="220"/>
        <w:rPr>
          <w:lang w:val="ru-RU"/>
        </w:rPr>
      </w:pPr>
      <w:r>
        <w:fldChar w:fldCharType="begin"/>
      </w:r>
      <w:r w:rsidRPr="004806AD">
        <w:rPr>
          <w:lang w:val="ru-RU"/>
        </w:rPr>
        <w:instrText xml:space="preserve"> </w:instrText>
      </w:r>
      <w:r>
        <w:instrText>AUTONUM</w:instrText>
      </w:r>
      <w:r w:rsidRPr="004806AD">
        <w:rPr>
          <w:lang w:val="ru-RU"/>
        </w:rPr>
        <w:instrText xml:space="preserve">  </w:instrText>
      </w:r>
      <w:r>
        <w:fldChar w:fldCharType="end"/>
      </w:r>
      <w:r w:rsidRPr="004806AD">
        <w:rPr>
          <w:lang w:val="ru-RU"/>
        </w:rPr>
        <w:tab/>
      </w:r>
      <w:r w:rsidR="00B25EC8">
        <w:rPr>
          <w:lang w:val="ru-RU"/>
        </w:rPr>
        <w:t>В соответствии с этим решением в приложении к настоящему документу представлены пояснения к каждой статье</w:t>
      </w:r>
      <w:r w:rsidRPr="004806AD">
        <w:rPr>
          <w:lang w:val="ru-RU"/>
        </w:rPr>
        <w:t>.</w:t>
      </w:r>
    </w:p>
    <w:p w14:paraId="44EA4D77" w14:textId="160E4407" w:rsidR="002326AB" w:rsidRPr="004806AD" w:rsidRDefault="004117AB" w:rsidP="004117AB">
      <w:pPr>
        <w:spacing w:after="220"/>
        <w:ind w:left="5533"/>
        <w:rPr>
          <w:lang w:val="ru-RU"/>
        </w:rPr>
      </w:pPr>
      <w:r w:rsidRPr="004806AD">
        <w:rPr>
          <w:lang w:val="ru-RU"/>
        </w:rPr>
        <w:t>[</w:t>
      </w:r>
      <w:r w:rsidR="00926691">
        <w:rPr>
          <w:lang w:val="ru-RU"/>
        </w:rPr>
        <w:t>Приложение следует</w:t>
      </w:r>
      <w:r w:rsidRPr="004806AD">
        <w:rPr>
          <w:lang w:val="ru-RU"/>
        </w:rPr>
        <w:t>]</w:t>
      </w:r>
    </w:p>
    <w:p w14:paraId="1E906FBE" w14:textId="77777777" w:rsidR="004117AB" w:rsidRPr="004806AD" w:rsidRDefault="004117AB">
      <w:pPr>
        <w:rPr>
          <w:lang w:val="ru-RU"/>
        </w:rPr>
        <w:sectPr w:rsidR="004117AB" w:rsidRPr="004806AD" w:rsidSect="00605827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p w14:paraId="2453B3D0" w14:textId="63DF2039" w:rsidR="004117AB" w:rsidRPr="004117AB" w:rsidRDefault="00B41F50" w:rsidP="004117AB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val="ru-RU"/>
        </w:rPr>
        <w:lastRenderedPageBreak/>
        <w:t>Пояснения к статье </w:t>
      </w:r>
      <w:r w:rsidR="004117AB" w:rsidRPr="004117AB">
        <w:rPr>
          <w:sz w:val="22"/>
          <w:szCs w:val="22"/>
          <w:u w:val="single"/>
        </w:rPr>
        <w:t>1</w:t>
      </w:r>
    </w:p>
    <w:p w14:paraId="747C1795" w14:textId="77777777" w:rsidR="004117AB" w:rsidRDefault="004117AB" w:rsidP="004117AB">
      <w:pPr>
        <w:pStyle w:val="Default"/>
        <w:rPr>
          <w:sz w:val="22"/>
          <w:szCs w:val="22"/>
        </w:rPr>
      </w:pPr>
    </w:p>
    <w:p w14:paraId="64AC9423" w14:textId="355C32EB" w:rsidR="004117AB" w:rsidRPr="004806AD" w:rsidRDefault="002F3000" w:rsidP="004117AB">
      <w:pPr>
        <w:rPr>
          <w:lang w:val="ru-RU"/>
        </w:rPr>
      </w:pPr>
      <w:r w:rsidRPr="002F3000">
        <w:rPr>
          <w:szCs w:val="22"/>
          <w:lang w:val="ru-RU"/>
        </w:rPr>
        <w:t>Цели сформулированы кратко и лаконично.  Конкретные меры по их достижению изложены в последующих положениях документа.  Кроме того, в документе нет положений, которые бы уже рассматривались в других международных соглашениях или не имели отношения к патентной системе.  Например, в нем не упоминаются вопросы, связанные с доступом и совместным пользованием выгодами или незаконным присвоением, поскольку эти темы уже затрагиваются в других международных документах, в частности Конвенции о биологическом разнообразии (КБР), 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(Нагойский протокол), Международном договоре о генетических ресурсах растений для производства продовольствия и ведения сельского хозяйства (МДГРПСХ) Продовольственной и сельскохозяйственной организации Объединенных Наций и документе Всемирной организации здравоохранения 2011 г. «Механизм обеспечения готовности к пандемическому гриппу».  При этом важно отметить, что, по моему твердому убеждению, бóльшая эффективность, транспарентность и качество патентной системы в конечном счете будут способствовать совместному пользованию выгодами и помогут избежать незаконного присвоения.  Термин «эффективность» со всей определенностью дает понять, что применение на национальном уровне требования о раскрытии должно быть эффективным, практичным, легко реализуемым и не чрезмерно обременительным в плане операционных затрат.</w:t>
      </w:r>
    </w:p>
    <w:p w14:paraId="032B2CB1" w14:textId="57A1B074" w:rsidR="004117AB" w:rsidRPr="004806AD" w:rsidRDefault="004117AB" w:rsidP="004117AB">
      <w:pPr>
        <w:spacing w:after="220"/>
        <w:rPr>
          <w:lang w:val="ru-RU"/>
        </w:rPr>
      </w:pPr>
    </w:p>
    <w:p w14:paraId="70FB3FC2" w14:textId="71C9EBB6" w:rsidR="004117AB" w:rsidRPr="004806AD" w:rsidRDefault="004117AB">
      <w:pPr>
        <w:rPr>
          <w:lang w:val="ru-RU"/>
        </w:rPr>
      </w:pPr>
      <w:r w:rsidRPr="004806AD">
        <w:rPr>
          <w:lang w:val="ru-RU"/>
        </w:rPr>
        <w:br w:type="page"/>
      </w:r>
    </w:p>
    <w:p w14:paraId="47266ED5" w14:textId="4E998D1D" w:rsidR="004117AB" w:rsidRPr="009F285E" w:rsidRDefault="00F62284" w:rsidP="004117AB">
      <w:pPr>
        <w:rPr>
          <w:b/>
          <w:i/>
          <w:szCs w:val="22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4117AB" w:rsidRPr="009F285E">
        <w:rPr>
          <w:szCs w:val="22"/>
          <w:u w:val="single"/>
        </w:rPr>
        <w:t>2</w:t>
      </w:r>
    </w:p>
    <w:p w14:paraId="2876C629" w14:textId="77777777" w:rsidR="004117AB" w:rsidRPr="009F285E" w:rsidRDefault="004117AB" w:rsidP="00F62284">
      <w:pPr>
        <w:rPr>
          <w:szCs w:val="22"/>
        </w:rPr>
      </w:pPr>
    </w:p>
    <w:p w14:paraId="6F9CD222" w14:textId="37A84C00" w:rsidR="004117AB" w:rsidRPr="004806AD" w:rsidRDefault="00EC0E48" w:rsidP="004117AB">
      <w:pPr>
        <w:pStyle w:val="ListParagraph"/>
        <w:keepLines/>
        <w:numPr>
          <w:ilvl w:val="0"/>
          <w:numId w:val="7"/>
        </w:numPr>
        <w:ind w:left="0" w:firstLine="0"/>
        <w:contextualSpacing w:val="0"/>
        <w:rPr>
          <w:lang w:val="ru-RU"/>
        </w:rPr>
      </w:pPr>
      <w:r w:rsidRPr="00526C47">
        <w:rPr>
          <w:lang w:val="ru-RU"/>
        </w:rPr>
        <w:t xml:space="preserve">Определения </w:t>
      </w:r>
      <w:r w:rsidRPr="00526C47">
        <w:rPr>
          <w:i/>
          <w:lang w:val="ru-RU"/>
        </w:rPr>
        <w:t>«генетических ресурсов», «генетического материала», «страны происхождения»</w:t>
      </w:r>
      <w:r w:rsidRPr="00526C47">
        <w:rPr>
          <w:lang w:val="ru-RU"/>
        </w:rPr>
        <w:t xml:space="preserve"> и </w:t>
      </w:r>
      <w:r w:rsidRPr="00526C47">
        <w:rPr>
          <w:i/>
          <w:lang w:val="ru-RU"/>
        </w:rPr>
        <w:t xml:space="preserve">«условий </w:t>
      </w:r>
      <w:r w:rsidRPr="00526C47">
        <w:rPr>
          <w:i/>
          <w:lang w:val="en-AU"/>
        </w:rPr>
        <w:t>in</w:t>
      </w:r>
      <w:r w:rsidRPr="00526C47">
        <w:rPr>
          <w:i/>
          <w:lang w:val="ru-RU"/>
        </w:rPr>
        <w:t>-</w:t>
      </w:r>
      <w:r w:rsidRPr="00526C47">
        <w:rPr>
          <w:i/>
          <w:lang w:val="en-AU"/>
        </w:rPr>
        <w:t>situ</w:t>
      </w:r>
      <w:r w:rsidRPr="00526C47">
        <w:rPr>
          <w:i/>
          <w:lang w:val="ru-RU"/>
        </w:rPr>
        <w:t>»</w:t>
      </w:r>
      <w:r w:rsidRPr="00526C47">
        <w:rPr>
          <w:lang w:val="ru-RU"/>
        </w:rPr>
        <w:t>, содержащиеся в списке терминов, заимствованы непосредственно из действующих многосторонних соглашений, касающихся ГР, в частности КБР</w:t>
      </w:r>
      <w:r w:rsidR="004117AB" w:rsidRPr="004806AD">
        <w:rPr>
          <w:lang w:val="ru-RU"/>
        </w:rPr>
        <w:t>.</w:t>
      </w:r>
    </w:p>
    <w:p w14:paraId="6E3647E0" w14:textId="77777777" w:rsidR="004117AB" w:rsidRPr="004806AD" w:rsidRDefault="004117AB" w:rsidP="004117AB">
      <w:pPr>
        <w:pStyle w:val="ListParagraph"/>
        <w:keepLines/>
        <w:ind w:left="0"/>
        <w:rPr>
          <w:lang w:val="ru-RU"/>
        </w:rPr>
      </w:pPr>
    </w:p>
    <w:p w14:paraId="33706160" w14:textId="43B083D4" w:rsidR="004117AB" w:rsidRPr="004806AD" w:rsidRDefault="00EC0E48" w:rsidP="004117AB">
      <w:pPr>
        <w:pStyle w:val="ListParagraph"/>
        <w:keepLines/>
        <w:numPr>
          <w:ilvl w:val="0"/>
          <w:numId w:val="7"/>
        </w:numPr>
        <w:ind w:left="0" w:firstLine="0"/>
        <w:contextualSpacing w:val="0"/>
        <w:rPr>
          <w:lang w:val="ru-RU"/>
        </w:rPr>
      </w:pPr>
      <w:r w:rsidRPr="00526C47">
        <w:rPr>
          <w:lang w:val="ru-RU"/>
        </w:rPr>
        <w:t>Что касается терминов «</w:t>
      </w:r>
      <w:r w:rsidRPr="00526C47">
        <w:rPr>
          <w:i/>
          <w:lang w:val="ru-RU"/>
        </w:rPr>
        <w:t>в существенной степени</w:t>
      </w:r>
      <w:r w:rsidRPr="007A483F">
        <w:rPr>
          <w:i/>
          <w:lang w:val="ru-RU"/>
        </w:rPr>
        <w:t>/</w:t>
      </w:r>
      <w:r w:rsidRPr="00526C47">
        <w:rPr>
          <w:i/>
          <w:lang w:val="ru-RU"/>
        </w:rPr>
        <w:t xml:space="preserve">непосредственно основанный на», «источник генетических ресурсов» </w:t>
      </w:r>
      <w:r w:rsidRPr="00526C47">
        <w:rPr>
          <w:lang w:val="ru-RU"/>
        </w:rPr>
        <w:t>и</w:t>
      </w:r>
      <w:r w:rsidRPr="00526C47">
        <w:rPr>
          <w:i/>
          <w:lang w:val="ru-RU"/>
        </w:rPr>
        <w:t xml:space="preserve"> «источник традиционных знаний, связанных с генетическими ресурсами»</w:t>
      </w:r>
      <w:r w:rsidRPr="00526C47">
        <w:rPr>
          <w:lang w:val="ru-RU"/>
        </w:rPr>
        <w:t>, то они ранее не были определены в рамках многосторонней работы</w:t>
      </w:r>
      <w:r w:rsidRPr="007A483F">
        <w:rPr>
          <w:i/>
          <w:lang w:val="ru-RU"/>
        </w:rPr>
        <w:t>.</w:t>
      </w:r>
    </w:p>
    <w:p w14:paraId="7954633B" w14:textId="77777777" w:rsidR="004117AB" w:rsidRPr="004806AD" w:rsidRDefault="004117AB" w:rsidP="004117AB">
      <w:pPr>
        <w:pStyle w:val="ListParagraph"/>
        <w:keepLines/>
        <w:ind w:left="0"/>
        <w:rPr>
          <w:lang w:val="ru-RU"/>
        </w:rPr>
      </w:pPr>
    </w:p>
    <w:p w14:paraId="356FD9F3" w14:textId="4C0F511A" w:rsidR="004117AB" w:rsidRPr="004806AD" w:rsidRDefault="00EB20F8" w:rsidP="004117AB">
      <w:pPr>
        <w:pStyle w:val="ListParagraph"/>
        <w:keepLines/>
        <w:numPr>
          <w:ilvl w:val="0"/>
          <w:numId w:val="7"/>
        </w:numPr>
        <w:ind w:left="0" w:firstLine="0"/>
        <w:contextualSpacing w:val="0"/>
        <w:rPr>
          <w:lang w:val="ru-RU"/>
        </w:rPr>
      </w:pPr>
      <w:r w:rsidRPr="00526C47">
        <w:rPr>
          <w:lang w:val="ru-RU"/>
        </w:rPr>
        <w:t xml:space="preserve">Термин </w:t>
      </w:r>
      <w:r w:rsidRPr="00526C47">
        <w:rPr>
          <w:i/>
          <w:lang w:val="ru-RU"/>
        </w:rPr>
        <w:t>«в существенной степени</w:t>
      </w:r>
      <w:r w:rsidRPr="007A483F">
        <w:rPr>
          <w:i/>
          <w:lang w:val="ru-RU"/>
        </w:rPr>
        <w:t>/</w:t>
      </w:r>
      <w:r w:rsidRPr="00526C47">
        <w:rPr>
          <w:i/>
          <w:lang w:val="ru-RU"/>
        </w:rPr>
        <w:t>непосредственно основанный на»</w:t>
      </w:r>
      <w:r w:rsidRPr="007A483F">
        <w:rPr>
          <w:lang w:val="ru-RU"/>
        </w:rPr>
        <w:t xml:space="preserve"> </w:t>
      </w:r>
      <w:r w:rsidRPr="00526C47">
        <w:rPr>
          <w:lang w:val="ru-RU"/>
        </w:rPr>
        <w:t>конкретизирует связь заявленного изобретения с ГР и связанными с ними ТЗ, которая приводит в действие обязательство о раскрытии (в рамках дискуссии МКГР ее принято называть триггером</w:t>
      </w:r>
      <w:r w:rsidRPr="007A483F">
        <w:rPr>
          <w:lang w:val="ru-RU"/>
        </w:rPr>
        <w:t>).</w:t>
      </w:r>
    </w:p>
    <w:p w14:paraId="1F092183" w14:textId="77777777" w:rsidR="004117AB" w:rsidRPr="004806AD" w:rsidRDefault="004117AB" w:rsidP="004117AB">
      <w:pPr>
        <w:pStyle w:val="ListParagraph"/>
        <w:keepLines/>
        <w:ind w:left="0"/>
        <w:rPr>
          <w:lang w:val="ru-RU"/>
        </w:rPr>
      </w:pPr>
    </w:p>
    <w:p w14:paraId="3C575716" w14:textId="1D5C6DCC" w:rsidR="004117AB" w:rsidRPr="004806AD" w:rsidRDefault="006D17B6" w:rsidP="004117AB">
      <w:pPr>
        <w:pStyle w:val="ListParagraph"/>
        <w:keepLines/>
        <w:numPr>
          <w:ilvl w:val="0"/>
          <w:numId w:val="7"/>
        </w:numPr>
        <w:ind w:left="0" w:firstLine="0"/>
        <w:contextualSpacing w:val="0"/>
        <w:rPr>
          <w:lang w:val="ru-RU"/>
        </w:rPr>
      </w:pPr>
      <w:r w:rsidRPr="00AB5357">
        <w:rPr>
          <w:lang w:val="ru-RU"/>
        </w:rPr>
        <w:t xml:space="preserve">В настоящее время на национальном и региональном уровнях существует большое различие между формулировками триггеров, например: </w:t>
      </w:r>
      <w:r w:rsidRPr="00AB5357">
        <w:rPr>
          <w:i/>
          <w:lang w:val="ru-RU"/>
        </w:rPr>
        <w:t>непосредственно основанный на, основанный на, основанный на или являющийся производным от,</w:t>
      </w:r>
      <w:r w:rsidRPr="007A483F">
        <w:rPr>
          <w:i/>
          <w:lang w:val="ru-RU"/>
        </w:rPr>
        <w:t xml:space="preserve"> </w:t>
      </w:r>
      <w:r w:rsidRPr="00AB5357">
        <w:rPr>
          <w:i/>
          <w:lang w:val="ru-RU"/>
        </w:rPr>
        <w:t xml:space="preserve">на основе, используется в изобретении, изобретение касается, связано с или использует, </w:t>
      </w:r>
      <w:r w:rsidRPr="006D17B6">
        <w:rPr>
          <w:b/>
          <w:bCs/>
          <w:i/>
          <w:lang w:val="ru-RU"/>
        </w:rPr>
        <w:t>изобретение, создаваемое посредством использования генетических ресурсов</w:t>
      </w:r>
      <w:r w:rsidRPr="007A483F">
        <w:rPr>
          <w:bCs/>
          <w:i/>
          <w:lang w:val="ru-RU"/>
        </w:rPr>
        <w:t>.</w:t>
      </w:r>
      <w:r w:rsidRPr="007A483F">
        <w:rPr>
          <w:bCs/>
          <w:lang w:val="ru-RU"/>
        </w:rPr>
        <w:t xml:space="preserve"> </w:t>
      </w:r>
      <w:r w:rsidRPr="00AB5357">
        <w:rPr>
          <w:bCs/>
          <w:lang w:val="ru-RU"/>
        </w:rPr>
        <w:t xml:space="preserve"> Кроме того, значение этих терминов весьма неоднозначно.  Для того чтобы добиться максимальной правовой определенности, на рассмотрение государств-членов предлагается два расширительных обстоятельства (</w:t>
      </w:r>
      <w:r w:rsidRPr="00AB5357">
        <w:rPr>
          <w:i/>
          <w:lang w:val="ru-RU"/>
        </w:rPr>
        <w:t>в существенной степени</w:t>
      </w:r>
      <w:r w:rsidRPr="007A483F">
        <w:rPr>
          <w:i/>
          <w:lang w:val="ru-RU"/>
        </w:rPr>
        <w:t>/</w:t>
      </w:r>
      <w:r w:rsidRPr="00AB5357">
        <w:rPr>
          <w:i/>
          <w:lang w:val="ru-RU"/>
        </w:rPr>
        <w:t>непосредственно</w:t>
      </w:r>
      <w:r w:rsidRPr="007A483F">
        <w:rPr>
          <w:lang w:val="ru-RU"/>
        </w:rPr>
        <w:t xml:space="preserve">) </w:t>
      </w:r>
      <w:r w:rsidRPr="00AB5357">
        <w:rPr>
          <w:lang w:val="ru-RU"/>
        </w:rPr>
        <w:t xml:space="preserve">помимо собственно концепции триггера </w:t>
      </w:r>
      <w:r w:rsidRPr="00AB5357">
        <w:rPr>
          <w:i/>
          <w:lang w:val="ru-RU"/>
        </w:rPr>
        <w:t>«основанный на»</w:t>
      </w:r>
      <w:r w:rsidRPr="00AB5357">
        <w:rPr>
          <w:lang w:val="ru-RU"/>
        </w:rPr>
        <w:t xml:space="preserve">, что отражает обсуждения, состоявшиеся на тридцать шестой сессии МКГР в июне 2018 г. Альтернативный термин </w:t>
      </w:r>
      <w:r w:rsidRPr="00AB5357">
        <w:rPr>
          <w:i/>
          <w:lang w:val="ru-RU"/>
        </w:rPr>
        <w:t>«в существенной степени»</w:t>
      </w:r>
      <w:r w:rsidRPr="00AB5357">
        <w:rPr>
          <w:lang w:val="ru-RU"/>
        </w:rPr>
        <w:t xml:space="preserve"> включен потому, что формулировка </w:t>
      </w:r>
      <w:r w:rsidRPr="00AB5357">
        <w:rPr>
          <w:i/>
          <w:lang w:val="ru-RU"/>
        </w:rPr>
        <w:t>«непосредственно»</w:t>
      </w:r>
      <w:r w:rsidRPr="00AB5357">
        <w:rPr>
          <w:lang w:val="ru-RU"/>
        </w:rPr>
        <w:t xml:space="preserve"> вызывает противоречия в рамках дискуссии МКГР.  Однако хочется надеяться, что включение определения этого термина в список терминов говорит о том, что данное опасение учтено.  Альтернативой включению в формулировку триггера расширительных обстоятельств </w:t>
      </w:r>
      <w:r w:rsidRPr="007A483F">
        <w:rPr>
          <w:lang w:val="ru-RU"/>
        </w:rPr>
        <w:t>(</w:t>
      </w:r>
      <w:r w:rsidRPr="00AB5357">
        <w:rPr>
          <w:i/>
          <w:lang w:val="ru-RU"/>
        </w:rPr>
        <w:t>«в существенной степени</w:t>
      </w:r>
      <w:r w:rsidRPr="007A483F">
        <w:rPr>
          <w:i/>
          <w:lang w:val="ru-RU"/>
        </w:rPr>
        <w:t>/</w:t>
      </w:r>
      <w:r w:rsidRPr="00AB5357">
        <w:rPr>
          <w:i/>
          <w:lang w:val="ru-RU"/>
        </w:rPr>
        <w:t>непосредственно»</w:t>
      </w:r>
      <w:r w:rsidRPr="007A483F">
        <w:rPr>
          <w:lang w:val="ru-RU"/>
        </w:rPr>
        <w:t xml:space="preserve">) </w:t>
      </w:r>
      <w:r w:rsidRPr="00AB5357">
        <w:rPr>
          <w:lang w:val="ru-RU"/>
        </w:rPr>
        <w:t xml:space="preserve">является сохранение одной лишь концепции </w:t>
      </w:r>
      <w:r w:rsidRPr="00AB5357">
        <w:rPr>
          <w:i/>
          <w:lang w:val="ru-RU"/>
        </w:rPr>
        <w:t>«основанный на»</w:t>
      </w:r>
      <w:r w:rsidRPr="007A483F">
        <w:rPr>
          <w:lang w:val="ru-RU"/>
        </w:rPr>
        <w:t xml:space="preserve"> </w:t>
      </w:r>
      <w:r w:rsidRPr="00AB5357">
        <w:rPr>
          <w:lang w:val="ru-RU"/>
        </w:rPr>
        <w:t>и ее определение, призванное уточнить объем соответствующего триггера</w:t>
      </w:r>
      <w:r w:rsidRPr="007A483F">
        <w:rPr>
          <w:lang w:val="ru-RU"/>
        </w:rPr>
        <w:t>.</w:t>
      </w:r>
    </w:p>
    <w:p w14:paraId="7DB4BF2E" w14:textId="77777777" w:rsidR="004117AB" w:rsidRPr="004806AD" w:rsidRDefault="004117AB" w:rsidP="004117AB">
      <w:pPr>
        <w:pStyle w:val="ListParagraph"/>
        <w:keepLines/>
        <w:ind w:left="0"/>
        <w:rPr>
          <w:lang w:val="ru-RU"/>
        </w:rPr>
      </w:pPr>
    </w:p>
    <w:p w14:paraId="1A173FE6" w14:textId="4CA3DE74" w:rsidR="004117AB" w:rsidRPr="004806AD" w:rsidRDefault="007B6F45" w:rsidP="004117AB">
      <w:pPr>
        <w:pStyle w:val="ListParagraph"/>
        <w:keepLines/>
        <w:numPr>
          <w:ilvl w:val="0"/>
          <w:numId w:val="7"/>
        </w:numPr>
        <w:ind w:left="0" w:firstLine="0"/>
        <w:contextualSpacing w:val="0"/>
        <w:rPr>
          <w:lang w:val="ru-RU"/>
        </w:rPr>
      </w:pPr>
      <w:r w:rsidRPr="00AB5357">
        <w:rPr>
          <w:lang w:val="ru-RU"/>
        </w:rPr>
        <w:t xml:space="preserve">Спорный вопрос, связанный с концепцией </w:t>
      </w:r>
      <w:r w:rsidRPr="007B6F45">
        <w:rPr>
          <w:i/>
          <w:iCs/>
          <w:lang w:val="ru-RU"/>
        </w:rPr>
        <w:t>«непосредственно основанный на»</w:t>
      </w:r>
      <w:r w:rsidRPr="00AB5357">
        <w:rPr>
          <w:lang w:val="ru-RU"/>
        </w:rPr>
        <w:t>, впервые предложенной ЕС в 2005 г.</w:t>
      </w:r>
      <w:r w:rsidRPr="00AB5357">
        <w:rPr>
          <w:vertAlign w:val="superscript"/>
          <w:lang w:val="en-AU"/>
        </w:rPr>
        <w:footnoteReference w:id="2"/>
      </w:r>
      <w:r w:rsidRPr="007A483F">
        <w:rPr>
          <w:lang w:val="ru-RU"/>
        </w:rPr>
        <w:t xml:space="preserve">, </w:t>
      </w:r>
      <w:r w:rsidRPr="00AB5357">
        <w:rPr>
          <w:lang w:val="ru-RU"/>
        </w:rPr>
        <w:t xml:space="preserve">заключается в требовании наличия у изобретателя физического доступа к ГР.  На этот счет в Комитете существуют разные мнения, в частности относительно того, нужен ли сегодня изобретателю физический доступ к ГР в свете технических достижений в данной области.  Для того чтобы избежать разногласий, в новом определении этот вопрос не затрагивается.  Кроме того, ЕС также предлагал включить в определение слова </w:t>
      </w:r>
      <w:r w:rsidRPr="00AB5357">
        <w:rPr>
          <w:i/>
          <w:lang w:val="ru-RU"/>
        </w:rPr>
        <w:t>«должен непосредственным образом использоваться»</w:t>
      </w:r>
      <w:r w:rsidRPr="007A483F">
        <w:rPr>
          <w:lang w:val="ru-RU"/>
        </w:rPr>
        <w:t xml:space="preserve">.  </w:t>
      </w:r>
      <w:r w:rsidRPr="00AB5357">
        <w:rPr>
          <w:lang w:val="ru-RU"/>
        </w:rPr>
        <w:t>При всем моем уважении, значение этого термина, на мой взгляд, не ясно.  Для устранения этой проблемы в определение включены слова «</w:t>
      </w:r>
      <w:r w:rsidRPr="00AB5357">
        <w:rPr>
          <w:i/>
          <w:lang w:val="ru-RU"/>
        </w:rPr>
        <w:t>необходимой» и «существенно значимой составляющей»</w:t>
      </w:r>
      <w:r w:rsidRPr="00AB5357">
        <w:rPr>
          <w:lang w:val="ru-RU"/>
        </w:rPr>
        <w:t xml:space="preserve"> для уменьшения двусмысленности.  Кроме того, в определение включена формулировка «</w:t>
      </w:r>
      <w:r w:rsidRPr="00AB5357">
        <w:rPr>
          <w:i/>
          <w:lang w:val="ru-RU"/>
        </w:rPr>
        <w:t>заявленное изобретение должно зависеть от конкретных свойств ГР и связанных с ними ТЗ»</w:t>
      </w:r>
      <w:r w:rsidRPr="007A483F">
        <w:rPr>
          <w:lang w:val="ru-RU"/>
        </w:rPr>
        <w:t>.</w:t>
      </w:r>
    </w:p>
    <w:p w14:paraId="08FB1B85" w14:textId="77777777" w:rsidR="004117AB" w:rsidRPr="004806AD" w:rsidRDefault="004117AB" w:rsidP="004117AB">
      <w:pPr>
        <w:pStyle w:val="ListParagraph"/>
        <w:keepLines/>
        <w:ind w:left="0"/>
        <w:rPr>
          <w:lang w:val="ru-RU"/>
        </w:rPr>
      </w:pPr>
    </w:p>
    <w:p w14:paraId="245B834D" w14:textId="2ADB5FE9" w:rsidR="004117AB" w:rsidRPr="004806AD" w:rsidRDefault="00F62284" w:rsidP="004117AB">
      <w:pPr>
        <w:pStyle w:val="ListParagraph"/>
        <w:keepLines/>
        <w:numPr>
          <w:ilvl w:val="0"/>
          <w:numId w:val="7"/>
        </w:numPr>
        <w:ind w:left="0" w:firstLine="0"/>
        <w:contextualSpacing w:val="0"/>
        <w:rPr>
          <w:lang w:val="ru-RU"/>
        </w:rPr>
      </w:pPr>
      <w:r w:rsidRPr="00AB5357">
        <w:rPr>
          <w:i/>
          <w:lang w:val="ru-RU"/>
        </w:rPr>
        <w:lastRenderedPageBreak/>
        <w:t>Термин «источник»</w:t>
      </w:r>
      <w:r w:rsidRPr="007A483F">
        <w:rPr>
          <w:i/>
          <w:lang w:val="ru-RU"/>
        </w:rPr>
        <w:t xml:space="preserve"> </w:t>
      </w:r>
      <w:r w:rsidRPr="00AB5357">
        <w:rPr>
          <w:lang w:val="ru-RU"/>
        </w:rPr>
        <w:t xml:space="preserve">нужно понимать в его общепринятом значении – </w:t>
      </w:r>
      <w:r w:rsidRPr="00AB5357">
        <w:rPr>
          <w:i/>
          <w:lang w:val="ru-RU"/>
        </w:rPr>
        <w:t>«то, что дает начало чему-то, или то, откуда что-то может быть получено»</w:t>
      </w:r>
      <w:r w:rsidRPr="00AB5357">
        <w:rPr>
          <w:i/>
          <w:vertAlign w:val="superscript"/>
          <w:lang w:val="en-AU"/>
        </w:rPr>
        <w:footnoteReference w:id="3"/>
      </w:r>
      <w:r w:rsidRPr="007A483F">
        <w:rPr>
          <w:i/>
          <w:lang w:val="ru-RU"/>
        </w:rPr>
        <w:t xml:space="preserve">.  </w:t>
      </w:r>
      <w:r w:rsidRPr="00AB5357">
        <w:rPr>
          <w:lang w:val="ru-RU"/>
        </w:rPr>
        <w:t>Два определения, касающихся ГР и связанных с ними ТЗ, буквально содержат неисчерпывающий перечень того, откуда могут быть получены ГР или связанные с ними ТЗ</w:t>
      </w:r>
      <w:r w:rsidRPr="007A483F">
        <w:rPr>
          <w:lang w:val="ru-RU"/>
        </w:rPr>
        <w:t>.</w:t>
      </w:r>
    </w:p>
    <w:p w14:paraId="65C8ED79" w14:textId="77777777" w:rsidR="004117AB" w:rsidRPr="004806AD" w:rsidRDefault="004117AB" w:rsidP="004117AB">
      <w:pPr>
        <w:pStyle w:val="ListParagraph"/>
        <w:keepLines/>
        <w:ind w:left="0"/>
        <w:rPr>
          <w:lang w:val="ru-RU"/>
        </w:rPr>
      </w:pPr>
    </w:p>
    <w:p w14:paraId="684B2641" w14:textId="589C79D4" w:rsidR="004117AB" w:rsidRPr="004806AD" w:rsidRDefault="00F62284" w:rsidP="004117AB">
      <w:pPr>
        <w:pStyle w:val="ListParagraph"/>
        <w:keepLines/>
        <w:numPr>
          <w:ilvl w:val="0"/>
          <w:numId w:val="7"/>
        </w:numPr>
        <w:ind w:left="0" w:firstLine="0"/>
        <w:contextualSpacing w:val="0"/>
        <w:rPr>
          <w:lang w:val="ru-RU"/>
        </w:rPr>
      </w:pPr>
      <w:r w:rsidRPr="00F62284">
        <w:rPr>
          <w:lang w:val="ru-RU"/>
        </w:rPr>
        <w:t xml:space="preserve">Определение термина </w:t>
      </w:r>
      <w:r w:rsidRPr="00F62284">
        <w:rPr>
          <w:i/>
          <w:lang w:val="ru-RU"/>
        </w:rPr>
        <w:t>«традиционные знания»</w:t>
      </w:r>
      <w:r w:rsidRPr="00F62284">
        <w:rPr>
          <w:lang w:val="ru-RU"/>
        </w:rPr>
        <w:t xml:space="preserve"> по-прежнему обсуждается Комитетом в рамках переговоров по традиционным знаниям и пока не согласовано, хотя, на мой взгляд, в недавних дискуссиях просматривается определенное совпадение взглядов.  Более того, такое определение не выработано и на международном уровне в рамках других процессов, и этот вопрос оставлен в сфере национального ведения.  Учитывая отсутствие согласованной позиции по данному вопросу в МКГР, предлагается пока не определять данный термин и оставить его в сфере национального ведения.</w:t>
      </w:r>
    </w:p>
    <w:p w14:paraId="6A64973B" w14:textId="0BC1981A" w:rsidR="004117AB" w:rsidRPr="004806AD" w:rsidRDefault="004117AB">
      <w:pPr>
        <w:rPr>
          <w:lang w:val="ru-RU"/>
        </w:rPr>
      </w:pPr>
      <w:r w:rsidRPr="004806AD">
        <w:rPr>
          <w:lang w:val="ru-RU"/>
        </w:rPr>
        <w:br w:type="page"/>
      </w:r>
    </w:p>
    <w:p w14:paraId="52A38608" w14:textId="594B0EF5" w:rsidR="004117AB" w:rsidRPr="004806AD" w:rsidRDefault="008731EB" w:rsidP="004117AB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4117AB" w:rsidRPr="004806AD">
        <w:rPr>
          <w:szCs w:val="22"/>
          <w:u w:val="single"/>
          <w:lang w:val="ru-RU"/>
        </w:rPr>
        <w:t>3</w:t>
      </w:r>
    </w:p>
    <w:p w14:paraId="6659B187" w14:textId="77777777" w:rsidR="004117AB" w:rsidRPr="004806AD" w:rsidRDefault="004117AB" w:rsidP="006C7AFD">
      <w:pPr>
        <w:rPr>
          <w:u w:val="single"/>
          <w:lang w:val="ru-RU"/>
        </w:rPr>
      </w:pPr>
    </w:p>
    <w:p w14:paraId="19FC72F8" w14:textId="71C520E3" w:rsidR="004117AB" w:rsidRPr="004806AD" w:rsidRDefault="004117AB" w:rsidP="004117AB">
      <w:pPr>
        <w:rPr>
          <w:szCs w:val="22"/>
          <w:lang w:val="ru-RU"/>
        </w:rPr>
      </w:pPr>
      <w:r w:rsidRPr="004806AD">
        <w:rPr>
          <w:szCs w:val="22"/>
          <w:lang w:val="ru-RU"/>
        </w:rPr>
        <w:t>1.</w:t>
      </w:r>
      <w:r w:rsidRPr="004806AD">
        <w:rPr>
          <w:szCs w:val="22"/>
          <w:lang w:val="ru-RU"/>
        </w:rPr>
        <w:tab/>
      </w:r>
      <w:r w:rsidR="005F3368" w:rsidRPr="00572CE7">
        <w:rPr>
          <w:rFonts w:eastAsia="Times New Roman"/>
          <w:szCs w:val="22"/>
          <w:lang w:val="ru-RU" w:eastAsia="en-US"/>
        </w:rPr>
        <w:t>Статья </w:t>
      </w:r>
      <w:r w:rsidR="005F3368" w:rsidRPr="007A483F">
        <w:rPr>
          <w:rFonts w:eastAsia="Times New Roman"/>
          <w:szCs w:val="22"/>
          <w:lang w:val="ru-RU" w:eastAsia="en-US"/>
        </w:rPr>
        <w:t xml:space="preserve">3 </w:t>
      </w:r>
      <w:r w:rsidR="005F3368" w:rsidRPr="00572CE7">
        <w:rPr>
          <w:rFonts w:eastAsia="Times New Roman"/>
          <w:szCs w:val="22"/>
          <w:lang w:val="ru-RU" w:eastAsia="en-US"/>
        </w:rPr>
        <w:t xml:space="preserve">устанавливает обязательное требование о раскрытии.  Для сохранения правовой определенности, на мой взгляд, принципиально важно четко оговорить в </w:t>
      </w:r>
      <w:r w:rsidR="005F3368" w:rsidRPr="005F3368">
        <w:rPr>
          <w:rFonts w:eastAsia="Times New Roman"/>
          <w:szCs w:val="22"/>
          <w:lang w:val="ru-RU" w:eastAsia="en-US"/>
        </w:rPr>
        <w:t>положениях, касающихся требования о раскрытии, следующие моменты:</w:t>
      </w:r>
    </w:p>
    <w:p w14:paraId="04D34F4B" w14:textId="77777777" w:rsidR="004117AB" w:rsidRPr="004806AD" w:rsidRDefault="004117AB" w:rsidP="004117AB">
      <w:pPr>
        <w:pStyle w:val="ListParagraph"/>
        <w:ind w:left="0"/>
        <w:rPr>
          <w:szCs w:val="22"/>
          <w:lang w:val="ru-RU"/>
        </w:rPr>
      </w:pPr>
    </w:p>
    <w:p w14:paraId="39959064" w14:textId="6D3C40D2" w:rsidR="004117AB" w:rsidRPr="004806AD" w:rsidRDefault="005F3368" w:rsidP="004117A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5F3368">
        <w:rPr>
          <w:rFonts w:ascii="Arial" w:hAnsi="Arial" w:cs="Arial"/>
          <w:sz w:val="22"/>
          <w:szCs w:val="22"/>
          <w:lang w:val="ru-RU"/>
        </w:rPr>
        <w:t xml:space="preserve">связь заявленного изобретения с ГР и связанными с ними ТЗ, которая приводит в </w:t>
      </w:r>
      <w:r w:rsidRPr="005E4D72">
        <w:rPr>
          <w:rFonts w:ascii="Arial" w:hAnsi="Arial" w:cs="Arial"/>
          <w:sz w:val="22"/>
          <w:szCs w:val="22"/>
          <w:lang w:val="ru-RU"/>
        </w:rPr>
        <w:t>действие обязательство о раскрытии, называемая в переговорном процессе МКГР «триггером</w:t>
      </w:r>
      <w:proofErr w:type="gramStart"/>
      <w:r w:rsidRPr="005E4D72">
        <w:rPr>
          <w:rFonts w:ascii="Arial" w:hAnsi="Arial" w:cs="Arial"/>
          <w:sz w:val="22"/>
          <w:szCs w:val="22"/>
          <w:lang w:val="ru-RU"/>
        </w:rPr>
        <w:t>»;  и</w:t>
      </w:r>
      <w:proofErr w:type="gramEnd"/>
    </w:p>
    <w:p w14:paraId="39D1233F" w14:textId="77777777" w:rsidR="004117AB" w:rsidRPr="004806AD" w:rsidRDefault="004117AB" w:rsidP="004117AB">
      <w:pPr>
        <w:pStyle w:val="NormalWeb"/>
        <w:spacing w:before="0" w:beforeAutospacing="0" w:after="0" w:afterAutospacing="0"/>
        <w:ind w:left="1010"/>
        <w:rPr>
          <w:rFonts w:ascii="Arial" w:hAnsi="Arial" w:cs="Arial"/>
          <w:sz w:val="22"/>
          <w:szCs w:val="22"/>
          <w:lang w:val="ru-RU"/>
        </w:rPr>
      </w:pPr>
    </w:p>
    <w:p w14:paraId="2741F657" w14:textId="29854ECD" w:rsidR="004117AB" w:rsidRPr="004806AD" w:rsidRDefault="005E4D72" w:rsidP="004117AB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5E4D72">
        <w:rPr>
          <w:rFonts w:ascii="Arial" w:hAnsi="Arial" w:cs="Arial"/>
          <w:sz w:val="22"/>
          <w:szCs w:val="22"/>
          <w:lang w:val="ru-RU"/>
        </w:rPr>
        <w:t xml:space="preserve">информация, которую требуется раскрыть, называемую в переговорном процессе МКГР </w:t>
      </w:r>
      <w:r w:rsidRPr="005E4D72">
        <w:rPr>
          <w:rFonts w:ascii="Arial" w:hAnsi="Arial" w:cs="Arial"/>
          <w:i/>
          <w:iCs/>
          <w:sz w:val="22"/>
          <w:szCs w:val="22"/>
          <w:lang w:val="ru-RU"/>
        </w:rPr>
        <w:t>«содержанием раскрываемой информации»</w:t>
      </w:r>
      <w:r w:rsidRPr="005E4D72">
        <w:rPr>
          <w:rFonts w:ascii="Arial" w:hAnsi="Arial" w:cs="Arial"/>
          <w:i/>
          <w:sz w:val="22"/>
          <w:szCs w:val="22"/>
          <w:lang w:val="ru-RU"/>
        </w:rPr>
        <w:t>.</w:t>
      </w:r>
    </w:p>
    <w:p w14:paraId="289421E7" w14:textId="77777777" w:rsidR="004117AB" w:rsidRPr="004806AD" w:rsidRDefault="004117AB" w:rsidP="004117AB">
      <w:pPr>
        <w:rPr>
          <w:szCs w:val="22"/>
          <w:lang w:val="ru-RU"/>
        </w:rPr>
      </w:pPr>
    </w:p>
    <w:p w14:paraId="55E55A88" w14:textId="5E1C6748" w:rsidR="004117AB" w:rsidRPr="004806AD" w:rsidRDefault="004117AB" w:rsidP="004117AB">
      <w:pPr>
        <w:rPr>
          <w:szCs w:val="22"/>
          <w:lang w:val="ru-RU"/>
        </w:rPr>
      </w:pPr>
      <w:r w:rsidRPr="004806AD">
        <w:rPr>
          <w:szCs w:val="22"/>
          <w:lang w:val="ru-RU"/>
        </w:rPr>
        <w:t>2.</w:t>
      </w:r>
      <w:r w:rsidRPr="004806AD">
        <w:rPr>
          <w:szCs w:val="22"/>
          <w:lang w:val="ru-RU"/>
        </w:rPr>
        <w:tab/>
      </w:r>
      <w:r w:rsidR="00104298" w:rsidRPr="00572CE7">
        <w:rPr>
          <w:rFonts w:eastAsia="Times New Roman"/>
          <w:szCs w:val="22"/>
          <w:lang w:val="ru-RU" w:eastAsia="en-US"/>
        </w:rPr>
        <w:t>Триггер и содержание раскрываемой информации должны быть реалистичны с практической точки зрения и должны отражать различные обстоятельства, в которых могут быть получены ГР и связанные с ними ТЗ.  Это означает, что любое требование о раскрытии не должно выливаться для патентных заявителей в невыполнимые обязательства или обязательства, которые могут быть выполнены только при условии неоправданно высоких временных и физических затрат и, следовательно, будут тормозить инновации на основе ГР и связанных с ними ТЗ</w:t>
      </w:r>
      <w:r w:rsidR="00104298" w:rsidRPr="007A483F">
        <w:rPr>
          <w:rFonts w:eastAsia="Times New Roman"/>
          <w:szCs w:val="22"/>
          <w:lang w:val="ru-RU" w:eastAsia="en-US"/>
        </w:rPr>
        <w:t>.</w:t>
      </w:r>
    </w:p>
    <w:p w14:paraId="5ACEF569" w14:textId="77777777" w:rsidR="004117AB" w:rsidRPr="004806AD" w:rsidRDefault="004117AB" w:rsidP="004117AB">
      <w:pPr>
        <w:rPr>
          <w:szCs w:val="22"/>
          <w:lang w:val="ru-RU"/>
        </w:rPr>
      </w:pPr>
    </w:p>
    <w:p w14:paraId="50A9AD76" w14:textId="4838F130" w:rsidR="004117AB" w:rsidRPr="004806AD" w:rsidRDefault="000F5E88" w:rsidP="004117AB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Триггер</w:t>
      </w:r>
    </w:p>
    <w:p w14:paraId="18706C6C" w14:textId="77777777" w:rsidR="004117AB" w:rsidRPr="004806AD" w:rsidRDefault="004117AB" w:rsidP="004117AB">
      <w:pPr>
        <w:rPr>
          <w:bCs/>
          <w:iCs/>
          <w:szCs w:val="22"/>
          <w:lang w:val="ru-RU"/>
        </w:rPr>
      </w:pPr>
    </w:p>
    <w:p w14:paraId="2BFC3BEF" w14:textId="5CEDBA74" w:rsidR="004117AB" w:rsidRPr="004806AD" w:rsidRDefault="004117AB" w:rsidP="004117AB">
      <w:pPr>
        <w:rPr>
          <w:szCs w:val="22"/>
          <w:lang w:val="ru-RU"/>
        </w:rPr>
      </w:pPr>
      <w:r w:rsidRPr="004806AD">
        <w:rPr>
          <w:szCs w:val="22"/>
          <w:lang w:val="ru-RU"/>
        </w:rPr>
        <w:t>3.</w:t>
      </w:r>
      <w:r w:rsidRPr="004806AD">
        <w:rPr>
          <w:szCs w:val="22"/>
          <w:lang w:val="ru-RU"/>
        </w:rPr>
        <w:tab/>
      </w:r>
      <w:r w:rsidR="000F5E88" w:rsidRPr="00572CE7">
        <w:rPr>
          <w:rFonts w:eastAsia="Times New Roman"/>
          <w:szCs w:val="22"/>
          <w:lang w:val="ru-RU" w:eastAsia="en-US"/>
        </w:rPr>
        <w:t>Статьи </w:t>
      </w:r>
      <w:r w:rsidR="000F5E88" w:rsidRPr="007A483F">
        <w:rPr>
          <w:rFonts w:eastAsia="Times New Roman"/>
          <w:szCs w:val="22"/>
          <w:lang w:val="ru-RU" w:eastAsia="en-US"/>
        </w:rPr>
        <w:t xml:space="preserve">3.1 </w:t>
      </w:r>
      <w:r w:rsidR="000F5E88" w:rsidRPr="00572CE7">
        <w:rPr>
          <w:rFonts w:eastAsia="Times New Roman"/>
          <w:szCs w:val="22"/>
          <w:lang w:val="ru-RU" w:eastAsia="en-US"/>
        </w:rPr>
        <w:t>и</w:t>
      </w:r>
      <w:r w:rsidR="000F5E88" w:rsidRPr="007A483F">
        <w:rPr>
          <w:rFonts w:eastAsia="Times New Roman"/>
          <w:szCs w:val="22"/>
          <w:lang w:val="ru-RU" w:eastAsia="en-US"/>
        </w:rPr>
        <w:t xml:space="preserve"> 3.2 </w:t>
      </w:r>
      <w:r w:rsidR="000F5E88" w:rsidRPr="00572CE7">
        <w:rPr>
          <w:rFonts w:eastAsia="Times New Roman"/>
          <w:szCs w:val="22"/>
          <w:lang w:val="ru-RU" w:eastAsia="en-US"/>
        </w:rPr>
        <w:t>уточняют связь заявленного изобретения с ГР и связанными с ними ТЗ, которая приводит в действие механизм обязательного раскрытия.  Соответственно, статьи </w:t>
      </w:r>
      <w:r w:rsidR="000F5E88" w:rsidRPr="007A483F">
        <w:rPr>
          <w:rFonts w:eastAsia="Times New Roman"/>
          <w:szCs w:val="22"/>
          <w:lang w:val="ru-RU" w:eastAsia="en-US"/>
        </w:rPr>
        <w:t xml:space="preserve">3.1 </w:t>
      </w:r>
      <w:r w:rsidR="000F5E88" w:rsidRPr="00572CE7">
        <w:rPr>
          <w:rFonts w:eastAsia="Times New Roman"/>
          <w:szCs w:val="22"/>
          <w:lang w:val="ru-RU" w:eastAsia="en-US"/>
        </w:rPr>
        <w:t>и </w:t>
      </w:r>
      <w:r w:rsidR="000F5E88" w:rsidRPr="007A483F">
        <w:rPr>
          <w:rFonts w:eastAsia="Times New Roman"/>
          <w:szCs w:val="22"/>
          <w:lang w:val="ru-RU" w:eastAsia="en-US"/>
        </w:rPr>
        <w:t xml:space="preserve">3.2 </w:t>
      </w:r>
      <w:r w:rsidR="000F5E88" w:rsidRPr="00572CE7">
        <w:rPr>
          <w:rFonts w:eastAsia="Times New Roman"/>
          <w:szCs w:val="22"/>
          <w:lang w:val="ru-RU" w:eastAsia="en-US"/>
        </w:rPr>
        <w:t>требуют, чтобы изобретение было «</w:t>
      </w:r>
      <w:r w:rsidR="000F5E88"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="000F5E88" w:rsidRPr="007A483F">
        <w:rPr>
          <w:rFonts w:eastAsia="Times New Roman"/>
          <w:i/>
          <w:szCs w:val="22"/>
          <w:lang w:val="ru-RU" w:eastAsia="en-US"/>
        </w:rPr>
        <w:t>/</w:t>
      </w:r>
      <w:r w:rsidR="000F5E88" w:rsidRPr="00572CE7">
        <w:rPr>
          <w:rFonts w:eastAsia="Times New Roman"/>
          <w:i/>
          <w:szCs w:val="22"/>
          <w:lang w:val="ru-RU" w:eastAsia="en-US"/>
        </w:rPr>
        <w:t>непосредственно основано на»</w:t>
      </w:r>
      <w:r w:rsidR="000F5E88" w:rsidRPr="007A483F">
        <w:rPr>
          <w:rFonts w:eastAsia="Times New Roman"/>
          <w:szCs w:val="22"/>
          <w:lang w:val="ru-RU" w:eastAsia="en-US"/>
        </w:rPr>
        <w:t xml:space="preserve"> </w:t>
      </w:r>
      <w:r w:rsidR="000F5E88" w:rsidRPr="00572CE7">
        <w:rPr>
          <w:rFonts w:eastAsia="Times New Roman"/>
          <w:szCs w:val="22"/>
          <w:lang w:val="ru-RU" w:eastAsia="en-US"/>
        </w:rPr>
        <w:t>одном или более ГР и связанном с ним ТЗ</w:t>
      </w:r>
      <w:r w:rsidR="000F5E88" w:rsidRPr="007A483F">
        <w:rPr>
          <w:rFonts w:eastAsia="Times New Roman"/>
          <w:szCs w:val="22"/>
          <w:lang w:val="ru-RU" w:eastAsia="en-US"/>
        </w:rPr>
        <w:t>.</w:t>
      </w:r>
    </w:p>
    <w:p w14:paraId="06940B5B" w14:textId="77777777" w:rsidR="004117AB" w:rsidRPr="004806AD" w:rsidRDefault="004117AB" w:rsidP="004117AB">
      <w:pPr>
        <w:rPr>
          <w:szCs w:val="22"/>
          <w:u w:val="single"/>
          <w:lang w:val="ru-RU"/>
        </w:rPr>
      </w:pPr>
    </w:p>
    <w:p w14:paraId="78845921" w14:textId="6553586C" w:rsidR="004117AB" w:rsidRPr="004806AD" w:rsidRDefault="004117AB" w:rsidP="004117AB">
      <w:pPr>
        <w:rPr>
          <w:szCs w:val="22"/>
          <w:lang w:val="ru-RU"/>
        </w:rPr>
      </w:pPr>
      <w:r w:rsidRPr="004806AD">
        <w:rPr>
          <w:szCs w:val="22"/>
          <w:lang w:val="ru-RU"/>
        </w:rPr>
        <w:t>4.</w:t>
      </w:r>
      <w:r w:rsidRPr="004806AD">
        <w:rPr>
          <w:szCs w:val="22"/>
          <w:lang w:val="ru-RU"/>
        </w:rPr>
        <w:tab/>
      </w:r>
      <w:r w:rsidR="00E60533" w:rsidRPr="00572CE7">
        <w:rPr>
          <w:rFonts w:eastAsia="Times New Roman"/>
          <w:szCs w:val="22"/>
          <w:lang w:val="ru-RU" w:eastAsia="en-US"/>
        </w:rPr>
        <w:t>В контексте ГР термин «</w:t>
      </w:r>
      <w:r w:rsidR="00E60533"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="00E60533" w:rsidRPr="007A483F">
        <w:rPr>
          <w:rFonts w:eastAsia="Times New Roman"/>
          <w:i/>
          <w:szCs w:val="22"/>
          <w:lang w:val="ru-RU" w:eastAsia="en-US"/>
        </w:rPr>
        <w:t>/</w:t>
      </w:r>
      <w:r w:rsidR="00E60533" w:rsidRPr="00572CE7">
        <w:rPr>
          <w:rFonts w:eastAsia="Times New Roman"/>
          <w:i/>
          <w:szCs w:val="22"/>
          <w:lang w:val="ru-RU" w:eastAsia="en-US"/>
        </w:rPr>
        <w:t>непосредственно основанный на»</w:t>
      </w:r>
      <w:r w:rsidR="00E60533" w:rsidRPr="007A483F">
        <w:rPr>
          <w:rFonts w:eastAsia="Times New Roman"/>
          <w:szCs w:val="22"/>
          <w:lang w:val="ru-RU" w:eastAsia="en-US"/>
        </w:rPr>
        <w:t xml:space="preserve"> </w:t>
      </w:r>
      <w:r w:rsidR="00E60533" w:rsidRPr="00572CE7">
        <w:rPr>
          <w:rFonts w:eastAsia="Times New Roman"/>
          <w:szCs w:val="22"/>
          <w:lang w:val="ru-RU" w:eastAsia="en-US"/>
        </w:rPr>
        <w:t>уточняет, что предметом, который приводит в действие механизм раскрытия, являются ГР, являющиеся необходимой или существенно значимой составляющей процесса создания заявленного изобретения.  Формулировка «основано на» охватывает любые ГР, которые применялись при создании изобретения.  Термин «</w:t>
      </w:r>
      <w:r w:rsidR="00E60533"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="00E60533" w:rsidRPr="007A483F">
        <w:rPr>
          <w:rFonts w:eastAsia="Times New Roman"/>
          <w:i/>
          <w:szCs w:val="22"/>
          <w:lang w:val="ru-RU" w:eastAsia="en-US"/>
        </w:rPr>
        <w:t>/</w:t>
      </w:r>
      <w:r w:rsidR="00E60533" w:rsidRPr="00572CE7">
        <w:rPr>
          <w:rFonts w:eastAsia="Times New Roman"/>
          <w:i/>
          <w:szCs w:val="22"/>
          <w:lang w:val="ru-RU" w:eastAsia="en-US"/>
        </w:rPr>
        <w:t>непосредственно»</w:t>
      </w:r>
      <w:r w:rsidR="00E60533" w:rsidRPr="007A483F">
        <w:rPr>
          <w:rFonts w:eastAsia="Times New Roman"/>
          <w:szCs w:val="22"/>
          <w:lang w:val="ru-RU" w:eastAsia="en-US"/>
        </w:rPr>
        <w:t xml:space="preserve"> </w:t>
      </w:r>
      <w:r w:rsidR="00E60533" w:rsidRPr="00572CE7">
        <w:rPr>
          <w:rFonts w:eastAsia="Times New Roman"/>
          <w:szCs w:val="22"/>
          <w:lang w:val="ru-RU" w:eastAsia="en-US"/>
        </w:rPr>
        <w:t>говорит об обязательном наличии произвольной связи изобретения и ГР</w:t>
      </w:r>
      <w:r w:rsidR="00E60533" w:rsidRPr="007A483F">
        <w:rPr>
          <w:rFonts w:eastAsia="Times New Roman"/>
          <w:szCs w:val="22"/>
          <w:lang w:val="ru-RU" w:eastAsia="en-US"/>
        </w:rPr>
        <w:t xml:space="preserve">.  </w:t>
      </w:r>
      <w:r w:rsidR="00E60533" w:rsidRPr="00572CE7">
        <w:rPr>
          <w:rFonts w:eastAsia="Times New Roman"/>
          <w:szCs w:val="22"/>
          <w:lang w:val="ru-RU" w:eastAsia="en-US"/>
        </w:rPr>
        <w:t>С практической точки зрения это означает, что раскрытию подлежат только те ГР, без которых невозможно создать соответствующее изобретение.  ГР, которые могут использоваться в процессе создания изобретения, но не являются существенно значимой составляющей заявленного изобретения, не приводят в действие требование о раскрытии.  К ним относятся, в частности, инструменты исследования, такие как опытные животные и растения, дрожжи, бактерии, плазмиды и вирусные векторы, которые строго говоря являются ГР, но нередко играют роль стандартных расходных материалов, которые могут быть приобретены у торговых поставщиков и не являются составляющей заявленного изобретения и, как следствие, не требуют раскрытия.</w:t>
      </w:r>
    </w:p>
    <w:p w14:paraId="085C343D" w14:textId="77777777" w:rsidR="004117AB" w:rsidRPr="004806AD" w:rsidRDefault="004117AB" w:rsidP="004117AB">
      <w:pPr>
        <w:rPr>
          <w:szCs w:val="22"/>
          <w:lang w:val="ru-RU"/>
        </w:rPr>
      </w:pPr>
    </w:p>
    <w:p w14:paraId="544CB557" w14:textId="1BF1B7B4" w:rsidR="004117AB" w:rsidRPr="004806AD" w:rsidRDefault="004117AB" w:rsidP="004117AB">
      <w:pPr>
        <w:rPr>
          <w:szCs w:val="22"/>
          <w:lang w:val="ru-RU"/>
        </w:rPr>
      </w:pPr>
      <w:r w:rsidRPr="004806AD">
        <w:rPr>
          <w:szCs w:val="22"/>
          <w:lang w:val="ru-RU"/>
        </w:rPr>
        <w:t>5.</w:t>
      </w:r>
      <w:r w:rsidRPr="004806AD">
        <w:rPr>
          <w:szCs w:val="22"/>
          <w:lang w:val="ru-RU"/>
        </w:rPr>
        <w:tab/>
      </w:r>
      <w:r w:rsidR="0067171B" w:rsidRPr="00572CE7">
        <w:rPr>
          <w:rFonts w:eastAsia="Times New Roman"/>
          <w:szCs w:val="22"/>
          <w:lang w:val="ru-RU" w:eastAsia="en-US"/>
        </w:rPr>
        <w:t>В контексте ТЗ, связанных с ГР, концепция «</w:t>
      </w:r>
      <w:r w:rsidR="0067171B"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="0067171B" w:rsidRPr="007A483F">
        <w:rPr>
          <w:rFonts w:eastAsia="Times New Roman"/>
          <w:i/>
          <w:szCs w:val="22"/>
          <w:lang w:val="ru-RU" w:eastAsia="en-US"/>
        </w:rPr>
        <w:t>/</w:t>
      </w:r>
      <w:r w:rsidR="0067171B" w:rsidRPr="00572CE7">
        <w:rPr>
          <w:rFonts w:eastAsia="Times New Roman"/>
          <w:i/>
          <w:szCs w:val="22"/>
          <w:lang w:val="ru-RU" w:eastAsia="en-US"/>
        </w:rPr>
        <w:t>непосредственно основанный на»</w:t>
      </w:r>
      <w:r w:rsidR="0067171B" w:rsidRPr="007A483F">
        <w:rPr>
          <w:rFonts w:eastAsia="Times New Roman"/>
          <w:szCs w:val="22"/>
          <w:lang w:val="ru-RU" w:eastAsia="en-US"/>
        </w:rPr>
        <w:t xml:space="preserve"> </w:t>
      </w:r>
      <w:r w:rsidR="0067171B" w:rsidRPr="00572CE7">
        <w:rPr>
          <w:rFonts w:eastAsia="Times New Roman"/>
          <w:szCs w:val="22"/>
          <w:lang w:val="ru-RU" w:eastAsia="en-US"/>
        </w:rPr>
        <w:t>означает, что изобретатель должен в обязательном порядке использовать данные ТЗ при создании заявленного изобретения, и это заявленное изобретение должно зависеть от этих ТЗ</w:t>
      </w:r>
      <w:r w:rsidRPr="004806AD">
        <w:rPr>
          <w:szCs w:val="22"/>
          <w:lang w:val="ru-RU"/>
        </w:rPr>
        <w:t>.</w:t>
      </w:r>
    </w:p>
    <w:p w14:paraId="1DD5B8C1" w14:textId="77777777" w:rsidR="004117AB" w:rsidRPr="004806AD" w:rsidRDefault="004117AB" w:rsidP="004117AB">
      <w:pPr>
        <w:rPr>
          <w:bCs/>
          <w:iCs/>
          <w:szCs w:val="22"/>
          <w:lang w:val="ru-RU"/>
        </w:rPr>
      </w:pPr>
    </w:p>
    <w:p w14:paraId="2B1D780A" w14:textId="04564A9C" w:rsidR="004117AB" w:rsidRPr="004806AD" w:rsidRDefault="00742F0A" w:rsidP="004117AB">
      <w:pPr>
        <w:rPr>
          <w:i/>
          <w:szCs w:val="22"/>
          <w:lang w:val="ru-RU"/>
        </w:rPr>
      </w:pPr>
      <w:r>
        <w:rPr>
          <w:i/>
          <w:szCs w:val="22"/>
          <w:lang w:val="ru-RU"/>
        </w:rPr>
        <w:t>Содержание раскрываемой информации</w:t>
      </w:r>
    </w:p>
    <w:p w14:paraId="2492ECC1" w14:textId="77777777" w:rsidR="004117AB" w:rsidRPr="004806AD" w:rsidRDefault="004117AB" w:rsidP="004117AB">
      <w:pPr>
        <w:rPr>
          <w:szCs w:val="22"/>
          <w:lang w:val="ru-RU"/>
        </w:rPr>
      </w:pPr>
    </w:p>
    <w:p w14:paraId="339168C7" w14:textId="4BECE5B8" w:rsidR="004117AB" w:rsidRPr="004806AD" w:rsidRDefault="004117AB" w:rsidP="004117AB">
      <w:pPr>
        <w:rPr>
          <w:szCs w:val="22"/>
          <w:lang w:val="ru-RU"/>
        </w:rPr>
      </w:pPr>
      <w:r w:rsidRPr="004806AD">
        <w:rPr>
          <w:szCs w:val="22"/>
          <w:lang w:val="ru-RU"/>
        </w:rPr>
        <w:t>6.</w:t>
      </w:r>
      <w:r w:rsidRPr="004806AD">
        <w:rPr>
          <w:szCs w:val="22"/>
          <w:lang w:val="ru-RU"/>
        </w:rPr>
        <w:tab/>
      </w:r>
      <w:r w:rsidR="00C76210" w:rsidRPr="00572CE7">
        <w:rPr>
          <w:rFonts w:eastAsia="Times New Roman"/>
          <w:szCs w:val="22"/>
          <w:lang w:val="ru-RU" w:eastAsia="en-US"/>
        </w:rPr>
        <w:t>В зависимости от конкретных обстоятельств статья 3 требует раскрытия разной информации в патентных заявках</w:t>
      </w:r>
      <w:r w:rsidRPr="004806AD">
        <w:rPr>
          <w:szCs w:val="22"/>
          <w:lang w:val="ru-RU"/>
        </w:rPr>
        <w:t>:</w:t>
      </w:r>
    </w:p>
    <w:p w14:paraId="6C6D6AC3" w14:textId="77777777" w:rsidR="004117AB" w:rsidRPr="004806AD" w:rsidRDefault="004117AB" w:rsidP="004117AB">
      <w:pPr>
        <w:rPr>
          <w:szCs w:val="22"/>
          <w:lang w:val="ru-RU"/>
        </w:rPr>
      </w:pPr>
    </w:p>
    <w:p w14:paraId="3CA5BE31" w14:textId="7E2BA8EE" w:rsidR="004117AB" w:rsidRPr="004806AD" w:rsidRDefault="009C7339" w:rsidP="004117AB">
      <w:pPr>
        <w:pStyle w:val="ListParagraph"/>
        <w:numPr>
          <w:ilvl w:val="0"/>
          <w:numId w:val="9"/>
        </w:numPr>
        <w:ind w:left="900" w:hanging="540"/>
        <w:contextualSpacing w:val="0"/>
        <w:rPr>
          <w:lang w:val="ru-RU"/>
        </w:rPr>
      </w:pPr>
      <w:r w:rsidRPr="00572CE7">
        <w:rPr>
          <w:rFonts w:eastAsia="Times New Roman"/>
          <w:szCs w:val="22"/>
          <w:lang w:val="ru-RU" w:eastAsia="en-US"/>
        </w:rPr>
        <w:t>в пунктах </w:t>
      </w:r>
      <w:r w:rsidRPr="00572CE7">
        <w:rPr>
          <w:rFonts w:eastAsia="Times New Roman"/>
          <w:szCs w:val="22"/>
          <w:lang w:val="sv-SE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572CE7">
        <w:rPr>
          <w:rFonts w:eastAsia="Times New Roman"/>
          <w:szCs w:val="22"/>
          <w:lang w:val="sv-SE" w:eastAsia="en-US"/>
        </w:rPr>
        <w:t xml:space="preserve"> 3.2 </w:t>
      </w:r>
      <w:r w:rsidRPr="00572CE7">
        <w:rPr>
          <w:rFonts w:eastAsia="Times New Roman"/>
          <w:szCs w:val="22"/>
          <w:lang w:val="ru-RU" w:eastAsia="en-US"/>
        </w:rPr>
        <w:t>указана информация, которая подлежит раскрытию при условии применимости этого положения и известности этих сведений патентному заявителю</w:t>
      </w:r>
      <w:r w:rsidR="004117AB" w:rsidRPr="004806AD">
        <w:rPr>
          <w:lang w:val="ru-RU"/>
        </w:rPr>
        <w:t>.</w:t>
      </w:r>
    </w:p>
    <w:p w14:paraId="3D7E2150" w14:textId="77777777" w:rsidR="004117AB" w:rsidRPr="004806AD" w:rsidRDefault="004117AB" w:rsidP="004117AB">
      <w:pPr>
        <w:pStyle w:val="ListParagraph"/>
        <w:ind w:left="357"/>
        <w:rPr>
          <w:u w:val="single"/>
          <w:lang w:val="ru-RU"/>
        </w:rPr>
      </w:pPr>
    </w:p>
    <w:p w14:paraId="26670D39" w14:textId="537E0A5C" w:rsidR="004117AB" w:rsidRPr="004806AD" w:rsidRDefault="00512BA1" w:rsidP="004117AB">
      <w:pPr>
        <w:ind w:left="900"/>
        <w:rPr>
          <w:szCs w:val="22"/>
          <w:lang w:val="ru-RU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ГР</w:t>
      </w:r>
      <w:r w:rsidRPr="007A483F">
        <w:rPr>
          <w:rFonts w:eastAsia="Times New Roman"/>
          <w:i/>
          <w:szCs w:val="22"/>
          <w:lang w:val="ru-RU" w:eastAsia="en-US"/>
        </w:rPr>
        <w:t xml:space="preserve"> (</w:t>
      </w:r>
      <w:r w:rsidRPr="00572CE7">
        <w:rPr>
          <w:rFonts w:eastAsia="Times New Roman"/>
          <w:i/>
          <w:szCs w:val="22"/>
          <w:lang w:val="ru-RU" w:eastAsia="en-US"/>
        </w:rPr>
        <w:t>пункт </w:t>
      </w:r>
      <w:r w:rsidRPr="007A483F">
        <w:rPr>
          <w:rFonts w:eastAsia="Times New Roman"/>
          <w:i/>
          <w:szCs w:val="22"/>
          <w:lang w:val="ru-RU" w:eastAsia="en-US"/>
        </w:rPr>
        <w:t>3.1)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Договаривающаяся сторона требует от патентного заявителя раскрытия страны происхождения ГР.  В интересах обеспечения взаимодополняющего характера с другими международными документами, как провозглашено в принципах настоящего документа, понятие «страна происхождения» должно пониматься в том же значении, что и в КБР,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 xml:space="preserve">а именно </w:t>
      </w:r>
      <w:r w:rsidRPr="007A483F">
        <w:rPr>
          <w:rFonts w:eastAsia="Times New Roman"/>
          <w:szCs w:val="22"/>
          <w:lang w:val="ru-RU" w:eastAsia="en-US"/>
        </w:rPr>
        <w:t>стран</w:t>
      </w:r>
      <w:r w:rsidRPr="00572CE7">
        <w:rPr>
          <w:rFonts w:eastAsia="Times New Roman"/>
          <w:szCs w:val="22"/>
          <w:lang w:val="ru-RU" w:eastAsia="en-US"/>
        </w:rPr>
        <w:t>а</w:t>
      </w:r>
      <w:r w:rsidRPr="007A483F">
        <w:rPr>
          <w:rFonts w:eastAsia="Times New Roman"/>
          <w:szCs w:val="22"/>
          <w:lang w:val="ru-RU" w:eastAsia="en-US"/>
        </w:rPr>
        <w:t xml:space="preserve">, которая обладает этими </w:t>
      </w:r>
      <w:r w:rsidRPr="00572CE7">
        <w:rPr>
          <w:rFonts w:eastAsia="Times New Roman"/>
          <w:szCs w:val="22"/>
          <w:lang w:val="ru-RU" w:eastAsia="en-US"/>
        </w:rPr>
        <w:t>ГР</w:t>
      </w:r>
      <w:r w:rsidRPr="007A483F">
        <w:rPr>
          <w:rFonts w:eastAsia="Times New Roman"/>
          <w:szCs w:val="22"/>
          <w:lang w:val="ru-RU" w:eastAsia="en-US"/>
        </w:rPr>
        <w:t xml:space="preserve"> в </w:t>
      </w:r>
      <w:r w:rsidRPr="00CC5582">
        <w:rPr>
          <w:rFonts w:eastAsia="Times New Roman"/>
          <w:i/>
          <w:iCs/>
          <w:szCs w:val="22"/>
          <w:lang w:val="ru-RU" w:eastAsia="en-US"/>
        </w:rPr>
        <w:t>условиях</w:t>
      </w:r>
      <w:r w:rsidRPr="00CC5582">
        <w:rPr>
          <w:rFonts w:eastAsia="Times New Roman"/>
          <w:i/>
          <w:iCs/>
          <w:szCs w:val="22"/>
          <w:lang w:val="en-AU" w:eastAsia="en-US"/>
        </w:rPr>
        <w:t> </w:t>
      </w:r>
      <w:r w:rsidRPr="00572CE7">
        <w:rPr>
          <w:rFonts w:eastAsia="Times New Roman"/>
          <w:i/>
          <w:iCs/>
          <w:szCs w:val="22"/>
          <w:lang w:val="en-AU" w:eastAsia="en-US"/>
        </w:rPr>
        <w:t>in</w:t>
      </w:r>
      <w:r w:rsidRPr="007A483F">
        <w:rPr>
          <w:rFonts w:eastAsia="Times New Roman"/>
          <w:i/>
          <w:iCs/>
          <w:szCs w:val="22"/>
          <w:lang w:val="ru-RU" w:eastAsia="en-US"/>
        </w:rPr>
        <w:t>-</w:t>
      </w:r>
      <w:r w:rsidRPr="00572CE7">
        <w:rPr>
          <w:rFonts w:eastAsia="Times New Roman"/>
          <w:i/>
          <w:iCs/>
          <w:szCs w:val="22"/>
          <w:lang w:val="en-AU" w:eastAsia="en-US"/>
        </w:rPr>
        <w:t>situ</w:t>
      </w:r>
      <w:r w:rsidRPr="00572CE7">
        <w:rPr>
          <w:rFonts w:eastAsia="Times New Roman"/>
          <w:iCs/>
          <w:szCs w:val="22"/>
          <w:lang w:val="ru-RU" w:eastAsia="en-US"/>
        </w:rPr>
        <w:t>.</w:t>
      </w:r>
      <w:r w:rsidRPr="00572CE7">
        <w:rPr>
          <w:rFonts w:eastAsia="Times New Roman"/>
          <w:szCs w:val="22"/>
          <w:lang w:val="ru-RU" w:eastAsia="en-US"/>
        </w:rPr>
        <w:t xml:space="preserve">  Однако многие ГР существуют в условиях </w:t>
      </w:r>
      <w:r w:rsidRPr="00572CE7">
        <w:rPr>
          <w:rFonts w:eastAsia="Times New Roman"/>
          <w:szCs w:val="22"/>
          <w:lang w:val="en-AU" w:eastAsia="en-US"/>
        </w:rPr>
        <w:t>in</w:t>
      </w:r>
      <w:r w:rsidRPr="00572CE7">
        <w:rPr>
          <w:rFonts w:eastAsia="Times New Roman"/>
          <w:szCs w:val="22"/>
          <w:lang w:val="ru-RU" w:eastAsia="en-US"/>
        </w:rPr>
        <w:t>-</w:t>
      </w:r>
      <w:r w:rsidRPr="00572CE7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в нескольких странах.  Т.е. нередко тот или иной ГР имеет несколько стран происхождения.  Вместе с тем согласно положению (а) статьи</w:t>
      </w:r>
      <w:r w:rsidRPr="007A483F">
        <w:rPr>
          <w:rFonts w:eastAsia="Times New Roman"/>
          <w:szCs w:val="22"/>
          <w:lang w:val="ru-RU" w:eastAsia="en-US"/>
        </w:rPr>
        <w:t xml:space="preserve"> 3.1</w:t>
      </w:r>
      <w:r w:rsidRPr="00572CE7">
        <w:rPr>
          <w:rFonts w:eastAsia="Times New Roman"/>
          <w:szCs w:val="22"/>
          <w:lang w:val="ru-RU" w:eastAsia="en-US"/>
        </w:rPr>
        <w:t xml:space="preserve"> необходимо раскрыть страну происхождения, в которой получен </w:t>
      </w:r>
      <w:r w:rsidRPr="00572CE7">
        <w:rPr>
          <w:rFonts w:eastAsia="Times New Roman"/>
          <w:szCs w:val="22"/>
          <w:u w:val="single"/>
          <w:lang w:val="ru-RU" w:eastAsia="en-US"/>
        </w:rPr>
        <w:t>данный</w:t>
      </w:r>
      <w:r w:rsidRPr="00572CE7">
        <w:rPr>
          <w:rFonts w:eastAsia="Times New Roman"/>
          <w:szCs w:val="22"/>
          <w:lang w:val="ru-RU" w:eastAsia="en-US"/>
        </w:rPr>
        <w:t xml:space="preserve"> ГР (подчеркивание добавлено), </w:t>
      </w:r>
      <w:proofErr w:type="gramStart"/>
      <w:r w:rsidRPr="00572CE7">
        <w:rPr>
          <w:rFonts w:eastAsia="Times New Roman"/>
          <w:szCs w:val="22"/>
          <w:lang w:val="ru-RU" w:eastAsia="en-US"/>
        </w:rPr>
        <w:t>т.е.</w:t>
      </w:r>
      <w:proofErr w:type="gramEnd"/>
      <w:r w:rsidRPr="00572CE7">
        <w:rPr>
          <w:rFonts w:eastAsia="Times New Roman"/>
          <w:szCs w:val="22"/>
          <w:lang w:val="ru-RU" w:eastAsia="en-US"/>
        </w:rPr>
        <w:t xml:space="preserve"> именно тот ГР, на котором </w:t>
      </w:r>
      <w:r w:rsidRPr="007A483F">
        <w:rPr>
          <w:rFonts w:eastAsia="Times New Roman"/>
          <w:szCs w:val="22"/>
          <w:lang w:val="ru-RU" w:eastAsia="en-US"/>
        </w:rPr>
        <w:t>[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</w:t>
      </w:r>
      <w:r w:rsidRPr="007A483F">
        <w:rPr>
          <w:rFonts w:eastAsia="Times New Roman"/>
          <w:szCs w:val="22"/>
          <w:lang w:val="ru-RU" w:eastAsia="en-US"/>
        </w:rPr>
        <w:t xml:space="preserve">] </w:t>
      </w:r>
      <w:r w:rsidRPr="00572CE7">
        <w:rPr>
          <w:rFonts w:eastAsia="Times New Roman"/>
          <w:szCs w:val="22"/>
          <w:lang w:val="ru-RU" w:eastAsia="en-US"/>
        </w:rPr>
        <w:t>основано заявленное изобретение</w:t>
      </w:r>
      <w:r w:rsidRPr="007A483F">
        <w:rPr>
          <w:rFonts w:eastAsia="Times New Roman"/>
          <w:szCs w:val="22"/>
          <w:lang w:val="ru-RU" w:eastAsia="en-US"/>
        </w:rPr>
        <w:t>,</w:t>
      </w:r>
      <w:r w:rsidRPr="00572CE7">
        <w:rPr>
          <w:rFonts w:eastAsia="Times New Roman"/>
          <w:szCs w:val="22"/>
          <w:lang w:val="ru-RU" w:eastAsia="en-US"/>
        </w:rPr>
        <w:t xml:space="preserve"> а эта страна в свою очередь является страной, в которой данный ГР фактически был получен </w:t>
      </w:r>
      <w:r w:rsidRPr="007A483F">
        <w:rPr>
          <w:rFonts w:eastAsia="Times New Roman"/>
          <w:szCs w:val="22"/>
          <w:lang w:val="ru-RU" w:eastAsia="en-US"/>
        </w:rPr>
        <w:t>(</w:t>
      </w:r>
      <w:r w:rsidRPr="00572CE7">
        <w:rPr>
          <w:rFonts w:eastAsia="Times New Roman"/>
          <w:szCs w:val="22"/>
          <w:lang w:val="ru-RU" w:eastAsia="en-US"/>
        </w:rPr>
        <w:t>а такой может быть только одна страна для каждого ГР</w:t>
      </w:r>
      <w:r w:rsidRPr="007A483F">
        <w:rPr>
          <w:rFonts w:eastAsia="Times New Roman"/>
          <w:szCs w:val="24"/>
          <w:shd w:val="clear" w:color="auto" w:fill="FFFFFF"/>
          <w:lang w:val="ru-RU" w:eastAsia="en-US"/>
        </w:rPr>
        <w:t>)</w:t>
      </w:r>
      <w:r w:rsidR="004117AB" w:rsidRPr="004806AD">
        <w:rPr>
          <w:szCs w:val="22"/>
          <w:lang w:val="ru-RU"/>
        </w:rPr>
        <w:t>.</w:t>
      </w:r>
    </w:p>
    <w:p w14:paraId="5686C6B9" w14:textId="77777777" w:rsidR="00512BA1" w:rsidRPr="004806AD" w:rsidRDefault="00512BA1" w:rsidP="004117AB">
      <w:pPr>
        <w:ind w:left="900"/>
        <w:rPr>
          <w:iCs/>
          <w:szCs w:val="22"/>
          <w:lang w:val="ru-RU"/>
        </w:rPr>
      </w:pPr>
    </w:p>
    <w:p w14:paraId="5A731561" w14:textId="596BAC4C" w:rsidR="004117AB" w:rsidRPr="004806AD" w:rsidRDefault="00A71A06" w:rsidP="004117AB">
      <w:pPr>
        <w:ind w:left="900"/>
        <w:rPr>
          <w:szCs w:val="22"/>
          <w:lang w:val="ru-RU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связанных с ГР ТЗ</w:t>
      </w:r>
      <w:r w:rsidRPr="007A483F">
        <w:rPr>
          <w:rFonts w:eastAsia="Times New Roman"/>
          <w:i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 xml:space="preserve">Договаривающаяся сторона требует от патентного заявителя раскрытия информации о коренном народе или местной общине, предоставивших это знание, </w:t>
      </w:r>
      <w:proofErr w:type="gramStart"/>
      <w:r w:rsidRPr="00572CE7">
        <w:rPr>
          <w:rFonts w:eastAsia="Times New Roman"/>
          <w:szCs w:val="22"/>
          <w:lang w:val="ru-RU" w:eastAsia="en-US"/>
        </w:rPr>
        <w:t>т.е.</w:t>
      </w:r>
      <w:proofErr w:type="gramEnd"/>
      <w:r w:rsidRPr="00572CE7">
        <w:rPr>
          <w:rFonts w:eastAsia="Times New Roman"/>
          <w:szCs w:val="22"/>
          <w:lang w:val="ru-RU" w:eastAsia="en-US"/>
        </w:rPr>
        <w:t xml:space="preserve"> обладателя знания, от которого оно было получено или у которого было приобретено</w:t>
      </w:r>
      <w:r w:rsidR="004117AB" w:rsidRPr="004806AD">
        <w:rPr>
          <w:szCs w:val="22"/>
          <w:lang w:val="ru-RU"/>
        </w:rPr>
        <w:t>.</w:t>
      </w:r>
    </w:p>
    <w:p w14:paraId="49AEFEA4" w14:textId="77777777" w:rsidR="00A71A06" w:rsidRPr="004806AD" w:rsidRDefault="00A71A06" w:rsidP="004117AB">
      <w:pPr>
        <w:ind w:left="900"/>
        <w:rPr>
          <w:iCs/>
          <w:szCs w:val="22"/>
          <w:lang w:val="ru-RU"/>
        </w:rPr>
      </w:pPr>
    </w:p>
    <w:p w14:paraId="0C0803A2" w14:textId="538EBE39" w:rsidR="004117AB" w:rsidRPr="004806AD" w:rsidRDefault="008C24C7" w:rsidP="004117AB">
      <w:pPr>
        <w:pStyle w:val="ListParagraph"/>
        <w:numPr>
          <w:ilvl w:val="0"/>
          <w:numId w:val="9"/>
        </w:numPr>
        <w:ind w:left="907" w:hanging="540"/>
        <w:contextualSpacing w:val="0"/>
        <w:rPr>
          <w:lang w:val="ru-RU"/>
        </w:rPr>
      </w:pPr>
      <w:r w:rsidRPr="00572CE7">
        <w:rPr>
          <w:szCs w:val="22"/>
          <w:lang w:val="ru-RU"/>
        </w:rPr>
        <w:t>Подпункты </w:t>
      </w:r>
      <w:r w:rsidRPr="00572CE7">
        <w:rPr>
          <w:szCs w:val="22"/>
          <w:lang w:val="sv-SE"/>
        </w:rPr>
        <w:t xml:space="preserve">3.1(b) </w:t>
      </w:r>
      <w:r w:rsidRPr="00572CE7">
        <w:rPr>
          <w:szCs w:val="22"/>
          <w:lang w:val="ru-RU"/>
        </w:rPr>
        <w:t>и</w:t>
      </w:r>
      <w:r w:rsidRPr="00572CE7">
        <w:rPr>
          <w:szCs w:val="22"/>
          <w:lang w:val="sv-SE"/>
        </w:rPr>
        <w:t>/</w:t>
      </w:r>
      <w:r w:rsidRPr="00572CE7">
        <w:rPr>
          <w:szCs w:val="22"/>
          <w:lang w:val="ru-RU"/>
        </w:rPr>
        <w:t>или</w:t>
      </w:r>
      <w:r w:rsidRPr="00572CE7">
        <w:rPr>
          <w:szCs w:val="22"/>
          <w:lang w:val="sv-SE"/>
        </w:rPr>
        <w:t xml:space="preserve"> 3.2(b) </w:t>
      </w:r>
      <w:r w:rsidRPr="00572CE7">
        <w:rPr>
          <w:szCs w:val="22"/>
          <w:lang w:val="ru-RU"/>
        </w:rPr>
        <w:t xml:space="preserve">применяются в тех случаях, когда информация, изложенная в подпунктах </w:t>
      </w:r>
      <w:r w:rsidRPr="00572CE7">
        <w:rPr>
          <w:szCs w:val="22"/>
          <w:lang w:val="sv-SE"/>
        </w:rPr>
        <w:t xml:space="preserve">3.1(a) </w:t>
      </w:r>
      <w:r w:rsidRPr="00572CE7">
        <w:rPr>
          <w:szCs w:val="22"/>
          <w:lang w:val="ru-RU"/>
        </w:rPr>
        <w:t>и</w:t>
      </w:r>
      <w:r w:rsidRPr="00572CE7">
        <w:rPr>
          <w:szCs w:val="22"/>
          <w:lang w:val="sv-SE"/>
        </w:rPr>
        <w:t>/</w:t>
      </w:r>
      <w:r w:rsidRPr="00572CE7">
        <w:rPr>
          <w:szCs w:val="22"/>
          <w:lang w:val="ru-RU"/>
        </w:rPr>
        <w:t>или</w:t>
      </w:r>
      <w:r w:rsidRPr="00572CE7">
        <w:rPr>
          <w:szCs w:val="22"/>
          <w:lang w:val="sv-SE"/>
        </w:rPr>
        <w:t xml:space="preserve"> 3.2(a)</w:t>
      </w:r>
      <w:r w:rsidRPr="00572CE7">
        <w:rPr>
          <w:szCs w:val="22"/>
          <w:lang w:val="ru-RU"/>
        </w:rPr>
        <w:t>, недоступна или когда эти положения не применяются и, соответственно, патентный заявитель не в состоянии раскрыть требуемые сведения.  Например, имеются в виду ГР из районов за пределами действия национальной юрисдикции, таких как открытое море</w:t>
      </w:r>
      <w:r w:rsidR="004117AB" w:rsidRPr="004806AD">
        <w:rPr>
          <w:lang w:val="ru-RU"/>
        </w:rPr>
        <w:t>.</w:t>
      </w:r>
    </w:p>
    <w:p w14:paraId="2A8005B7" w14:textId="77777777" w:rsidR="004117AB" w:rsidRPr="004806AD" w:rsidRDefault="004117AB" w:rsidP="004117AB">
      <w:pPr>
        <w:ind w:left="907"/>
        <w:rPr>
          <w:i/>
          <w:szCs w:val="22"/>
          <w:lang w:val="ru-RU"/>
        </w:rPr>
      </w:pPr>
    </w:p>
    <w:p w14:paraId="0C68093D" w14:textId="2AE7664F" w:rsidR="004117AB" w:rsidRPr="004806AD" w:rsidRDefault="00D47884" w:rsidP="00C97666">
      <w:pPr>
        <w:ind w:left="907"/>
        <w:rPr>
          <w:szCs w:val="22"/>
          <w:lang w:val="ru-RU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ГР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такой вариант возможен, например, если изобретение основано на ГР, заимствованном из Многосторонней системы МДГРПСХ.  Можно также предусмотреть определенную гибкость на национальном уровне для сторон, которые в соответствии с пунктом </w:t>
      </w:r>
      <w:r w:rsidRPr="007A483F">
        <w:rPr>
          <w:rFonts w:eastAsia="Times New Roman"/>
          <w:szCs w:val="22"/>
          <w:lang w:val="ru-RU" w:eastAsia="en-US"/>
        </w:rPr>
        <w:t>3</w:t>
      </w:r>
      <w:r w:rsidRPr="00572CE7">
        <w:rPr>
          <w:rFonts w:eastAsia="Times New Roman"/>
          <w:szCs w:val="22"/>
          <w:lang w:val="ru-RU" w:eastAsia="en-US"/>
        </w:rPr>
        <w:t> </w:t>
      </w:r>
      <w:r w:rsidRPr="007A483F">
        <w:rPr>
          <w:rFonts w:eastAsia="Times New Roman"/>
          <w:szCs w:val="22"/>
          <w:lang w:val="ru-RU" w:eastAsia="en-US"/>
        </w:rPr>
        <w:t>(</w:t>
      </w:r>
      <w:r w:rsidRPr="00572CE7">
        <w:rPr>
          <w:rFonts w:eastAsia="Times New Roman"/>
          <w:szCs w:val="22"/>
          <w:lang w:val="en-AU" w:eastAsia="en-US"/>
        </w:rPr>
        <w:t>f</w:t>
      </w:r>
      <w:r w:rsidRPr="007A483F">
        <w:rPr>
          <w:rFonts w:eastAsia="Times New Roman"/>
          <w:szCs w:val="22"/>
          <w:lang w:val="ru-RU" w:eastAsia="en-US"/>
        </w:rPr>
        <w:t>)</w:t>
      </w:r>
      <w:r w:rsidRPr="00572CE7">
        <w:rPr>
          <w:rFonts w:eastAsia="Times New Roman"/>
          <w:szCs w:val="22"/>
          <w:lang w:val="ru-RU" w:eastAsia="en-US"/>
        </w:rPr>
        <w:t xml:space="preserve"> статьи 6 Нагойского протокола требуют от заявителей раскрытия коренного народа или местной общины, у которых получен ГР.  В этих случаях, которые приведены в качестве примеров, источниками, отвечающими требованиям раскрытия, будут, соответственно, Многосторонняя система МДГРПСХ или определенная община</w:t>
      </w:r>
      <w:r w:rsidR="004117AB" w:rsidRPr="004806AD">
        <w:rPr>
          <w:szCs w:val="22"/>
          <w:lang w:val="ru-RU"/>
        </w:rPr>
        <w:t>.</w:t>
      </w:r>
    </w:p>
    <w:p w14:paraId="0A4CA7FD" w14:textId="77777777" w:rsidR="00D47884" w:rsidRPr="004806AD" w:rsidRDefault="00D47884" w:rsidP="00C97666">
      <w:pPr>
        <w:ind w:left="907"/>
        <w:rPr>
          <w:iCs/>
          <w:szCs w:val="22"/>
          <w:lang w:val="ru-RU"/>
        </w:rPr>
      </w:pPr>
    </w:p>
    <w:p w14:paraId="0E370EC7" w14:textId="0ABE1BCA" w:rsidR="004117AB" w:rsidRPr="004806AD" w:rsidRDefault="002C6028" w:rsidP="00C97666">
      <w:pPr>
        <w:ind w:left="907"/>
        <w:rPr>
          <w:szCs w:val="22"/>
          <w:lang w:val="ru-RU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связанных с ГР ТЗ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подпункт </w:t>
      </w:r>
      <w:r w:rsidRPr="007A483F">
        <w:rPr>
          <w:rFonts w:eastAsia="Times New Roman"/>
          <w:szCs w:val="22"/>
          <w:lang w:val="ru-RU" w:eastAsia="en-US"/>
        </w:rPr>
        <w:t>3.2(</w:t>
      </w:r>
      <w:r w:rsidRPr="00572CE7">
        <w:rPr>
          <w:rFonts w:eastAsia="Times New Roman"/>
          <w:szCs w:val="22"/>
          <w:lang w:val="en-AU" w:eastAsia="en-US"/>
        </w:rPr>
        <w:t>b</w:t>
      </w:r>
      <w:r w:rsidRPr="007A483F">
        <w:rPr>
          <w:rFonts w:eastAsia="Times New Roman"/>
          <w:szCs w:val="22"/>
          <w:lang w:val="ru-RU" w:eastAsia="en-US"/>
        </w:rPr>
        <w:t>)</w:t>
      </w:r>
      <w:r w:rsidRPr="00572CE7">
        <w:rPr>
          <w:rFonts w:eastAsia="Times New Roman"/>
          <w:szCs w:val="22"/>
          <w:lang w:val="ru-RU" w:eastAsia="en-US"/>
        </w:rPr>
        <w:t xml:space="preserve"> предусматривает гибкость, например, в тех </w:t>
      </w:r>
      <w:proofErr w:type="gramStart"/>
      <w:r w:rsidRPr="00572CE7">
        <w:rPr>
          <w:rFonts w:eastAsia="Times New Roman"/>
          <w:szCs w:val="22"/>
          <w:lang w:val="ru-RU" w:eastAsia="en-US"/>
        </w:rPr>
        <w:t>случаях</w:t>
      </w:r>
      <w:proofErr w:type="gramEnd"/>
      <w:r w:rsidRPr="00572CE7">
        <w:rPr>
          <w:rFonts w:eastAsia="Times New Roman"/>
          <w:szCs w:val="22"/>
          <w:lang w:val="ru-RU" w:eastAsia="en-US"/>
        </w:rPr>
        <w:t xml:space="preserve"> когда не удается определить принадлежность ТЗ одному коренному народу или одной местной общине или когда коренной народ или местная община не хотят быть указанными в патентной заявке.  Это положение также охватывает ситуации, когда ТЗ получено из определенной публикации, в которой не упомянуто название коренного народа, обладающего этим знанием</w:t>
      </w:r>
      <w:r w:rsidR="004117AB" w:rsidRPr="004806AD">
        <w:rPr>
          <w:szCs w:val="22"/>
          <w:lang w:val="ru-RU"/>
        </w:rPr>
        <w:t>.</w:t>
      </w:r>
    </w:p>
    <w:p w14:paraId="3A3CC011" w14:textId="77777777" w:rsidR="002C6028" w:rsidRPr="004806AD" w:rsidRDefault="002C6028" w:rsidP="00C97666">
      <w:pPr>
        <w:ind w:left="907"/>
        <w:rPr>
          <w:iCs/>
          <w:szCs w:val="22"/>
          <w:lang w:val="ru-RU"/>
        </w:rPr>
      </w:pPr>
    </w:p>
    <w:p w14:paraId="713EA2CF" w14:textId="2AF777EA" w:rsidR="004117AB" w:rsidRPr="004806AD" w:rsidRDefault="00C97666" w:rsidP="000B4B32">
      <w:pPr>
        <w:pStyle w:val="ListParagraph"/>
        <w:numPr>
          <w:ilvl w:val="0"/>
          <w:numId w:val="9"/>
        </w:numPr>
        <w:ind w:left="907" w:hanging="547"/>
        <w:contextualSpacing w:val="0"/>
        <w:rPr>
          <w:lang w:val="ru-RU"/>
        </w:rPr>
      </w:pPr>
      <w:r w:rsidRPr="00572CE7">
        <w:rPr>
          <w:rFonts w:eastAsia="Times New Roman"/>
          <w:szCs w:val="22"/>
          <w:lang w:val="ru-RU" w:eastAsia="en-US"/>
        </w:rPr>
        <w:t>Пункт </w:t>
      </w:r>
      <w:r w:rsidRPr="00572CE7">
        <w:rPr>
          <w:rFonts w:eastAsia="Times New Roman"/>
          <w:szCs w:val="22"/>
          <w:lang w:val="sv-SE" w:eastAsia="en-US"/>
        </w:rPr>
        <w:t xml:space="preserve">3.3 </w:t>
      </w:r>
      <w:r w:rsidRPr="00572CE7">
        <w:rPr>
          <w:rFonts w:eastAsia="Times New Roman"/>
          <w:szCs w:val="22"/>
          <w:lang w:val="ru-RU" w:eastAsia="en-US"/>
        </w:rPr>
        <w:t xml:space="preserve">применяется в том случае, если патентному заявителю не известны сведения, указанные в пунктах </w:t>
      </w:r>
      <w:r w:rsidRPr="00572CE7">
        <w:rPr>
          <w:rFonts w:eastAsia="Times New Roman"/>
          <w:szCs w:val="22"/>
          <w:lang w:val="sv-SE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572CE7">
        <w:rPr>
          <w:rFonts w:eastAsia="Times New Roman"/>
          <w:szCs w:val="22"/>
          <w:lang w:val="sv-SE" w:eastAsia="en-US"/>
        </w:rPr>
        <w:t>/</w:t>
      </w:r>
      <w:r w:rsidRPr="00572CE7">
        <w:rPr>
          <w:rFonts w:eastAsia="Times New Roman"/>
          <w:szCs w:val="22"/>
          <w:lang w:val="ru-RU" w:eastAsia="en-US"/>
        </w:rPr>
        <w:t>или</w:t>
      </w:r>
      <w:r w:rsidRPr="00572CE7">
        <w:rPr>
          <w:rFonts w:eastAsia="Times New Roman"/>
          <w:szCs w:val="22"/>
          <w:lang w:val="sv-SE" w:eastAsia="en-US"/>
        </w:rPr>
        <w:t xml:space="preserve"> 3.2.  </w:t>
      </w:r>
      <w:r w:rsidRPr="00572CE7">
        <w:rPr>
          <w:rFonts w:eastAsia="Times New Roman"/>
          <w:szCs w:val="22"/>
          <w:lang w:val="ru-RU" w:eastAsia="en-US"/>
        </w:rPr>
        <w:t>В такой ситуации заявитель делает заявление о том, что соответствующая информация неизвестна.  Этот пункт не является альтернативой пункту</w:t>
      </w:r>
      <w:r w:rsidRPr="00572CE7">
        <w:rPr>
          <w:rFonts w:eastAsia="Times New Roman"/>
          <w:szCs w:val="22"/>
          <w:lang w:val="sv-SE" w:eastAsia="en-US"/>
        </w:rPr>
        <w:t xml:space="preserve"> 3.1 </w:t>
      </w:r>
      <w:r w:rsidRPr="00572CE7">
        <w:rPr>
          <w:rFonts w:eastAsia="Times New Roman"/>
          <w:szCs w:val="22"/>
          <w:lang w:val="ru-RU" w:eastAsia="en-US"/>
        </w:rPr>
        <w:t>или</w:t>
      </w:r>
      <w:r w:rsidRPr="00572CE7">
        <w:rPr>
          <w:rFonts w:eastAsia="Times New Roman"/>
          <w:szCs w:val="22"/>
          <w:lang w:val="sv-SE" w:eastAsia="en-US"/>
        </w:rPr>
        <w:t xml:space="preserve"> 3.2, </w:t>
      </w:r>
      <w:r w:rsidRPr="00572CE7">
        <w:rPr>
          <w:rFonts w:eastAsia="Times New Roman"/>
          <w:szCs w:val="22"/>
          <w:lang w:val="ru-RU" w:eastAsia="en-US"/>
        </w:rPr>
        <w:t xml:space="preserve">он применяется только тогда, когда информация, изложенная в пунктах </w:t>
      </w:r>
      <w:r w:rsidRPr="00572CE7">
        <w:rPr>
          <w:rFonts w:eastAsia="Times New Roman"/>
          <w:szCs w:val="22"/>
          <w:lang w:val="sv-SE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572CE7">
        <w:rPr>
          <w:rFonts w:eastAsia="Times New Roman"/>
          <w:szCs w:val="22"/>
          <w:lang w:val="sv-SE" w:eastAsia="en-US"/>
        </w:rPr>
        <w:t>/</w:t>
      </w:r>
      <w:r w:rsidRPr="00572CE7">
        <w:rPr>
          <w:rFonts w:eastAsia="Times New Roman"/>
          <w:szCs w:val="22"/>
          <w:lang w:val="ru-RU" w:eastAsia="en-US"/>
        </w:rPr>
        <w:t>или</w:t>
      </w:r>
      <w:r w:rsidRPr="00572CE7">
        <w:rPr>
          <w:rFonts w:eastAsia="Times New Roman"/>
          <w:szCs w:val="22"/>
          <w:lang w:val="sv-SE" w:eastAsia="en-US"/>
        </w:rPr>
        <w:t xml:space="preserve"> 3.2</w:t>
      </w:r>
      <w:r w:rsidRPr="00572CE7">
        <w:rPr>
          <w:rFonts w:eastAsia="Times New Roman"/>
          <w:szCs w:val="22"/>
          <w:lang w:val="ru-RU" w:eastAsia="en-US"/>
        </w:rPr>
        <w:t xml:space="preserve">, не известна патентному заявителю.  Это позволяет патентным заявителям испрашивать патент даже в тех случаях, когда по обоснованным причинам и в редчайших обстоятельствах </w:t>
      </w:r>
      <w:r w:rsidRPr="00572CE7">
        <w:rPr>
          <w:rFonts w:eastAsia="Times New Roman"/>
          <w:szCs w:val="22"/>
          <w:lang w:val="ru-RU" w:eastAsia="en-US"/>
        </w:rPr>
        <w:lastRenderedPageBreak/>
        <w:t xml:space="preserve">они не имеют необходимую информацию, </w:t>
      </w:r>
      <w:proofErr w:type="gramStart"/>
      <w:r w:rsidRPr="00572CE7">
        <w:rPr>
          <w:rFonts w:eastAsia="Times New Roman"/>
          <w:szCs w:val="22"/>
          <w:lang w:val="ru-RU" w:eastAsia="en-US"/>
        </w:rPr>
        <w:t>например потому что</w:t>
      </w:r>
      <w:proofErr w:type="gramEnd"/>
      <w:r w:rsidRPr="00572CE7">
        <w:rPr>
          <w:rFonts w:eastAsia="Times New Roman"/>
          <w:szCs w:val="22"/>
          <w:lang w:val="ru-RU" w:eastAsia="en-US"/>
        </w:rPr>
        <w:t xml:space="preserve"> невозможно выяснить происхождение ГР из-за уничтожения соответствующих документов в результате форс-мажора</w:t>
      </w:r>
      <w:r w:rsidR="004117AB" w:rsidRPr="004806AD">
        <w:rPr>
          <w:lang w:val="ru-RU"/>
        </w:rPr>
        <w:t>.</w:t>
      </w:r>
    </w:p>
    <w:p w14:paraId="78EC49D5" w14:textId="77777777" w:rsidR="000E7B49" w:rsidRPr="004806AD" w:rsidRDefault="000E7B49" w:rsidP="000E7B49">
      <w:pPr>
        <w:rPr>
          <w:lang w:val="ru-RU"/>
        </w:rPr>
      </w:pPr>
    </w:p>
    <w:p w14:paraId="0AF8DA16" w14:textId="008A12D5" w:rsidR="004117AB" w:rsidRPr="004806AD" w:rsidRDefault="004117AB" w:rsidP="004117AB">
      <w:pPr>
        <w:rPr>
          <w:szCs w:val="22"/>
          <w:lang w:val="ru-RU"/>
        </w:rPr>
      </w:pPr>
      <w:r w:rsidRPr="004806AD">
        <w:rPr>
          <w:szCs w:val="22"/>
          <w:lang w:val="ru-RU"/>
        </w:rPr>
        <w:t>7.</w:t>
      </w:r>
      <w:r w:rsidRPr="004806AD">
        <w:rPr>
          <w:szCs w:val="22"/>
          <w:lang w:val="ru-RU"/>
        </w:rPr>
        <w:tab/>
      </w:r>
      <w:r w:rsidR="000E7B49" w:rsidRPr="00572CE7">
        <w:rPr>
          <w:rFonts w:eastAsia="Times New Roman"/>
          <w:szCs w:val="22"/>
          <w:lang w:val="ru-RU" w:eastAsia="en-US"/>
        </w:rPr>
        <w:t>В пункте </w:t>
      </w:r>
      <w:r w:rsidR="000E7B49" w:rsidRPr="007A483F">
        <w:rPr>
          <w:rFonts w:eastAsia="Times New Roman"/>
          <w:szCs w:val="22"/>
          <w:lang w:val="ru-RU" w:eastAsia="en-US"/>
        </w:rPr>
        <w:t>3.5</w:t>
      </w:r>
      <w:r w:rsidR="000E7B49" w:rsidRPr="00572CE7">
        <w:rPr>
          <w:rFonts w:eastAsia="Times New Roman"/>
          <w:szCs w:val="22"/>
          <w:lang w:val="ru-RU" w:eastAsia="en-US"/>
        </w:rPr>
        <w:t xml:space="preserve"> прямо указано, что Договаривающиеся стороны не налагают на патентные ведомства обязательство проверять достоверность раскрытия.  Эта статья призвана максимально уменьшить операционные издержки патентных ведомств и нагрузку на них, обусловленные применением режима раскрытия, а также создать условия для того, чтобы режим не провоцировал необоснованные задержки в делопроизводстве патентных заявок.  Она также признает, что патентные ведомства не имеют внутрисистемного опыта для такой работы</w:t>
      </w:r>
      <w:r w:rsidRPr="004806AD">
        <w:rPr>
          <w:szCs w:val="22"/>
          <w:lang w:val="ru-RU"/>
        </w:rPr>
        <w:t>.</w:t>
      </w:r>
    </w:p>
    <w:p w14:paraId="07D32D47" w14:textId="77777777" w:rsidR="004117AB" w:rsidRPr="004806AD" w:rsidRDefault="004117AB" w:rsidP="004117AB">
      <w:pPr>
        <w:rPr>
          <w:szCs w:val="22"/>
          <w:lang w:val="ru-RU"/>
        </w:rPr>
      </w:pPr>
    </w:p>
    <w:p w14:paraId="4B7CA182" w14:textId="0A28E9C8" w:rsidR="009C7339" w:rsidRPr="004806AD" w:rsidRDefault="004117AB" w:rsidP="004117AB">
      <w:pPr>
        <w:rPr>
          <w:szCs w:val="22"/>
          <w:lang w:val="ru-RU"/>
        </w:rPr>
      </w:pPr>
      <w:r w:rsidRPr="004806AD">
        <w:rPr>
          <w:szCs w:val="22"/>
          <w:lang w:val="ru-RU"/>
        </w:rPr>
        <w:t>8.</w:t>
      </w:r>
      <w:r w:rsidRPr="004806AD">
        <w:rPr>
          <w:szCs w:val="22"/>
          <w:lang w:val="ru-RU"/>
        </w:rPr>
        <w:tab/>
      </w:r>
      <w:r w:rsidR="009C7339" w:rsidRPr="00572CE7">
        <w:rPr>
          <w:rFonts w:eastAsia="Times New Roman"/>
          <w:szCs w:val="22"/>
          <w:lang w:val="ru-RU" w:eastAsia="en-US"/>
        </w:rPr>
        <w:t>Вопрос конкретного объема режима раскрытия – это требование о том, чтобы заявитель обнародовал источник ТЗ, связанных с ГР, если ему известно, что изобретение в существенной степени</w:t>
      </w:r>
      <w:r w:rsidR="009C7339" w:rsidRPr="007A483F">
        <w:rPr>
          <w:rFonts w:eastAsia="Times New Roman"/>
          <w:szCs w:val="22"/>
          <w:lang w:val="ru-RU" w:eastAsia="en-US"/>
        </w:rPr>
        <w:t>/</w:t>
      </w:r>
      <w:r w:rsidR="009C7339" w:rsidRPr="00572CE7">
        <w:rPr>
          <w:rFonts w:eastAsia="Times New Roman"/>
          <w:szCs w:val="22"/>
          <w:lang w:val="ru-RU" w:eastAsia="en-US"/>
        </w:rPr>
        <w:t>непосредственно основано на таких ТЗ.  Я помню о том, что, по мнению ряда членов Комитета, необходимо дополнительно подробно обсудить концепцию ТЗ, прежде чем включать ссылки на ТЗ в режим раскрытия.  Однако в свете того, что другие международные документы ссылаются на ТЗ, хотя и необязательно дают определение этого термина, и учитывая цели настоящего документа и текущие изменения в данной области этот предметный вопрос сохранен в тексте</w:t>
      </w:r>
      <w:r w:rsidRPr="004806AD">
        <w:rPr>
          <w:szCs w:val="22"/>
          <w:lang w:val="ru-RU"/>
        </w:rPr>
        <w:t>.</w:t>
      </w:r>
    </w:p>
    <w:p w14:paraId="6720ACD1" w14:textId="77777777" w:rsidR="009C7339" w:rsidRPr="004806AD" w:rsidRDefault="009C7339" w:rsidP="004117AB">
      <w:pPr>
        <w:rPr>
          <w:szCs w:val="22"/>
          <w:lang w:val="ru-RU"/>
        </w:rPr>
      </w:pPr>
    </w:p>
    <w:p w14:paraId="55C930EF" w14:textId="77777777" w:rsidR="009C7339" w:rsidRPr="004806AD" w:rsidRDefault="009C7339">
      <w:pPr>
        <w:rPr>
          <w:szCs w:val="22"/>
          <w:lang w:val="ru-RU"/>
        </w:rPr>
      </w:pPr>
      <w:r w:rsidRPr="004806AD">
        <w:rPr>
          <w:szCs w:val="22"/>
          <w:lang w:val="ru-RU"/>
        </w:rPr>
        <w:br w:type="page"/>
      </w:r>
    </w:p>
    <w:p w14:paraId="4F7B8104" w14:textId="4A556120" w:rsidR="004117AB" w:rsidRPr="004806AD" w:rsidRDefault="00B60239" w:rsidP="004117AB">
      <w:pPr>
        <w:rPr>
          <w:szCs w:val="22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4117AB" w:rsidRPr="004806AD">
        <w:rPr>
          <w:szCs w:val="22"/>
          <w:u w:val="single"/>
          <w:lang w:val="ru-RU"/>
        </w:rPr>
        <w:t>5</w:t>
      </w:r>
      <w:r w:rsidR="004117AB" w:rsidRPr="004806AD">
        <w:rPr>
          <w:szCs w:val="22"/>
          <w:u w:val="single"/>
          <w:lang w:val="ru-RU"/>
        </w:rPr>
        <w:br/>
      </w:r>
    </w:p>
    <w:p w14:paraId="50115D67" w14:textId="180AE916" w:rsidR="004117AB" w:rsidRPr="004806AD" w:rsidRDefault="00B60239" w:rsidP="004117AB">
      <w:pPr>
        <w:rPr>
          <w:szCs w:val="22"/>
          <w:lang w:val="ru-RU"/>
        </w:rPr>
      </w:pPr>
      <w:r w:rsidRPr="00054217">
        <w:rPr>
          <w:szCs w:val="22"/>
          <w:lang w:val="ru-RU"/>
        </w:rPr>
        <w:t>Эта статья признает, что для сохранения правовой определенности в рамках патентной системы необходимо положение об отсутствии обратной силы.  В то же время она признает наличие на национальном и региональном уровнях ряда обязательных режимов раскрытия</w:t>
      </w:r>
      <w:r w:rsidR="004117AB" w:rsidRPr="004806AD">
        <w:rPr>
          <w:szCs w:val="22"/>
          <w:lang w:val="ru-RU"/>
        </w:rPr>
        <w:t>.</w:t>
      </w:r>
    </w:p>
    <w:p w14:paraId="1CF4E155" w14:textId="6EE5F695" w:rsidR="004117AB" w:rsidRPr="004806AD" w:rsidRDefault="004117AB" w:rsidP="004117AB">
      <w:pPr>
        <w:spacing w:after="220"/>
        <w:rPr>
          <w:lang w:val="ru-RU"/>
        </w:rPr>
      </w:pPr>
    </w:p>
    <w:p w14:paraId="0731A526" w14:textId="16994F64" w:rsidR="004117AB" w:rsidRPr="004806AD" w:rsidRDefault="004117AB">
      <w:pPr>
        <w:rPr>
          <w:lang w:val="ru-RU"/>
        </w:rPr>
      </w:pPr>
      <w:r w:rsidRPr="004806AD">
        <w:rPr>
          <w:lang w:val="ru-RU"/>
        </w:rPr>
        <w:br w:type="page"/>
      </w:r>
    </w:p>
    <w:p w14:paraId="5E1CAA4F" w14:textId="60237C72" w:rsidR="004117AB" w:rsidRPr="004806AD" w:rsidRDefault="00A46840" w:rsidP="004117AB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4117AB" w:rsidRPr="004806AD">
        <w:rPr>
          <w:szCs w:val="22"/>
          <w:u w:val="single"/>
          <w:lang w:val="ru-RU"/>
        </w:rPr>
        <w:t>6</w:t>
      </w:r>
    </w:p>
    <w:p w14:paraId="062300AE" w14:textId="77777777" w:rsidR="00A46840" w:rsidRPr="007A483F" w:rsidRDefault="00A46840" w:rsidP="00A46840">
      <w:pPr>
        <w:rPr>
          <w:szCs w:val="22"/>
          <w:u w:val="single"/>
          <w:lang w:val="ru-RU"/>
        </w:rPr>
      </w:pPr>
    </w:p>
    <w:p w14:paraId="07DDCFE8" w14:textId="77777777" w:rsidR="00A46840" w:rsidRPr="007A483F" w:rsidRDefault="00A46840" w:rsidP="00A46840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1.</w:t>
      </w:r>
      <w:r w:rsidRPr="007A483F">
        <w:rPr>
          <w:rFonts w:eastAsia="Times New Roman"/>
          <w:szCs w:val="22"/>
          <w:lang w:val="ru-RU" w:eastAsia="en-US"/>
        </w:rPr>
        <w:tab/>
      </w:r>
      <w:r w:rsidRPr="00544160">
        <w:rPr>
          <w:rFonts w:eastAsia="Times New Roman"/>
          <w:szCs w:val="22"/>
          <w:lang w:val="ru-RU" w:eastAsia="en-US"/>
        </w:rPr>
        <w:t xml:space="preserve">Пункт </w:t>
      </w:r>
      <w:r w:rsidRPr="007A483F">
        <w:rPr>
          <w:rFonts w:eastAsia="Times New Roman"/>
          <w:szCs w:val="22"/>
          <w:lang w:val="ru-RU" w:eastAsia="en-US"/>
        </w:rPr>
        <w:t>6.1</w:t>
      </w:r>
      <w:r w:rsidRPr="00544160">
        <w:rPr>
          <w:rFonts w:eastAsia="Times New Roman"/>
          <w:szCs w:val="22"/>
          <w:lang w:val="ru-RU" w:eastAsia="en-US"/>
        </w:rPr>
        <w:t xml:space="preserve"> требует от каждой стороны принятия надлежащих и эффективных правовых, административных 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44160">
        <w:rPr>
          <w:rFonts w:eastAsia="Times New Roman"/>
          <w:szCs w:val="22"/>
          <w:lang w:val="ru-RU" w:eastAsia="en-US"/>
        </w:rPr>
        <w:t>или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44160">
        <w:rPr>
          <w:rFonts w:eastAsia="Times New Roman"/>
          <w:szCs w:val="22"/>
          <w:lang w:val="ru-RU" w:eastAsia="en-US"/>
        </w:rPr>
        <w:t>директивных мер для борьбы с несоблюдением требования о раскрытии, предусмотренного в статье </w:t>
      </w:r>
      <w:r w:rsidRPr="007A483F">
        <w:rPr>
          <w:rFonts w:eastAsia="Times New Roman"/>
          <w:szCs w:val="22"/>
          <w:lang w:val="ru-RU" w:eastAsia="en-US"/>
        </w:rPr>
        <w:t xml:space="preserve">3.  </w:t>
      </w:r>
      <w:r w:rsidRPr="00544160">
        <w:rPr>
          <w:rFonts w:eastAsia="Times New Roman"/>
          <w:szCs w:val="22"/>
          <w:lang w:val="ru-RU" w:eastAsia="en-US"/>
        </w:rPr>
        <w:t>Это положение оставляет на усмотрение сторон решение вопроса о том, какие меры являются надлежащими, эффективными и соразмерными.  Такие меры могут включать санкции на этапе до выдачи патента, такие как временное прекращение дальнейшего делопроизводства по патентной заявке до тех пор, пока требование о раскрытии не будет выполнено, или отзыв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44160">
        <w:rPr>
          <w:rFonts w:eastAsia="Times New Roman"/>
          <w:szCs w:val="22"/>
          <w:lang w:val="ru-RU" w:eastAsia="en-US"/>
        </w:rPr>
        <w:t>отклонение заявки, если заявитель не может или отказывается представить минимальную информацию, указанную в статье </w:t>
      </w:r>
      <w:r w:rsidRPr="007A483F">
        <w:rPr>
          <w:rFonts w:eastAsia="Times New Roman"/>
          <w:szCs w:val="22"/>
          <w:lang w:val="ru-RU" w:eastAsia="en-US"/>
        </w:rPr>
        <w:t>3</w:t>
      </w:r>
      <w:r w:rsidRPr="00544160">
        <w:rPr>
          <w:rFonts w:eastAsia="Times New Roman"/>
          <w:szCs w:val="22"/>
          <w:lang w:val="ru-RU" w:eastAsia="en-US"/>
        </w:rPr>
        <w:t>, в течение срока, определенного на национальном уровне.  Эти меры могут также включать санкции на этапе после выдачи патента, например штрафы за преднамеренное несоблюдение требования о раскрытии необходимой информации или умышленное представление неверной информации, а также публикация судебного постановления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637DAFB3" w14:textId="77777777" w:rsidR="00A46840" w:rsidRPr="007A483F" w:rsidRDefault="00A46840" w:rsidP="00A46840">
      <w:pPr>
        <w:rPr>
          <w:rFonts w:eastAsia="Times New Roman"/>
          <w:szCs w:val="22"/>
          <w:lang w:val="ru-RU" w:eastAsia="en-US"/>
        </w:rPr>
      </w:pPr>
    </w:p>
    <w:p w14:paraId="67CA5D9C" w14:textId="77777777" w:rsidR="00A46840" w:rsidRPr="007A483F" w:rsidRDefault="00A46840" w:rsidP="00A46840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2.</w:t>
      </w:r>
      <w:r w:rsidRPr="007A483F">
        <w:rPr>
          <w:rFonts w:eastAsia="Times New Roman"/>
          <w:szCs w:val="22"/>
          <w:lang w:val="ru-RU" w:eastAsia="en-US"/>
        </w:rPr>
        <w:tab/>
      </w:r>
      <w:r w:rsidRPr="00544160">
        <w:rPr>
          <w:rFonts w:eastAsia="Times New Roman"/>
          <w:szCs w:val="22"/>
          <w:lang w:val="ru-RU" w:eastAsia="en-US"/>
        </w:rPr>
        <w:t>В пункте </w:t>
      </w:r>
      <w:r w:rsidRPr="007A483F">
        <w:rPr>
          <w:rFonts w:eastAsia="Times New Roman"/>
          <w:szCs w:val="22"/>
          <w:lang w:val="ru-RU" w:eastAsia="en-US"/>
        </w:rPr>
        <w:t xml:space="preserve">6.2 </w:t>
      </w:r>
      <w:r w:rsidRPr="00544160">
        <w:rPr>
          <w:rFonts w:eastAsia="Times New Roman"/>
          <w:szCs w:val="22"/>
          <w:lang w:val="ru-RU" w:eastAsia="en-US"/>
        </w:rPr>
        <w:t>предусмотрена первоначальная возможность для заявителя, непреднамеренно не представившего минимальную информацию, указанную в статье 3, выполнить требование о раскрытии.  Срок для устранения этого несоблюдения правил будет определяться с учетом национальных патентных законов.  См. также пункт 4 статьи 3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597625FA" w14:textId="77777777" w:rsidR="00A46840" w:rsidRPr="007A483F" w:rsidRDefault="00A46840" w:rsidP="00A46840">
      <w:pPr>
        <w:rPr>
          <w:rFonts w:eastAsia="Times New Roman"/>
          <w:szCs w:val="22"/>
          <w:lang w:val="ru-RU" w:eastAsia="en-US"/>
        </w:rPr>
      </w:pPr>
    </w:p>
    <w:p w14:paraId="249BCEC6" w14:textId="77777777" w:rsidR="00A46840" w:rsidRPr="007A483F" w:rsidRDefault="00A46840" w:rsidP="00A46840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3.</w:t>
      </w:r>
      <w:r w:rsidRPr="007A483F">
        <w:rPr>
          <w:rFonts w:eastAsia="Times New Roman"/>
          <w:szCs w:val="22"/>
          <w:lang w:val="ru-RU" w:eastAsia="en-US"/>
        </w:rPr>
        <w:tab/>
      </w:r>
      <w:r w:rsidRPr="00544160">
        <w:rPr>
          <w:rFonts w:eastAsia="Times New Roman"/>
          <w:szCs w:val="22"/>
          <w:lang w:val="ru-RU" w:eastAsia="en-US"/>
        </w:rPr>
        <w:t>В пункте </w:t>
      </w:r>
      <w:r w:rsidRPr="007A483F">
        <w:rPr>
          <w:rFonts w:eastAsia="Times New Roman"/>
          <w:szCs w:val="22"/>
          <w:lang w:val="ru-RU" w:eastAsia="en-US"/>
        </w:rPr>
        <w:t xml:space="preserve">6.3 </w:t>
      </w:r>
      <w:r w:rsidRPr="00544160">
        <w:rPr>
          <w:rFonts w:eastAsia="Times New Roman"/>
          <w:szCs w:val="22"/>
          <w:lang w:val="ru-RU" w:eastAsia="en-US"/>
        </w:rPr>
        <w:t>предлагается предельный уровень несоблюдения обязательств по раскрытию, указанных в статье </w:t>
      </w:r>
      <w:r w:rsidRPr="007A483F">
        <w:rPr>
          <w:rFonts w:eastAsia="Times New Roman"/>
          <w:szCs w:val="22"/>
          <w:lang w:val="ru-RU" w:eastAsia="en-US"/>
        </w:rPr>
        <w:t xml:space="preserve">3.  </w:t>
      </w:r>
      <w:r w:rsidRPr="00544160">
        <w:rPr>
          <w:rFonts w:eastAsia="Times New Roman"/>
          <w:szCs w:val="22"/>
          <w:lang w:val="ru-RU" w:eastAsia="en-US"/>
        </w:rPr>
        <w:t xml:space="preserve">Это положение призвано гарантировать, что патенты не будут аннулированы или не будут объявлены утратившими силу </w:t>
      </w:r>
      <w:r w:rsidRPr="00544160">
        <w:rPr>
          <w:rFonts w:eastAsia="Times New Roman"/>
          <w:b/>
          <w:szCs w:val="22"/>
          <w:lang w:val="ru-RU" w:eastAsia="en-US"/>
        </w:rPr>
        <w:t>исключительно</w:t>
      </w:r>
      <w:r w:rsidRPr="00544160">
        <w:rPr>
          <w:rFonts w:eastAsia="Times New Roman"/>
          <w:szCs w:val="22"/>
          <w:lang w:val="ru-RU" w:eastAsia="en-US"/>
        </w:rPr>
        <w:t xml:space="preserve"> на основании того, что заявитель не представил информацию, указанную в статье </w:t>
      </w:r>
      <w:r w:rsidRPr="007A483F">
        <w:rPr>
          <w:rFonts w:eastAsia="Times New Roman"/>
          <w:szCs w:val="22"/>
          <w:lang w:val="ru-RU" w:eastAsia="en-US"/>
        </w:rPr>
        <w:t xml:space="preserve">3 </w:t>
      </w:r>
      <w:r w:rsidRPr="00544160">
        <w:rPr>
          <w:rFonts w:eastAsia="Times New Roman"/>
          <w:szCs w:val="22"/>
          <w:lang w:val="ru-RU" w:eastAsia="en-US"/>
        </w:rPr>
        <w:t>настоящего документа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  <w:r w:rsidRPr="00544160">
        <w:rPr>
          <w:rFonts w:eastAsia="Times New Roman"/>
          <w:szCs w:val="22"/>
          <w:lang w:val="ru-RU" w:eastAsia="en-US"/>
        </w:rPr>
        <w:t>Это важный момент с точки зрения гарантий правовой определенности патентным заявителям.  Кроме того, это способствует совместному пользованию выгодами, поскольку аннулирование патента по причине несоблюдения требования о раскрытии разрушит саму основу концепции совместного пользования выгодами, т.е. патент.  Дело в том, что изобретение, охранявшееся аннулированным патентом, становится общественным достоянием, и патентная система не приносит за него денежные выгоды.  Таким образом, аннулирование патентов или объявление их утратившими силу противоречит заявленной цели настоящего документа, призванного обеспечить эффективную и сбалансированную охрану ГР и связанных с ними ТЗ</w:t>
      </w:r>
      <w:r w:rsidRPr="007A483F">
        <w:rPr>
          <w:rFonts w:eastAsia="Times New Roman"/>
          <w:szCs w:val="22"/>
          <w:lang w:val="ru-RU" w:eastAsia="en-US"/>
        </w:rPr>
        <w:t>.</w:t>
      </w:r>
    </w:p>
    <w:p w14:paraId="08584B70" w14:textId="77777777" w:rsidR="00A46840" w:rsidRPr="007A483F" w:rsidRDefault="00A46840" w:rsidP="00A46840">
      <w:pPr>
        <w:rPr>
          <w:rFonts w:eastAsia="Times New Roman"/>
          <w:szCs w:val="22"/>
          <w:lang w:val="ru-RU" w:eastAsia="en-US"/>
        </w:rPr>
      </w:pPr>
    </w:p>
    <w:p w14:paraId="3E52C26F" w14:textId="1310316D" w:rsidR="00A46840" w:rsidRPr="007A483F" w:rsidRDefault="00A46840" w:rsidP="00A4684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7A483F">
        <w:rPr>
          <w:rFonts w:ascii="Arial" w:hAnsi="Arial" w:cs="Arial"/>
          <w:sz w:val="22"/>
          <w:szCs w:val="22"/>
          <w:lang w:val="ru-RU"/>
        </w:rPr>
        <w:t>4.</w:t>
      </w:r>
      <w:r w:rsidRPr="007A483F">
        <w:rPr>
          <w:rFonts w:ascii="Arial" w:hAnsi="Arial" w:cs="Arial"/>
          <w:sz w:val="22"/>
          <w:szCs w:val="22"/>
          <w:lang w:val="ru-RU"/>
        </w:rPr>
        <w:tab/>
      </w:r>
      <w:r w:rsidRPr="00544160">
        <w:rPr>
          <w:rFonts w:ascii="Arial" w:hAnsi="Arial" w:cs="Arial"/>
          <w:sz w:val="22"/>
          <w:szCs w:val="22"/>
          <w:lang w:val="ru-RU"/>
        </w:rPr>
        <w:t>В пункте</w:t>
      </w:r>
      <w:r w:rsidRPr="00544160">
        <w:rPr>
          <w:rFonts w:ascii="Arial" w:hAnsi="Arial" w:cs="Arial"/>
          <w:sz w:val="22"/>
          <w:szCs w:val="22"/>
          <w:lang w:val="en-US"/>
        </w:rPr>
        <w:t> </w:t>
      </w:r>
      <w:r w:rsidRPr="007A483F">
        <w:rPr>
          <w:rFonts w:ascii="Arial" w:hAnsi="Arial" w:cs="Arial"/>
          <w:sz w:val="22"/>
          <w:szCs w:val="22"/>
          <w:lang w:val="ru-RU"/>
        </w:rPr>
        <w:t xml:space="preserve">6.4 </w:t>
      </w:r>
      <w:r w:rsidRPr="00544160">
        <w:rPr>
          <w:rFonts w:ascii="Arial" w:hAnsi="Arial" w:cs="Arial"/>
          <w:sz w:val="22"/>
          <w:szCs w:val="22"/>
          <w:lang w:val="ru-RU"/>
        </w:rPr>
        <w:t>признается наличие в международных, региональных и национальных патентных режимах определенной гибкости, позволяющей аннулировать патент или уменьшить сферу его действия после выдачи в</w:t>
      </w:r>
      <w:r w:rsidRPr="007A483F">
        <w:rPr>
          <w:rFonts w:ascii="Arial" w:hAnsi="Arial" w:cs="Arial"/>
          <w:sz w:val="22"/>
          <w:szCs w:val="22"/>
          <w:lang w:val="ru-RU"/>
        </w:rPr>
        <w:t xml:space="preserve"> </w:t>
      </w:r>
      <w:r w:rsidRPr="00544160">
        <w:rPr>
          <w:rFonts w:ascii="Arial" w:hAnsi="Arial" w:cs="Arial"/>
          <w:sz w:val="22"/>
          <w:szCs w:val="22"/>
          <w:lang w:val="ru-RU"/>
        </w:rPr>
        <w:t>крайних случаях (например</w:t>
      </w:r>
      <w:r>
        <w:rPr>
          <w:rFonts w:ascii="Arial" w:hAnsi="Arial" w:cs="Arial"/>
          <w:sz w:val="22"/>
          <w:szCs w:val="22"/>
          <w:lang w:val="ru-RU"/>
        </w:rPr>
        <w:t>,</w:t>
      </w:r>
      <w:r w:rsidRPr="00544160">
        <w:rPr>
          <w:rFonts w:ascii="Arial" w:hAnsi="Arial" w:cs="Arial"/>
          <w:sz w:val="22"/>
          <w:szCs w:val="22"/>
          <w:lang w:val="ru-RU"/>
        </w:rPr>
        <w:t xml:space="preserve"> в случае представления ложной или недостоверной информации) силами самого патентного ведомства или путем обжалования в суде по инициативе третьего лица.  Пункт </w:t>
      </w:r>
      <w:r w:rsidRPr="007A483F">
        <w:rPr>
          <w:rFonts w:ascii="Arial" w:hAnsi="Arial" w:cs="Arial"/>
          <w:sz w:val="22"/>
          <w:szCs w:val="22"/>
          <w:lang w:val="ru-RU"/>
        </w:rPr>
        <w:t xml:space="preserve">6.5 </w:t>
      </w:r>
      <w:r w:rsidRPr="00544160">
        <w:rPr>
          <w:rFonts w:ascii="Arial" w:hAnsi="Arial" w:cs="Arial"/>
          <w:sz w:val="22"/>
          <w:szCs w:val="22"/>
          <w:lang w:val="ru-RU"/>
        </w:rPr>
        <w:t>признает серьезные последствия аннулирования патента для предоставившей его стороны и для пользователя и включает требование о создании механизма урегулирования споров на национальном уровне, который бы позволил всем сторонам достичь взаимоприемлемого урегулирования, например согласованного договора об уплате роялти</w:t>
      </w:r>
      <w:r w:rsidRPr="007A483F">
        <w:rPr>
          <w:rFonts w:ascii="Arial" w:hAnsi="Arial" w:cs="Arial"/>
          <w:sz w:val="22"/>
          <w:szCs w:val="22"/>
          <w:lang w:val="ru-RU"/>
        </w:rPr>
        <w:t>.</w:t>
      </w:r>
    </w:p>
    <w:p w14:paraId="07F9DF64" w14:textId="77777777" w:rsidR="00A46840" w:rsidRPr="00A46840" w:rsidRDefault="00A46840" w:rsidP="00A4684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</w:p>
    <w:p w14:paraId="322CE4D1" w14:textId="7F52E2C4" w:rsidR="004117AB" w:rsidRPr="004806AD" w:rsidRDefault="004117AB">
      <w:pPr>
        <w:rPr>
          <w:lang w:val="ru-RU"/>
        </w:rPr>
      </w:pPr>
      <w:r w:rsidRPr="004806AD">
        <w:rPr>
          <w:lang w:val="ru-RU"/>
        </w:rPr>
        <w:br w:type="page"/>
      </w:r>
    </w:p>
    <w:p w14:paraId="2823F99D" w14:textId="20273BB6" w:rsidR="00324AA2" w:rsidRPr="004806AD" w:rsidRDefault="00EB46E7" w:rsidP="00324AA2">
      <w:pPr>
        <w:keepLines/>
        <w:rPr>
          <w:rFonts w:eastAsia="Calibri"/>
          <w:szCs w:val="22"/>
          <w:u w:val="single"/>
          <w:lang w:val="ru-RU"/>
        </w:rPr>
      </w:pPr>
      <w:r>
        <w:rPr>
          <w:rFonts w:eastAsia="Calibri"/>
          <w:szCs w:val="22"/>
          <w:u w:val="single"/>
          <w:lang w:val="ru-RU"/>
        </w:rPr>
        <w:lastRenderedPageBreak/>
        <w:t>Пояснения к статье </w:t>
      </w:r>
      <w:r w:rsidR="00324AA2" w:rsidRPr="004806AD">
        <w:rPr>
          <w:rFonts w:eastAsia="Calibri"/>
          <w:szCs w:val="22"/>
          <w:u w:val="single"/>
          <w:lang w:val="ru-RU"/>
        </w:rPr>
        <w:t>9</w:t>
      </w:r>
    </w:p>
    <w:p w14:paraId="1D0FFA3B" w14:textId="77777777" w:rsidR="00EB46E7" w:rsidRPr="007A483F" w:rsidRDefault="00EB46E7" w:rsidP="00EB46E7">
      <w:pPr>
        <w:keepLines/>
        <w:rPr>
          <w:rFonts w:eastAsia="Calibri"/>
          <w:szCs w:val="22"/>
          <w:u w:val="single"/>
          <w:lang w:val="ru-RU"/>
        </w:rPr>
      </w:pPr>
    </w:p>
    <w:p w14:paraId="08FF6BE6" w14:textId="5A2A6939" w:rsidR="00EB46E7" w:rsidRPr="007A483F" w:rsidRDefault="00EB46E7" w:rsidP="00EB46E7">
      <w:pPr>
        <w:keepLines/>
        <w:rPr>
          <w:rFonts w:eastAsia="Calibri"/>
          <w:szCs w:val="22"/>
          <w:lang w:val="ru-RU"/>
        </w:rPr>
      </w:pPr>
      <w:r w:rsidRPr="007A483F">
        <w:rPr>
          <w:rFonts w:eastAsia="Calibri"/>
          <w:szCs w:val="22"/>
          <w:lang w:val="ru-RU"/>
        </w:rPr>
        <w:t>1.</w:t>
      </w:r>
      <w:r w:rsidRPr="007A483F">
        <w:rPr>
          <w:rFonts w:eastAsia="Calibri"/>
          <w:szCs w:val="22"/>
          <w:lang w:val="ru-RU"/>
        </w:rPr>
        <w:tab/>
      </w:r>
      <w:r w:rsidRPr="00FD5694">
        <w:rPr>
          <w:rFonts w:eastAsia="Calibri"/>
          <w:szCs w:val="22"/>
          <w:lang w:val="ru-RU"/>
        </w:rPr>
        <w:t xml:space="preserve">Данная статья представляет собой компромиссный текст, разработанный с тем, чтобы учесть мнение ряда членов о том, что в сферу действия этого документа должны входить и другие права и вопросы ИС.  Несмотря на это мнение, члены Комитета также признали, что главной сферой коммерческого применения ГР в рамках системы ИС является патентная система и что для определения применимости этого предмета к другим правам ИС необходимо провести дополнительный анализ.  Более того, в данной статье предпринята попытка устранить разногласия в отношении включения концепции </w:t>
      </w:r>
      <w:r>
        <w:rPr>
          <w:rFonts w:eastAsia="Calibri"/>
          <w:szCs w:val="22"/>
          <w:lang w:val="ru-RU"/>
        </w:rPr>
        <w:t>дериватов (</w:t>
      </w:r>
      <w:r w:rsidRPr="00FD5694">
        <w:rPr>
          <w:rFonts w:eastAsia="Calibri"/>
          <w:szCs w:val="22"/>
          <w:lang w:val="ru-RU"/>
        </w:rPr>
        <w:t>производных) в сферу действия настоящего документа.  Это представляется целесообразным с учетом текущих обсуждений в рамках других международных форумов</w:t>
      </w:r>
      <w:r w:rsidRPr="007A483F">
        <w:rPr>
          <w:rFonts w:eastAsia="Calibri"/>
          <w:szCs w:val="22"/>
          <w:lang w:val="ru-RU"/>
        </w:rPr>
        <w:t>.</w:t>
      </w:r>
    </w:p>
    <w:p w14:paraId="49DB0E73" w14:textId="77777777" w:rsidR="00EB46E7" w:rsidRPr="007A483F" w:rsidRDefault="00EB46E7" w:rsidP="00EB46E7">
      <w:pPr>
        <w:keepLines/>
        <w:rPr>
          <w:rFonts w:eastAsia="Calibri"/>
          <w:szCs w:val="22"/>
          <w:lang w:val="ru-RU"/>
        </w:rPr>
      </w:pPr>
    </w:p>
    <w:p w14:paraId="73C63EF2" w14:textId="28138414" w:rsidR="00EB46E7" w:rsidRPr="007A483F" w:rsidRDefault="00EB46E7" w:rsidP="00EB46E7">
      <w:pPr>
        <w:keepLines/>
        <w:rPr>
          <w:rFonts w:eastAsia="Calibri"/>
          <w:szCs w:val="22"/>
          <w:lang w:val="ru-RU"/>
        </w:rPr>
      </w:pPr>
      <w:r w:rsidRPr="007A483F">
        <w:rPr>
          <w:rFonts w:eastAsia="Calibri"/>
          <w:szCs w:val="22"/>
          <w:lang w:val="ru-RU"/>
        </w:rPr>
        <w:t>2.</w:t>
      </w:r>
      <w:r w:rsidRPr="007A483F">
        <w:rPr>
          <w:rFonts w:eastAsia="Calibri"/>
          <w:szCs w:val="22"/>
          <w:lang w:val="ru-RU"/>
        </w:rPr>
        <w:tab/>
      </w:r>
      <w:r w:rsidRPr="00FD5694">
        <w:rPr>
          <w:rFonts w:eastAsia="Calibri"/>
          <w:szCs w:val="22"/>
          <w:lang w:val="ru-RU"/>
        </w:rPr>
        <w:t>Такой подход позволит документу развиваться, поскольку делает его базовым документом, содержащим механизм для рассмотрения дополнительных вопросов в рамках</w:t>
      </w:r>
      <w:r w:rsidRPr="007A483F">
        <w:rPr>
          <w:rFonts w:eastAsia="Calibri"/>
          <w:szCs w:val="22"/>
          <w:lang w:val="ru-RU"/>
        </w:rPr>
        <w:t xml:space="preserve"> </w:t>
      </w:r>
      <w:r w:rsidRPr="00FD5694">
        <w:rPr>
          <w:rFonts w:eastAsia="Calibri"/>
          <w:szCs w:val="22"/>
          <w:lang w:val="ru-RU"/>
        </w:rPr>
        <w:t>ранее установленного срока</w:t>
      </w:r>
      <w:r w:rsidRPr="007A483F">
        <w:rPr>
          <w:rFonts w:eastAsia="Calibri"/>
          <w:szCs w:val="22"/>
          <w:lang w:val="ru-RU"/>
        </w:rPr>
        <w:t>.</w:t>
      </w:r>
    </w:p>
    <w:p w14:paraId="1769BCB5" w14:textId="77777777" w:rsidR="00EB46E7" w:rsidRPr="007A483F" w:rsidRDefault="00EB46E7" w:rsidP="00EB46E7">
      <w:pPr>
        <w:keepLines/>
        <w:rPr>
          <w:rFonts w:eastAsia="Calibri"/>
          <w:szCs w:val="22"/>
          <w:lang w:val="ru-RU"/>
        </w:rPr>
      </w:pPr>
    </w:p>
    <w:p w14:paraId="21FCF035" w14:textId="0F7ABDDD" w:rsidR="00324AA2" w:rsidRPr="00324AA2" w:rsidRDefault="00324AA2" w:rsidP="00324AA2">
      <w:pPr>
        <w:spacing w:after="220"/>
        <w:ind w:left="5533"/>
        <w:rPr>
          <w:i/>
        </w:rPr>
      </w:pPr>
      <w:r>
        <w:rPr>
          <w:szCs w:val="22"/>
        </w:rPr>
        <w:t>[</w:t>
      </w:r>
      <w:r w:rsidR="00705CD0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324AA2" w:rsidRPr="00324AA2" w:rsidSect="004117AB"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29D9" w14:textId="77777777" w:rsidR="005A0150" w:rsidRDefault="005A0150">
      <w:r>
        <w:separator/>
      </w:r>
    </w:p>
  </w:endnote>
  <w:endnote w:type="continuationSeparator" w:id="0">
    <w:p w14:paraId="5424BC59" w14:textId="77777777" w:rsidR="005A0150" w:rsidRDefault="005A0150" w:rsidP="003B38C1">
      <w:r>
        <w:separator/>
      </w:r>
    </w:p>
    <w:p w14:paraId="205A7A13" w14:textId="77777777" w:rsidR="005A0150" w:rsidRPr="003B38C1" w:rsidRDefault="005A015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BACF27B" w14:textId="77777777" w:rsidR="005A0150" w:rsidRPr="003B38C1" w:rsidRDefault="005A015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D34AF" w14:textId="77777777" w:rsidR="005A0150" w:rsidRDefault="005A0150">
      <w:r>
        <w:separator/>
      </w:r>
    </w:p>
  </w:footnote>
  <w:footnote w:type="continuationSeparator" w:id="0">
    <w:p w14:paraId="2EA5BAE0" w14:textId="77777777" w:rsidR="005A0150" w:rsidRDefault="005A0150" w:rsidP="008B60B2">
      <w:r>
        <w:separator/>
      </w:r>
    </w:p>
    <w:p w14:paraId="26FF01F0" w14:textId="77777777" w:rsidR="005A0150" w:rsidRPr="00ED77FB" w:rsidRDefault="005A015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758072B" w14:textId="77777777" w:rsidR="005A0150" w:rsidRPr="00ED77FB" w:rsidRDefault="005A015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599F05E" w14:textId="77777777" w:rsidR="007B6F45" w:rsidRPr="00F837EB" w:rsidRDefault="007B6F45" w:rsidP="007B6F45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1365AB">
        <w:rPr>
          <w:rStyle w:val="FootnoteReference"/>
          <w:sz w:val="16"/>
        </w:rPr>
        <w:footnoteRef/>
      </w:r>
      <w:r>
        <w:t xml:space="preserve"> </w:t>
      </w:r>
      <w:r w:rsidRPr="00F837EB">
        <w:rPr>
          <w:rFonts w:ascii="Times New Roman" w:hAnsi="Times New Roman" w:cs="Times New Roman"/>
          <w:sz w:val="16"/>
          <w:szCs w:val="16"/>
          <w:lang w:val="ru-RU"/>
        </w:rPr>
        <w:t>Документ</w:t>
      </w:r>
      <w:r w:rsidRPr="007A483F">
        <w:rPr>
          <w:rFonts w:ascii="Times New Roman" w:hAnsi="Times New Roman" w:cs="Times New Roman"/>
          <w:sz w:val="16"/>
          <w:szCs w:val="16"/>
        </w:rPr>
        <w:t xml:space="preserve"> </w:t>
      </w:r>
      <w:r w:rsidRPr="00F837EB">
        <w:rPr>
          <w:rFonts w:ascii="Times New Roman" w:hAnsi="Times New Roman" w:cs="Times New Roman"/>
          <w:sz w:val="16"/>
          <w:szCs w:val="16"/>
        </w:rPr>
        <w:t>WIPO/GRTKF/IC/8/11.</w:t>
      </w:r>
    </w:p>
  </w:footnote>
  <w:footnote w:id="3">
    <w:p w14:paraId="548F1455" w14:textId="77777777" w:rsidR="00F62284" w:rsidRPr="007D6FC9" w:rsidRDefault="00F62284" w:rsidP="00F62284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F837EB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837EB">
        <w:rPr>
          <w:rFonts w:ascii="Times New Roman" w:hAnsi="Times New Roman" w:cs="Times New Roman"/>
          <w:sz w:val="16"/>
          <w:szCs w:val="16"/>
        </w:rPr>
        <w:t xml:space="preserve"> Oxford Dictionary of English (3</w:t>
      </w:r>
      <w:r w:rsidRPr="00F837EB">
        <w:rPr>
          <w:rFonts w:ascii="Times New Roman" w:hAnsi="Times New Roman" w:cs="Times New Roman"/>
          <w:sz w:val="16"/>
          <w:szCs w:val="16"/>
          <w:vertAlign w:val="superscript"/>
        </w:rPr>
        <w:t>rd</w:t>
      </w:r>
      <w:r w:rsidRPr="00F837EB">
        <w:rPr>
          <w:rFonts w:ascii="Times New Roman" w:hAnsi="Times New Roman" w:cs="Times New Roman"/>
          <w:sz w:val="16"/>
          <w:szCs w:val="16"/>
        </w:rPr>
        <w:t xml:space="preserve"> Edition), (2010), OUP Oxford.</w:t>
      </w:r>
      <w:r w:rsidRPr="007D6FC9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E45D" w14:textId="3DD8E65C" w:rsidR="00D07C78" w:rsidRPr="006B2C96" w:rsidRDefault="004117AB" w:rsidP="00477D6B">
    <w:pPr>
      <w:jc w:val="right"/>
      <w:rPr>
        <w:caps/>
        <w:lang w:val="fr-FR"/>
      </w:rPr>
    </w:pPr>
    <w:bookmarkStart w:id="5" w:name="Code2"/>
    <w:bookmarkEnd w:id="5"/>
    <w:r w:rsidRPr="006B2C96">
      <w:rPr>
        <w:caps/>
        <w:lang w:val="fr-FR"/>
      </w:rPr>
      <w:t>GRATK/DC/INF/4</w:t>
    </w:r>
  </w:p>
  <w:p w14:paraId="59FCC6FC" w14:textId="27E1C4FE" w:rsidR="00D07C78" w:rsidRPr="006B2C96" w:rsidRDefault="00705CD0" w:rsidP="00477D6B">
    <w:pPr>
      <w:jc w:val="right"/>
      <w:rPr>
        <w:lang w:val="fr-FR"/>
      </w:rPr>
    </w:pPr>
    <w:r>
      <w:rPr>
        <w:lang w:val="ru-RU"/>
      </w:rPr>
      <w:t>Приложение</w:t>
    </w:r>
    <w:r w:rsidR="004117AB" w:rsidRPr="006B2C96">
      <w:rPr>
        <w:lang w:val="fr-FR"/>
      </w:rPr>
      <w:t xml:space="preserve">, </w:t>
    </w:r>
    <w:r>
      <w:rPr>
        <w:lang w:val="ru-RU"/>
      </w:rPr>
      <w:t>стр.</w:t>
    </w:r>
    <w:r w:rsidR="00D07C78" w:rsidRPr="006B2C96">
      <w:rPr>
        <w:lang w:val="fr-FR"/>
      </w:rPr>
      <w:t xml:space="preserve"> </w:t>
    </w:r>
    <w:r w:rsidR="00D07C78">
      <w:fldChar w:fldCharType="begin"/>
    </w:r>
    <w:r w:rsidR="00D07C78" w:rsidRPr="006B2C96">
      <w:rPr>
        <w:lang w:val="fr-FR"/>
      </w:rPr>
      <w:instrText xml:space="preserve"> PAGE  \* MERGEFORMAT </w:instrText>
    </w:r>
    <w:r w:rsidR="00D07C78">
      <w:fldChar w:fldCharType="separate"/>
    </w:r>
    <w:r w:rsidR="002326AB" w:rsidRPr="006B2C96">
      <w:rPr>
        <w:noProof/>
        <w:lang w:val="fr-FR"/>
      </w:rPr>
      <w:t>2</w:t>
    </w:r>
    <w:r w:rsidR="00D07C78">
      <w:fldChar w:fldCharType="end"/>
    </w:r>
  </w:p>
  <w:p w14:paraId="516A8D7C" w14:textId="77777777" w:rsidR="00D07C78" w:rsidRPr="006B2C96" w:rsidRDefault="00D07C78" w:rsidP="00477D6B">
    <w:pPr>
      <w:jc w:val="right"/>
      <w:rPr>
        <w:lang w:val="fr-FR"/>
      </w:rPr>
    </w:pPr>
  </w:p>
  <w:p w14:paraId="7FC2A303" w14:textId="77777777" w:rsidR="00D07C78" w:rsidRPr="006B2C96" w:rsidRDefault="00D07C78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9CB2" w14:textId="2DAFD986" w:rsidR="004117AB" w:rsidRDefault="004117AB" w:rsidP="004117AB">
    <w:pPr>
      <w:pStyle w:val="Header"/>
      <w:jc w:val="right"/>
    </w:pPr>
    <w:r>
      <w:t>GRATK/DC/INF/4</w:t>
    </w:r>
  </w:p>
  <w:p w14:paraId="4E38C05F" w14:textId="610EB4DC" w:rsidR="004117AB" w:rsidRDefault="00105C4B" w:rsidP="004117AB">
    <w:pPr>
      <w:pStyle w:val="Header"/>
      <w:jc w:val="right"/>
    </w:pPr>
    <w:r>
      <w:rPr>
        <w:lang w:val="ru-RU"/>
      </w:rPr>
      <w:t>ПРИЛОЖЕНИЕ</w:t>
    </w:r>
  </w:p>
  <w:p w14:paraId="4476B30C" w14:textId="18BFA389" w:rsidR="004117AB" w:rsidRDefault="004117AB" w:rsidP="004117AB">
    <w:pPr>
      <w:pStyle w:val="Header"/>
      <w:jc w:val="right"/>
    </w:pPr>
  </w:p>
  <w:p w14:paraId="0AF17FE3" w14:textId="77777777" w:rsidR="004117AB" w:rsidRDefault="004117AB" w:rsidP="004117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BD3B0C"/>
    <w:multiLevelType w:val="multilevel"/>
    <w:tmpl w:val="C0B2081C"/>
    <w:lvl w:ilvl="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7E6192"/>
    <w:multiLevelType w:val="hybridMultilevel"/>
    <w:tmpl w:val="0DCA6610"/>
    <w:lvl w:ilvl="0" w:tplc="EA70903E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81B17"/>
    <w:multiLevelType w:val="hybridMultilevel"/>
    <w:tmpl w:val="E9F8875A"/>
    <w:lvl w:ilvl="0" w:tplc="7AA8DDD0">
      <w:start w:val="1"/>
      <w:numFmt w:val="lowerLetter"/>
      <w:lvlText w:val="(%1)"/>
      <w:lvlJc w:val="left"/>
      <w:pPr>
        <w:ind w:left="1010" w:hanging="5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592477141">
    <w:abstractNumId w:val="2"/>
  </w:num>
  <w:num w:numId="2" w16cid:durableId="87777114">
    <w:abstractNumId w:val="5"/>
  </w:num>
  <w:num w:numId="3" w16cid:durableId="1510412581">
    <w:abstractNumId w:val="0"/>
  </w:num>
  <w:num w:numId="4" w16cid:durableId="1989355400">
    <w:abstractNumId w:val="6"/>
  </w:num>
  <w:num w:numId="5" w16cid:durableId="961686399">
    <w:abstractNumId w:val="1"/>
  </w:num>
  <w:num w:numId="6" w16cid:durableId="1006977770">
    <w:abstractNumId w:val="4"/>
  </w:num>
  <w:num w:numId="7" w16cid:durableId="227884198">
    <w:abstractNumId w:val="3"/>
  </w:num>
  <w:num w:numId="8" w16cid:durableId="316032902">
    <w:abstractNumId w:val="8"/>
  </w:num>
  <w:num w:numId="9" w16cid:durableId="671951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50"/>
    <w:rsid w:val="00043CAA"/>
    <w:rsid w:val="00056816"/>
    <w:rsid w:val="00075432"/>
    <w:rsid w:val="000968ED"/>
    <w:rsid w:val="000A3D97"/>
    <w:rsid w:val="000B4B32"/>
    <w:rsid w:val="000E7B49"/>
    <w:rsid w:val="000F5E56"/>
    <w:rsid w:val="000F5E88"/>
    <w:rsid w:val="00104298"/>
    <w:rsid w:val="00105C4B"/>
    <w:rsid w:val="001362EE"/>
    <w:rsid w:val="001647D5"/>
    <w:rsid w:val="001832A6"/>
    <w:rsid w:val="001D4107"/>
    <w:rsid w:val="00203D24"/>
    <w:rsid w:val="0021217E"/>
    <w:rsid w:val="002326AB"/>
    <w:rsid w:val="00243430"/>
    <w:rsid w:val="002523D4"/>
    <w:rsid w:val="002634C4"/>
    <w:rsid w:val="002928D3"/>
    <w:rsid w:val="002C6028"/>
    <w:rsid w:val="002F1FE6"/>
    <w:rsid w:val="002F3000"/>
    <w:rsid w:val="002F4E68"/>
    <w:rsid w:val="00312F7F"/>
    <w:rsid w:val="00324AA2"/>
    <w:rsid w:val="003449B5"/>
    <w:rsid w:val="00361450"/>
    <w:rsid w:val="003673CF"/>
    <w:rsid w:val="003845C1"/>
    <w:rsid w:val="003A6F89"/>
    <w:rsid w:val="003B38C1"/>
    <w:rsid w:val="003C34E9"/>
    <w:rsid w:val="003F74F3"/>
    <w:rsid w:val="004117AB"/>
    <w:rsid w:val="00423E3E"/>
    <w:rsid w:val="00427AF4"/>
    <w:rsid w:val="00430D4C"/>
    <w:rsid w:val="004627E4"/>
    <w:rsid w:val="004647DA"/>
    <w:rsid w:val="00474062"/>
    <w:rsid w:val="00477D6B"/>
    <w:rsid w:val="004806AD"/>
    <w:rsid w:val="004A5A63"/>
    <w:rsid w:val="004E6B1F"/>
    <w:rsid w:val="005019FF"/>
    <w:rsid w:val="00512BA1"/>
    <w:rsid w:val="0053057A"/>
    <w:rsid w:val="00556076"/>
    <w:rsid w:val="00560A29"/>
    <w:rsid w:val="005A0150"/>
    <w:rsid w:val="005C6649"/>
    <w:rsid w:val="005E4D72"/>
    <w:rsid w:val="005F3368"/>
    <w:rsid w:val="00605827"/>
    <w:rsid w:val="00646050"/>
    <w:rsid w:val="006713CA"/>
    <w:rsid w:val="0067171B"/>
    <w:rsid w:val="00676C5C"/>
    <w:rsid w:val="006B2C96"/>
    <w:rsid w:val="006C7AFD"/>
    <w:rsid w:val="006D17B6"/>
    <w:rsid w:val="00705CD0"/>
    <w:rsid w:val="00720EFD"/>
    <w:rsid w:val="00742F0A"/>
    <w:rsid w:val="007854AF"/>
    <w:rsid w:val="00793A7C"/>
    <w:rsid w:val="007A398A"/>
    <w:rsid w:val="007B6F45"/>
    <w:rsid w:val="007D1613"/>
    <w:rsid w:val="007E4C0E"/>
    <w:rsid w:val="00856D81"/>
    <w:rsid w:val="008731EB"/>
    <w:rsid w:val="008A134B"/>
    <w:rsid w:val="008B2CC1"/>
    <w:rsid w:val="008B60B2"/>
    <w:rsid w:val="008C24C7"/>
    <w:rsid w:val="0090731E"/>
    <w:rsid w:val="00916EE2"/>
    <w:rsid w:val="00926691"/>
    <w:rsid w:val="00966A22"/>
    <w:rsid w:val="0096722F"/>
    <w:rsid w:val="00980843"/>
    <w:rsid w:val="009C7339"/>
    <w:rsid w:val="009E2791"/>
    <w:rsid w:val="009E3F6F"/>
    <w:rsid w:val="009F499F"/>
    <w:rsid w:val="00A37342"/>
    <w:rsid w:val="00A42DAF"/>
    <w:rsid w:val="00A45BD8"/>
    <w:rsid w:val="00A46840"/>
    <w:rsid w:val="00A71A06"/>
    <w:rsid w:val="00A869B7"/>
    <w:rsid w:val="00A90F0A"/>
    <w:rsid w:val="00A91F47"/>
    <w:rsid w:val="00AC205C"/>
    <w:rsid w:val="00AF0A6B"/>
    <w:rsid w:val="00B05A69"/>
    <w:rsid w:val="00B25EC8"/>
    <w:rsid w:val="00B41F50"/>
    <w:rsid w:val="00B60239"/>
    <w:rsid w:val="00B75281"/>
    <w:rsid w:val="00B92F1F"/>
    <w:rsid w:val="00B9734B"/>
    <w:rsid w:val="00BA30E2"/>
    <w:rsid w:val="00BF679E"/>
    <w:rsid w:val="00C11BFE"/>
    <w:rsid w:val="00C46E04"/>
    <w:rsid w:val="00C5068F"/>
    <w:rsid w:val="00C76210"/>
    <w:rsid w:val="00C86D74"/>
    <w:rsid w:val="00C97666"/>
    <w:rsid w:val="00CC5582"/>
    <w:rsid w:val="00CD04F1"/>
    <w:rsid w:val="00CF681A"/>
    <w:rsid w:val="00D07C78"/>
    <w:rsid w:val="00D32C35"/>
    <w:rsid w:val="00D4292F"/>
    <w:rsid w:val="00D45252"/>
    <w:rsid w:val="00D47884"/>
    <w:rsid w:val="00D67C6A"/>
    <w:rsid w:val="00D71B4D"/>
    <w:rsid w:val="00D92B36"/>
    <w:rsid w:val="00D93D55"/>
    <w:rsid w:val="00DD7B7F"/>
    <w:rsid w:val="00E15015"/>
    <w:rsid w:val="00E335FE"/>
    <w:rsid w:val="00E52476"/>
    <w:rsid w:val="00E60533"/>
    <w:rsid w:val="00EA7D6E"/>
    <w:rsid w:val="00EB20F8"/>
    <w:rsid w:val="00EB2F76"/>
    <w:rsid w:val="00EB46E7"/>
    <w:rsid w:val="00EC0E48"/>
    <w:rsid w:val="00EC4E49"/>
    <w:rsid w:val="00ED77FB"/>
    <w:rsid w:val="00EE45FA"/>
    <w:rsid w:val="00F043DE"/>
    <w:rsid w:val="00F067C4"/>
    <w:rsid w:val="00F62284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F3FFAD"/>
  <w15:docId w15:val="{74E972E2-60EB-45A8-A194-72174D44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4117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7AB"/>
    <w:pPr>
      <w:ind w:left="720"/>
      <w:contextualSpacing/>
    </w:pPr>
  </w:style>
  <w:style w:type="character" w:customStyle="1" w:styleId="FootnoteTextChar">
    <w:name w:val="Footnote Text Char"/>
    <w:link w:val="FootnoteText"/>
    <w:semiHidden/>
    <w:rsid w:val="004117AB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4117AB"/>
    <w:rPr>
      <w:vertAlign w:val="superscript"/>
    </w:rPr>
  </w:style>
  <w:style w:type="character" w:styleId="Strong">
    <w:name w:val="Strong"/>
    <w:uiPriority w:val="22"/>
    <w:qFormat/>
    <w:rsid w:val="004117AB"/>
    <w:rPr>
      <w:b/>
      <w:bCs/>
    </w:rPr>
  </w:style>
  <w:style w:type="paragraph" w:styleId="NormalWeb">
    <w:name w:val="Normal (Web)"/>
    <w:basedOn w:val="Normal"/>
    <w:uiPriority w:val="99"/>
    <w:unhideWhenUsed/>
    <w:rsid w:val="004117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(E).dotm</Template>
  <TotalTime>38</TotalTime>
  <Pages>10</Pages>
  <Words>2470</Words>
  <Characters>16110</Characters>
  <Application>Microsoft Office Word</Application>
  <DocSecurity>0</DocSecurity>
  <Lines>259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GRATK/DC/INF/4</vt:lpstr>
    </vt:vector>
  </TitlesOfParts>
  <Company>WIPO</Company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GRATK/DC/INF/4</dc:title>
  <dc:creator>JIAO Fei</dc:creator>
  <cp:keywords>FOR OFFICIAL USE ONLY</cp:keywords>
  <cp:lastModifiedBy>KORCHAGINA Elena</cp:lastModifiedBy>
  <cp:revision>49</cp:revision>
  <cp:lastPrinted>2011-02-15T11:56:00Z</cp:lastPrinted>
  <dcterms:created xsi:type="dcterms:W3CDTF">2023-12-18T10:11:00Z</dcterms:created>
  <dcterms:modified xsi:type="dcterms:W3CDTF">2024-02-14T14:20:00Z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