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D" w:rsidRPr="002E6021" w:rsidRDefault="00CE5612" w:rsidP="00CB0956">
      <w:pPr>
        <w:jc w:val="center"/>
        <w:rPr>
          <w:color w:val="548DD4" w:themeColor="text2" w:themeTint="99"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hint="cs"/>
          <w:color w:val="548DD4" w:themeColor="text2" w:themeTint="99"/>
          <w:sz w:val="32"/>
          <w:szCs w:val="32"/>
          <w:rtl/>
          <w:lang w:bidi="ar-SY"/>
        </w:rPr>
        <w:t>بند جدول الأعمال</w:t>
      </w:r>
      <w:r w:rsidR="00CB0956">
        <w:rPr>
          <w:rFonts w:hint="cs"/>
          <w:color w:val="548DD4" w:themeColor="text2" w:themeTint="99"/>
          <w:sz w:val="32"/>
          <w:szCs w:val="32"/>
          <w:rtl/>
          <w:lang w:bidi="ar-SY"/>
        </w:rPr>
        <w:t xml:space="preserve"> </w:t>
      </w:r>
      <w:r>
        <w:rPr>
          <w:rFonts w:hint="cs"/>
          <w:color w:val="548DD4" w:themeColor="text2" w:themeTint="99"/>
          <w:sz w:val="32"/>
          <w:szCs w:val="32"/>
          <w:rtl/>
          <w:lang w:bidi="ar-SY"/>
        </w:rPr>
        <w:t>"الملكية الفكرية والتنمية"</w:t>
      </w:r>
    </w:p>
    <w:p w:rsidR="007B1B4D" w:rsidRPr="007B1B4D" w:rsidRDefault="007B1B4D" w:rsidP="00CE5612">
      <w:pPr>
        <w:pStyle w:val="IntenseQuote"/>
        <w:contextualSpacing/>
        <w:rPr>
          <w:rFonts w:ascii="Calibri" w:hAnsi="Calibri" w:cs="Calibri"/>
          <w:sz w:val="24"/>
          <w:szCs w:val="22"/>
        </w:rPr>
      </w:pPr>
      <w:r w:rsidRPr="007B1B4D">
        <w:rPr>
          <w:rFonts w:ascii="Calibri" w:hAnsi="Calibri" w:cs="Calibri"/>
          <w:sz w:val="24"/>
          <w:szCs w:val="22"/>
          <w:rtl/>
        </w:rPr>
        <w:t>الموضوعات المقترحة من الدول الأعضاء</w:t>
      </w:r>
    </w:p>
    <w:p w:rsidR="007B1B4D" w:rsidRPr="007B1B4D" w:rsidRDefault="007B1B4D" w:rsidP="007B1B4D">
      <w:pPr>
        <w:pStyle w:val="IntenseQuote"/>
        <w:rPr>
          <w:rtl/>
        </w:rPr>
      </w:pPr>
      <w:r w:rsidRPr="007B1B4D">
        <w:rPr>
          <w:rFonts w:ascii="Calibri" w:hAnsi="Calibri" w:cs="Calibri"/>
          <w:sz w:val="24"/>
          <w:szCs w:val="22"/>
          <w:rtl/>
        </w:rPr>
        <w:t>(مرتبة حسب التاريخ الذي استلمتها فيه الأمانة</w:t>
      </w:r>
      <w:r>
        <w:rPr>
          <w:rFonts w:hint="cs"/>
          <w:rtl/>
        </w:rPr>
        <w:t>)</w:t>
      </w:r>
    </w:p>
    <w:p w:rsidR="00653B9D" w:rsidRDefault="00653B9D" w:rsidP="00B10145">
      <w:pPr>
        <w:rPr>
          <w:rtl/>
          <w:lang w:val="fr-CH" w:bidi="ar-SY"/>
        </w:rPr>
      </w:pPr>
    </w:p>
    <w:p w:rsidR="00653B9D" w:rsidRPr="007B1B4D" w:rsidRDefault="00653B9D" w:rsidP="00397925">
      <w:pPr>
        <w:tabs>
          <w:tab w:val="left" w:pos="2478"/>
        </w:tabs>
        <w:spacing w:after="240"/>
        <w:jc w:val="center"/>
        <w:rPr>
          <w:b/>
          <w:bCs/>
          <w:rtl/>
          <w:lang w:val="fr-CH" w:bidi="ar-SY"/>
        </w:rPr>
      </w:pPr>
      <w:r w:rsidRPr="007B1B4D">
        <w:rPr>
          <w:rFonts w:hint="cs"/>
          <w:b/>
          <w:bCs/>
          <w:rtl/>
          <w:lang w:val="fr-CH" w:bidi="ar-SY"/>
        </w:rPr>
        <w:t>مقترح مقدم من الصين، ورد في 14 مارس 2022</w:t>
      </w:r>
    </w:p>
    <w:p w:rsidR="00653B9D" w:rsidRPr="00397925" w:rsidRDefault="00CE5612" w:rsidP="0085770C">
      <w:pPr>
        <w:pStyle w:val="ListParagraph"/>
        <w:numPr>
          <w:ilvl w:val="0"/>
          <w:numId w:val="10"/>
        </w:numPr>
        <w:rPr>
          <w:b/>
          <w:bCs/>
          <w:i/>
          <w:iCs/>
          <w:lang w:val="fr-CH" w:bidi="ar-EG"/>
        </w:rPr>
      </w:pPr>
      <w:r>
        <w:rPr>
          <w:rFonts w:hint="cs"/>
          <w:b/>
          <w:bCs/>
          <w:i/>
          <w:iCs/>
          <w:rtl/>
          <w:lang w:val="fr-CH" w:bidi="ar-EG"/>
        </w:rPr>
        <w:t xml:space="preserve">التصدي لتغير المناخ: الملكية الفكرية تساعد على تحقيق أهداف الحد من </w:t>
      </w:r>
      <w:r w:rsidR="0085770C">
        <w:rPr>
          <w:rFonts w:hint="cs"/>
          <w:b/>
          <w:bCs/>
          <w:i/>
          <w:iCs/>
          <w:rtl/>
          <w:lang w:val="fr-CH" w:bidi="ar-EG"/>
        </w:rPr>
        <w:t>انبعاثات الكربون وحياده</w:t>
      </w:r>
    </w:p>
    <w:p w:rsidR="00653B9D" w:rsidRPr="00397925" w:rsidRDefault="00653B9D" w:rsidP="00397925">
      <w:pPr>
        <w:spacing w:before="240" w:after="240"/>
        <w:ind w:left="360"/>
        <w:rPr>
          <w:u w:val="single"/>
          <w:rtl/>
          <w:lang w:val="fr-CH" w:bidi="ar-EG"/>
        </w:rPr>
      </w:pPr>
      <w:r w:rsidRPr="00397925">
        <w:rPr>
          <w:rFonts w:hint="cs"/>
          <w:u w:val="single"/>
          <w:rtl/>
          <w:lang w:val="fr-CH" w:bidi="ar-EG"/>
        </w:rPr>
        <w:t xml:space="preserve">تعليق الوفد الصيني: </w:t>
      </w:r>
    </w:p>
    <w:p w:rsidR="00CE5612" w:rsidRPr="00CE5612" w:rsidRDefault="0085770C" w:rsidP="0085770C">
      <w:p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نظراً</w:t>
      </w:r>
      <w:r>
        <w:rPr>
          <w:rtl/>
          <w:lang w:val="fr-CH" w:bidi="ar-EG"/>
        </w:rPr>
        <w:t xml:space="preserve"> </w:t>
      </w:r>
      <w:r w:rsidR="00CE5612" w:rsidRPr="00CE5612">
        <w:rPr>
          <w:rtl/>
          <w:lang w:val="fr-CH" w:bidi="ar-EG"/>
        </w:rPr>
        <w:t>ل</w:t>
      </w:r>
      <w:r>
        <w:rPr>
          <w:rFonts w:hint="cs"/>
          <w:rtl/>
          <w:lang w:val="fr-CH" w:bidi="ar-EG"/>
        </w:rPr>
        <w:t>ل</w:t>
      </w:r>
      <w:r w:rsidR="00CE5612" w:rsidRPr="00CE5612">
        <w:rPr>
          <w:rtl/>
          <w:lang w:val="fr-CH" w:bidi="ar-EG"/>
        </w:rPr>
        <w:t>آثار السلبية الواضحة بشكل متزايد لتغير المناخ والإل</w:t>
      </w:r>
      <w:r>
        <w:rPr>
          <w:rtl/>
          <w:lang w:val="fr-CH" w:bidi="ar-EG"/>
        </w:rPr>
        <w:t>حاح المتزايد ل</w:t>
      </w:r>
      <w:r>
        <w:rPr>
          <w:rFonts w:hint="cs"/>
          <w:rtl/>
          <w:lang w:val="fr-CH" w:bidi="ar-EG"/>
        </w:rPr>
        <w:t xml:space="preserve">اتخاذ </w:t>
      </w:r>
      <w:r>
        <w:rPr>
          <w:rtl/>
          <w:lang w:val="fr-CH" w:bidi="ar-EG"/>
        </w:rPr>
        <w:t>إجراءات عالمية</w:t>
      </w:r>
      <w:r w:rsidR="00CE5612" w:rsidRPr="00CE5612">
        <w:rPr>
          <w:rtl/>
          <w:lang w:val="fr-CH" w:bidi="ar-EG"/>
        </w:rPr>
        <w:t xml:space="preserve">، فإن كيفية </w:t>
      </w:r>
      <w:r>
        <w:rPr>
          <w:rFonts w:hint="cs"/>
          <w:rtl/>
          <w:lang w:val="fr-CH" w:bidi="ar-EG"/>
        </w:rPr>
        <w:t>التصدي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ل</w:t>
      </w:r>
      <w:r w:rsidR="00CE5612" w:rsidRPr="00CE5612">
        <w:rPr>
          <w:rtl/>
          <w:lang w:val="fr-CH" w:bidi="ar-EG"/>
        </w:rPr>
        <w:t xml:space="preserve">تغير المناخ لتسهيل الانتعاش الاقتصادي في جميع أنحاء العالم </w:t>
      </w:r>
      <w:r>
        <w:rPr>
          <w:rFonts w:hint="cs"/>
          <w:rtl/>
          <w:lang w:val="fr-CH" w:bidi="ar-EG"/>
        </w:rPr>
        <w:t>تُعد في الوقت الحاضر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مسألة</w:t>
      </w:r>
      <w:r w:rsidR="00CE5612" w:rsidRPr="00CE5612">
        <w:rPr>
          <w:rtl/>
          <w:lang w:val="fr-CH" w:bidi="ar-EG"/>
        </w:rPr>
        <w:t xml:space="preserve"> شائعة في </w:t>
      </w:r>
      <w:r>
        <w:rPr>
          <w:rFonts w:hint="cs"/>
          <w:rtl/>
          <w:lang w:val="fr-CH" w:bidi="ar-EG"/>
        </w:rPr>
        <w:t>عصرنا</w:t>
      </w:r>
      <w:r w:rsidR="00CE5612" w:rsidRPr="00CE5612">
        <w:rPr>
          <w:rtl/>
          <w:lang w:val="fr-CH" w:bidi="ar-EG"/>
        </w:rPr>
        <w:t xml:space="preserve">. </w:t>
      </w:r>
      <w:r>
        <w:rPr>
          <w:rFonts w:hint="cs"/>
          <w:rtl/>
          <w:lang w:val="fr-CH" w:bidi="ar-EG"/>
        </w:rPr>
        <w:t>وتشير</w:t>
      </w:r>
      <w:r w:rsidR="00CE5612" w:rsidRPr="00CE5612">
        <w:rPr>
          <w:rtl/>
          <w:lang w:val="fr-CH" w:bidi="ar-EG"/>
        </w:rPr>
        <w:t xml:space="preserve"> الخطة الاستراتيجية متوسطة الأجل</w:t>
      </w:r>
      <w:r>
        <w:rPr>
          <w:rFonts w:hint="cs"/>
          <w:rtl/>
          <w:lang w:val="fr-CH" w:bidi="ar-EG"/>
        </w:rPr>
        <w:t xml:space="preserve"> للفترة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2022-2026</w:t>
      </w:r>
      <w:r w:rsidR="00CE5612" w:rsidRPr="00CE5612">
        <w:rPr>
          <w:rtl/>
          <w:lang w:val="fr-CH" w:bidi="ar-EG"/>
        </w:rPr>
        <w:t xml:space="preserve"> التي </w:t>
      </w:r>
      <w:r>
        <w:rPr>
          <w:rtl/>
          <w:lang w:val="fr-CH" w:bidi="ar-EG"/>
        </w:rPr>
        <w:t>أصدرتها الويبو في عام 2021 أيض</w:t>
      </w:r>
      <w:r>
        <w:rPr>
          <w:rFonts w:hint="cs"/>
          <w:rtl/>
          <w:lang w:val="fr-CH" w:bidi="ar-EG"/>
        </w:rPr>
        <w:t>اً إلى</w:t>
      </w:r>
      <w:r w:rsidR="00CE5612" w:rsidRPr="00CE5612">
        <w:rPr>
          <w:rtl/>
          <w:lang w:val="fr-CH" w:bidi="ar-EG"/>
        </w:rPr>
        <w:t xml:space="preserve"> أن أهداف التنمية المستدامة توفر </w:t>
      </w:r>
      <w:r>
        <w:rPr>
          <w:rFonts w:hint="cs"/>
          <w:rtl/>
          <w:lang w:val="fr-CH" w:bidi="ar-EG"/>
        </w:rPr>
        <w:t>مخططاً</w:t>
      </w:r>
      <w:r w:rsidR="00CE5612" w:rsidRPr="00CE5612">
        <w:rPr>
          <w:rtl/>
          <w:lang w:val="fr-CH" w:bidi="ar-EG"/>
        </w:rPr>
        <w:t xml:space="preserve"> لمستقبل أفضل وأكثر استدامة. </w:t>
      </w:r>
      <w:r>
        <w:rPr>
          <w:rFonts w:hint="cs"/>
          <w:rtl/>
          <w:lang w:val="fr-CH" w:bidi="ar-EG"/>
        </w:rPr>
        <w:t>و</w:t>
      </w:r>
      <w:r w:rsidR="00CE5612" w:rsidRPr="00CE5612">
        <w:rPr>
          <w:rtl/>
          <w:lang w:val="fr-CH" w:bidi="ar-EG"/>
        </w:rPr>
        <w:t>الابتكار والإبداع هما المفتاح لترجمة هذا المخطط إلى واقع وإيجاد</w:t>
      </w:r>
      <w:r>
        <w:rPr>
          <w:rtl/>
          <w:lang w:val="fr-CH" w:bidi="ar-EG"/>
        </w:rPr>
        <w:t xml:space="preserve"> حلول لتحديات التنمية في العالم</w:t>
      </w:r>
      <w:r w:rsidR="00CE5612" w:rsidRPr="00CE5612">
        <w:rPr>
          <w:rtl/>
          <w:lang w:val="fr-CH" w:bidi="ar-EG"/>
        </w:rPr>
        <w:t xml:space="preserve">، بما في ذلك تغير المناخ. </w:t>
      </w:r>
      <w:r>
        <w:rPr>
          <w:rFonts w:hint="cs"/>
          <w:rtl/>
          <w:lang w:val="fr-CH" w:bidi="ar-EG"/>
        </w:rPr>
        <w:t xml:space="preserve">وباعتبار الملكية الفكرية </w:t>
      </w:r>
      <w:r w:rsidR="00CE5612" w:rsidRPr="00CE5612">
        <w:rPr>
          <w:rtl/>
          <w:lang w:val="fr-CH" w:bidi="ar-EG"/>
        </w:rPr>
        <w:t>أداة قوية لترجمة ا</w:t>
      </w:r>
      <w:r>
        <w:rPr>
          <w:rtl/>
          <w:lang w:val="fr-CH" w:bidi="ar-EG"/>
        </w:rPr>
        <w:t>لابتكار والإبداع إلى واقع ملموس</w:t>
      </w:r>
      <w:r w:rsidR="00CE5612" w:rsidRPr="00CE5612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فإنها تؤدي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دوراً رئيسياً</w:t>
      </w:r>
      <w:r w:rsidR="00CE5612" w:rsidRPr="00CE5612">
        <w:rPr>
          <w:rtl/>
          <w:lang w:val="fr-CH" w:bidi="ar-EG"/>
        </w:rPr>
        <w:t xml:space="preserve"> في هذه العملية.</w:t>
      </w:r>
    </w:p>
    <w:p w:rsidR="00CE5612" w:rsidRPr="00CE5612" w:rsidRDefault="00626029" w:rsidP="00334193">
      <w:p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و</w:t>
      </w:r>
      <w:r>
        <w:rPr>
          <w:rtl/>
          <w:lang w:val="fr-CH" w:bidi="ar-EG"/>
        </w:rPr>
        <w:t>في عام 2020</w:t>
      </w:r>
      <w:r w:rsidR="00CE5612" w:rsidRPr="00CE5612">
        <w:rPr>
          <w:rtl/>
          <w:lang w:val="fr-CH" w:bidi="ar-EG"/>
        </w:rPr>
        <w:t xml:space="preserve">، </w:t>
      </w:r>
      <w:r w:rsidR="00563B51">
        <w:rPr>
          <w:rFonts w:hint="cs"/>
          <w:rtl/>
          <w:lang w:val="fr-CH" w:bidi="ar-EG"/>
        </w:rPr>
        <w:t>أعربت</w:t>
      </w:r>
      <w:r w:rsidR="00CE5612" w:rsidRPr="00CE5612">
        <w:rPr>
          <w:rtl/>
          <w:lang w:val="fr-CH" w:bidi="ar-EG"/>
        </w:rPr>
        <w:t xml:space="preserve"> الصين</w:t>
      </w:r>
      <w:r w:rsidR="00563B51">
        <w:rPr>
          <w:rFonts w:hint="cs"/>
          <w:rtl/>
          <w:lang w:val="fr-CH" w:bidi="ar-EG"/>
        </w:rPr>
        <w:t xml:space="preserve"> خلال</w:t>
      </w:r>
      <w:r w:rsidR="00CE5612" w:rsidRPr="00CE5612">
        <w:rPr>
          <w:rtl/>
          <w:lang w:val="fr-CH" w:bidi="ar-EG"/>
        </w:rPr>
        <w:t xml:space="preserve"> الدورة الخامسة والسبع</w:t>
      </w:r>
      <w:r w:rsidR="00563B51">
        <w:rPr>
          <w:rtl/>
          <w:lang w:val="fr-CH" w:bidi="ar-EG"/>
        </w:rPr>
        <w:t>ين للجمعية العامة للأمم المتحدة</w:t>
      </w:r>
      <w:r w:rsidR="00563B51">
        <w:rPr>
          <w:rFonts w:hint="cs"/>
          <w:rtl/>
          <w:lang w:val="fr-CH" w:bidi="ar-EG"/>
        </w:rPr>
        <w:t xml:space="preserve"> عن الالتزام التالي: "</w:t>
      </w:r>
      <w:r w:rsidR="00CE5612" w:rsidRPr="00CE5612">
        <w:rPr>
          <w:rtl/>
          <w:lang w:val="fr-CH" w:bidi="ar-EG"/>
        </w:rPr>
        <w:t>ستزيد</w:t>
      </w:r>
      <w:r w:rsidR="00563B51">
        <w:rPr>
          <w:rFonts w:hint="cs"/>
          <w:rtl/>
          <w:lang w:val="fr-CH" w:bidi="ar-EG"/>
        </w:rPr>
        <w:t xml:space="preserve"> الصين</w:t>
      </w:r>
      <w:r w:rsidR="00CE5612" w:rsidRPr="00CE5612">
        <w:rPr>
          <w:rtl/>
          <w:lang w:val="fr-CH" w:bidi="ar-EG"/>
        </w:rPr>
        <w:t xml:space="preserve"> من مساهماتها </w:t>
      </w:r>
      <w:r w:rsidR="00AC5692" w:rsidRPr="00CE5612">
        <w:rPr>
          <w:rtl/>
          <w:lang w:val="fr-CH" w:bidi="ar-EG"/>
        </w:rPr>
        <w:t xml:space="preserve">المزمعة </w:t>
      </w:r>
      <w:r w:rsidR="00CE5612" w:rsidRPr="00CE5612">
        <w:rPr>
          <w:rtl/>
          <w:lang w:val="fr-CH" w:bidi="ar-EG"/>
        </w:rPr>
        <w:t>المحددة وطنيا</w:t>
      </w:r>
      <w:r w:rsidR="00563B51">
        <w:rPr>
          <w:rFonts w:hint="cs"/>
          <w:rtl/>
          <w:lang w:val="fr-CH" w:bidi="ar-EG"/>
        </w:rPr>
        <w:t>ً</w:t>
      </w:r>
      <w:r w:rsidR="00CE5612" w:rsidRPr="00CE5612">
        <w:rPr>
          <w:rtl/>
          <w:lang w:val="fr-CH" w:bidi="ar-EG"/>
        </w:rPr>
        <w:t xml:space="preserve"> من خلال تبني سياسات وتدابير أكثر </w:t>
      </w:r>
      <w:r w:rsidR="00563B51">
        <w:rPr>
          <w:rFonts w:hint="cs"/>
          <w:rtl/>
          <w:lang w:val="fr-CH" w:bidi="ar-EG"/>
        </w:rPr>
        <w:t>صرامة</w:t>
      </w:r>
      <w:r w:rsidR="00334193">
        <w:rPr>
          <w:rFonts w:hint="cs"/>
          <w:rtl/>
          <w:lang w:val="fr-CH" w:bidi="ar-SY"/>
        </w:rPr>
        <w:t xml:space="preserve"> سعياً إلى</w:t>
      </w:r>
      <w:r w:rsidR="00CE5612" w:rsidRPr="00CE5612">
        <w:rPr>
          <w:rtl/>
          <w:lang w:val="fr-CH" w:bidi="ar-EG"/>
        </w:rPr>
        <w:t xml:space="preserve"> بلوغ ذروة انبعاثات ثاني أكسيد الكربون قبل عام 2030 وتحقيق الحياد الكربوني قبل عام 2060. و</w:t>
      </w:r>
      <w:r w:rsidR="00334193">
        <w:rPr>
          <w:rFonts w:hint="cs"/>
          <w:rtl/>
          <w:lang w:val="fr-CH" w:bidi="ar-EG"/>
        </w:rPr>
        <w:t>س</w:t>
      </w:r>
      <w:r w:rsidR="00CE5612" w:rsidRPr="00CE5612">
        <w:rPr>
          <w:rtl/>
          <w:lang w:val="fr-CH" w:bidi="ar-EG"/>
        </w:rPr>
        <w:t>تتخذ ا</w:t>
      </w:r>
      <w:r w:rsidR="00334193">
        <w:rPr>
          <w:rtl/>
          <w:lang w:val="fr-CH" w:bidi="ar-EG"/>
        </w:rPr>
        <w:t>لصين إجراءات لتحقيق هذه الغاية</w:t>
      </w:r>
      <w:r w:rsidR="00334193">
        <w:rPr>
          <w:rFonts w:hint="cs"/>
          <w:rtl/>
          <w:lang w:val="fr-CH" w:bidi="ar-EG"/>
        </w:rPr>
        <w:t>، ف</w:t>
      </w:r>
      <w:r w:rsidR="00334193">
        <w:rPr>
          <w:rtl/>
          <w:lang w:val="fr-CH" w:bidi="ar-EG"/>
        </w:rPr>
        <w:t>على سبيل المثال</w:t>
      </w:r>
      <w:r w:rsidR="00CE5612" w:rsidRPr="00CE5612">
        <w:rPr>
          <w:rtl/>
          <w:lang w:val="fr-CH" w:bidi="ar-EG"/>
        </w:rPr>
        <w:t>، التزمت</w:t>
      </w:r>
      <w:r w:rsidR="00334193">
        <w:rPr>
          <w:rtl/>
          <w:lang w:val="fr-CH" w:bidi="ar-EG"/>
        </w:rPr>
        <w:t xml:space="preserve"> الألعاب الأولمبية الشتوية في ب</w:t>
      </w:r>
      <w:r w:rsidR="00334193">
        <w:rPr>
          <w:rFonts w:hint="cs"/>
          <w:rtl/>
          <w:lang w:val="fr-CH" w:bidi="ar-EG"/>
        </w:rPr>
        <w:t>ج</w:t>
      </w:r>
      <w:r w:rsidR="00CE5612" w:rsidRPr="00CE5612">
        <w:rPr>
          <w:rtl/>
          <w:lang w:val="fr-CH" w:bidi="ar-EG"/>
        </w:rPr>
        <w:t>ين</w:t>
      </w:r>
      <w:r w:rsidR="00334193">
        <w:rPr>
          <w:rFonts w:hint="cs"/>
          <w:rtl/>
          <w:lang w:val="fr-CH" w:bidi="ar-EG"/>
        </w:rPr>
        <w:t xml:space="preserve"> في عام</w:t>
      </w:r>
      <w:r w:rsidR="00CE5612" w:rsidRPr="00CE5612">
        <w:rPr>
          <w:rtl/>
          <w:lang w:val="fr-CH" w:bidi="ar-EG"/>
        </w:rPr>
        <w:t xml:space="preserve"> 2022 والألعاب الش</w:t>
      </w:r>
      <w:r w:rsidR="00334193">
        <w:rPr>
          <w:rtl/>
          <w:lang w:val="fr-CH" w:bidi="ar-EG"/>
        </w:rPr>
        <w:t>توية للألعاب الأولمبية للمعاقين</w:t>
      </w:r>
      <w:r w:rsidR="00CE5612" w:rsidRPr="00CE5612">
        <w:rPr>
          <w:rtl/>
          <w:lang w:val="fr-CH" w:bidi="ar-EG"/>
        </w:rPr>
        <w:t>، اللتين</w:t>
      </w:r>
      <w:r w:rsidR="00334193">
        <w:rPr>
          <w:rtl/>
          <w:lang w:val="fr-CH" w:bidi="ar-EG"/>
        </w:rPr>
        <w:t xml:space="preserve"> أقيمتا بنجاح في أوائل عام 2022</w:t>
      </w:r>
      <w:r w:rsidR="00CE5612" w:rsidRPr="00CE5612">
        <w:rPr>
          <w:rtl/>
          <w:lang w:val="fr-CH" w:bidi="ar-EG"/>
        </w:rPr>
        <w:t xml:space="preserve">، بالاستخدام الكامل للتكنولوجيات منخفضة الكربون لتقليل البصمة الكربونية للألعاب الأولمبية </w:t>
      </w:r>
      <w:r w:rsidR="00334193">
        <w:rPr>
          <w:rFonts w:hint="cs"/>
          <w:rtl/>
          <w:lang w:val="fr-CH" w:bidi="ar-EG"/>
        </w:rPr>
        <w:t>وتحقيق</w:t>
      </w:r>
      <w:r w:rsidR="00CE5612" w:rsidRPr="00CE5612">
        <w:rPr>
          <w:rtl/>
          <w:lang w:val="fr-CH" w:bidi="ar-EG"/>
        </w:rPr>
        <w:t xml:space="preserve"> "</w:t>
      </w:r>
      <w:r w:rsidR="00334193">
        <w:rPr>
          <w:rFonts w:hint="cs"/>
          <w:rtl/>
          <w:lang w:val="fr-CH" w:bidi="ar-EG"/>
        </w:rPr>
        <w:t xml:space="preserve">دورة </w:t>
      </w:r>
      <w:r w:rsidR="00334193">
        <w:rPr>
          <w:rtl/>
          <w:lang w:val="fr-CH" w:bidi="ar-EG"/>
        </w:rPr>
        <w:t xml:space="preserve">ألعاب أولمبية شتوية منخفضة </w:t>
      </w:r>
      <w:r w:rsidR="00334193">
        <w:rPr>
          <w:rFonts w:hint="cs"/>
          <w:rtl/>
          <w:lang w:val="fr-CH" w:bidi="ar-EG"/>
        </w:rPr>
        <w:t>ال</w:t>
      </w:r>
      <w:r w:rsidR="00CE5612" w:rsidRPr="00CE5612">
        <w:rPr>
          <w:rtl/>
          <w:lang w:val="fr-CH" w:bidi="ar-EG"/>
        </w:rPr>
        <w:t>كربون".</w:t>
      </w:r>
    </w:p>
    <w:p w:rsidR="00CE5612" w:rsidRDefault="00334193" w:rsidP="00334193">
      <w:p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و</w:t>
      </w:r>
      <w:r w:rsidR="00CE5612" w:rsidRPr="00CE5612">
        <w:rPr>
          <w:rtl/>
          <w:lang w:val="fr-CH" w:bidi="ar-EG"/>
        </w:rPr>
        <w:t xml:space="preserve">يتطلع </w:t>
      </w:r>
      <w:r>
        <w:rPr>
          <w:rFonts w:hint="cs"/>
          <w:rtl/>
          <w:lang w:val="fr-CH" w:bidi="ar-EG"/>
        </w:rPr>
        <w:t>ال</w:t>
      </w:r>
      <w:r w:rsidR="00CE5612" w:rsidRPr="00CE5612">
        <w:rPr>
          <w:rtl/>
          <w:lang w:val="fr-CH" w:bidi="ar-EG"/>
        </w:rPr>
        <w:t>وفد الصين</w:t>
      </w:r>
      <w:r>
        <w:rPr>
          <w:rFonts w:hint="cs"/>
          <w:rtl/>
          <w:lang w:val="fr-CH" w:bidi="ar-EG"/>
        </w:rPr>
        <w:t>ي</w:t>
      </w:r>
      <w:r w:rsidR="00CE5612" w:rsidRPr="00CE5612">
        <w:rPr>
          <w:rtl/>
          <w:lang w:val="fr-CH" w:bidi="ar-EG"/>
        </w:rPr>
        <w:t xml:space="preserve"> إلى </w:t>
      </w:r>
      <w:r>
        <w:rPr>
          <w:rFonts w:hint="cs"/>
          <w:rtl/>
          <w:lang w:val="fr-CH" w:bidi="ar-EG"/>
        </w:rPr>
        <w:t xml:space="preserve">إجراء </w:t>
      </w:r>
      <w:r w:rsidR="00CE5612" w:rsidRPr="00CE5612">
        <w:rPr>
          <w:rtl/>
          <w:lang w:val="fr-CH" w:bidi="ar-EG"/>
        </w:rPr>
        <w:t xml:space="preserve">مناقشة مع الدول الأعضاء </w:t>
      </w:r>
      <w:r>
        <w:rPr>
          <w:rFonts w:hint="cs"/>
          <w:rtl/>
          <w:lang w:val="fr-CH" w:bidi="ar-EG"/>
        </w:rPr>
        <w:t>بشأن موضوع</w:t>
      </w:r>
      <w:r w:rsidR="00CE5612" w:rsidRPr="00CE5612">
        <w:rPr>
          <w:rtl/>
          <w:lang w:val="fr-CH" w:bidi="ar-EG"/>
        </w:rPr>
        <w:t xml:space="preserve"> "</w:t>
      </w:r>
      <w:r>
        <w:rPr>
          <w:rFonts w:hint="cs"/>
          <w:rtl/>
          <w:lang w:val="fr-CH" w:bidi="ar-EG"/>
        </w:rPr>
        <w:t>التصدي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ل</w:t>
      </w:r>
      <w:r w:rsidR="00CE5612" w:rsidRPr="00CE5612">
        <w:rPr>
          <w:rtl/>
          <w:lang w:val="fr-CH" w:bidi="ar-EG"/>
        </w:rPr>
        <w:t xml:space="preserve">تغير المناخ: الملكية الفكرية تساعد على تحقيق أهداف </w:t>
      </w:r>
      <w:r>
        <w:rPr>
          <w:rFonts w:hint="cs"/>
          <w:rtl/>
          <w:lang w:val="fr-CH" w:bidi="ar-EG"/>
        </w:rPr>
        <w:t>الحد من</w:t>
      </w:r>
      <w:r>
        <w:rPr>
          <w:rtl/>
          <w:lang w:val="fr-CH" w:bidi="ar-EG"/>
        </w:rPr>
        <w:t xml:space="preserve"> انبعاثات الكربون وحياد</w:t>
      </w:r>
      <w:r>
        <w:rPr>
          <w:rFonts w:hint="cs"/>
          <w:rtl/>
          <w:lang w:val="fr-CH" w:bidi="ar-EG"/>
        </w:rPr>
        <w:t>ه</w:t>
      </w:r>
      <w:r>
        <w:rPr>
          <w:rtl/>
          <w:lang w:val="fr-CH" w:bidi="ar-EG"/>
        </w:rPr>
        <w:t>"</w:t>
      </w:r>
      <w:r w:rsidR="00CE5612" w:rsidRPr="00CE5612">
        <w:rPr>
          <w:rtl/>
          <w:lang w:val="fr-CH" w:bidi="ar-EG"/>
        </w:rPr>
        <w:t xml:space="preserve">، وتبادل أفضل الممارسات والأفكار حول كيفية استخدام البلدان للملكية الفكرية </w:t>
      </w:r>
      <w:r>
        <w:rPr>
          <w:rtl/>
          <w:lang w:val="fr-CH" w:bidi="ar-EG"/>
        </w:rPr>
        <w:t xml:space="preserve">لتعزيز </w:t>
      </w:r>
      <w:r>
        <w:rPr>
          <w:rFonts w:hint="cs"/>
          <w:rtl/>
          <w:lang w:val="fr-CH" w:bidi="ar-EG"/>
        </w:rPr>
        <w:t>ال</w:t>
      </w:r>
      <w:r>
        <w:rPr>
          <w:rtl/>
          <w:lang w:val="fr-CH" w:bidi="ar-EG"/>
        </w:rPr>
        <w:t xml:space="preserve">ابتكار </w:t>
      </w:r>
      <w:r>
        <w:rPr>
          <w:rFonts w:hint="cs"/>
          <w:rtl/>
          <w:lang w:val="fr-CH" w:bidi="ar-EG"/>
        </w:rPr>
        <w:t>التكنولوجي منخفض</w:t>
      </w:r>
      <w:r>
        <w:rPr>
          <w:rtl/>
          <w:lang w:val="fr-CH" w:bidi="ar-EG"/>
        </w:rPr>
        <w:t xml:space="preserve"> الكربون</w:t>
      </w:r>
      <w:r w:rsidR="00CE5612" w:rsidRPr="00CE5612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وتسهيل</w:t>
      </w:r>
      <w:r w:rsidR="00CE5612" w:rsidRPr="00CE5612">
        <w:rPr>
          <w:rtl/>
          <w:lang w:val="fr-CH" w:bidi="ar-EG"/>
        </w:rPr>
        <w:t xml:space="preserve"> ا</w:t>
      </w:r>
      <w:r>
        <w:rPr>
          <w:rtl/>
          <w:lang w:val="fr-CH" w:bidi="ar-EG"/>
        </w:rPr>
        <w:t>لانتقال إلى اقتصاد منخفض الكربو</w:t>
      </w:r>
      <w:r>
        <w:rPr>
          <w:rFonts w:hint="cs"/>
          <w:rtl/>
          <w:lang w:val="fr-CH" w:bidi="ar-EG"/>
        </w:rPr>
        <w:t>ن</w:t>
      </w:r>
      <w:r w:rsidR="00CE5612" w:rsidRPr="00CE5612">
        <w:rPr>
          <w:rtl/>
          <w:lang w:val="fr-CH" w:bidi="ar-EG"/>
        </w:rPr>
        <w:t xml:space="preserve">، </w:t>
      </w:r>
      <w:r>
        <w:rPr>
          <w:rFonts w:hint="cs"/>
          <w:rtl/>
          <w:lang w:val="fr-CH" w:bidi="ar-EG"/>
        </w:rPr>
        <w:t>والمساعدة</w:t>
      </w:r>
      <w:r w:rsidR="00CE5612" w:rsidRPr="00CE5612">
        <w:rPr>
          <w:rtl/>
          <w:lang w:val="fr-CH" w:bidi="ar-EG"/>
        </w:rPr>
        <w:t xml:space="preserve"> في تحقيق </w:t>
      </w:r>
      <w:r>
        <w:rPr>
          <w:rFonts w:hint="cs"/>
          <w:rtl/>
          <w:lang w:val="fr-CH" w:bidi="ar-EG"/>
        </w:rPr>
        <w:t>الحد من انبعاثات</w:t>
      </w:r>
      <w:r>
        <w:rPr>
          <w:rtl/>
          <w:lang w:val="fr-CH" w:bidi="ar-EG"/>
        </w:rPr>
        <w:t xml:space="preserve"> الكربون وحيا</w:t>
      </w:r>
      <w:r>
        <w:rPr>
          <w:rFonts w:hint="cs"/>
          <w:rtl/>
          <w:lang w:val="fr-CH" w:bidi="ar-EG"/>
        </w:rPr>
        <w:t>ده</w:t>
      </w:r>
      <w:r w:rsidR="00CE5612" w:rsidRPr="00CE5612">
        <w:rPr>
          <w:rtl/>
          <w:lang w:val="fr-CH" w:bidi="ar-EG"/>
        </w:rPr>
        <w:t xml:space="preserve">. ويعتقد </w:t>
      </w:r>
      <w:r>
        <w:rPr>
          <w:rFonts w:hint="cs"/>
          <w:rtl/>
          <w:lang w:val="fr-CH" w:bidi="ar-EG"/>
        </w:rPr>
        <w:t>ال</w:t>
      </w:r>
      <w:r w:rsidR="00CE5612" w:rsidRPr="00CE5612">
        <w:rPr>
          <w:rtl/>
          <w:lang w:val="fr-CH" w:bidi="ar-EG"/>
        </w:rPr>
        <w:t>وفد الصين</w:t>
      </w:r>
      <w:r>
        <w:rPr>
          <w:rFonts w:hint="cs"/>
          <w:rtl/>
          <w:lang w:val="fr-CH" w:bidi="ar-EG"/>
        </w:rPr>
        <w:t>ي</w:t>
      </w:r>
      <w:r w:rsidR="00CE5612" w:rsidRPr="00CE5612">
        <w:rPr>
          <w:rtl/>
          <w:lang w:val="fr-CH" w:bidi="ar-EG"/>
        </w:rPr>
        <w:t xml:space="preserve"> أن مثل هذه التبادلات </w:t>
      </w:r>
      <w:r>
        <w:rPr>
          <w:rFonts w:hint="cs"/>
          <w:rtl/>
          <w:lang w:val="fr-CH" w:bidi="ar-EG"/>
        </w:rPr>
        <w:t>ستسهم</w:t>
      </w:r>
      <w:r w:rsidR="00CE5612" w:rsidRPr="00CE5612">
        <w:rPr>
          <w:rtl/>
          <w:lang w:val="fr-CH" w:bidi="ar-EG"/>
        </w:rPr>
        <w:t xml:space="preserve"> </w:t>
      </w:r>
      <w:r>
        <w:rPr>
          <w:rFonts w:hint="cs"/>
          <w:rtl/>
          <w:lang w:val="fr-CH" w:bidi="ar-EG"/>
        </w:rPr>
        <w:t>بشكل</w:t>
      </w:r>
      <w:r>
        <w:rPr>
          <w:rtl/>
          <w:lang w:val="fr-CH" w:bidi="ar-EG"/>
        </w:rPr>
        <w:t xml:space="preserve"> إيجابي</w:t>
      </w:r>
      <w:r w:rsidR="00CE5612" w:rsidRPr="00CE5612">
        <w:rPr>
          <w:rtl/>
          <w:lang w:val="fr-CH" w:bidi="ar-EG"/>
        </w:rPr>
        <w:t xml:space="preserve"> في تحقيق الهدف 13 من أهداف التنمية المستدامة "اتخاذ </w:t>
      </w:r>
      <w:r>
        <w:rPr>
          <w:rFonts w:hint="cs"/>
          <w:rtl/>
          <w:lang w:val="fr-CH" w:bidi="ar-EG"/>
        </w:rPr>
        <w:t>تدابير</w:t>
      </w:r>
      <w:r w:rsidR="00CE5612" w:rsidRPr="00CE5612">
        <w:rPr>
          <w:rtl/>
          <w:lang w:val="fr-CH" w:bidi="ar-EG"/>
        </w:rPr>
        <w:t xml:space="preserve"> عاجلة لمكافحة تغير المناخ وآثاره".</w:t>
      </w:r>
    </w:p>
    <w:p w:rsidR="00653B9D" w:rsidRPr="00397925" w:rsidRDefault="00653B9D" w:rsidP="00CE5612">
      <w:pPr>
        <w:spacing w:before="240" w:after="240"/>
        <w:jc w:val="center"/>
        <w:rPr>
          <w:b/>
          <w:bCs/>
          <w:lang w:val="fr-CH" w:bidi="ar-EG"/>
        </w:rPr>
      </w:pPr>
      <w:r w:rsidRPr="00397925">
        <w:rPr>
          <w:rFonts w:hint="cs"/>
          <w:b/>
          <w:bCs/>
          <w:rtl/>
          <w:lang w:val="fr-CH" w:bidi="ar-EG"/>
        </w:rPr>
        <w:t xml:space="preserve">مقترحات مقدمة من </w:t>
      </w:r>
      <w:r w:rsidR="00CE5612">
        <w:rPr>
          <w:rFonts w:hint="cs"/>
          <w:b/>
          <w:bCs/>
          <w:rtl/>
          <w:lang w:val="fr-CH" w:bidi="ar-EG"/>
        </w:rPr>
        <w:t>ال</w:t>
      </w:r>
      <w:r w:rsidRPr="00397925">
        <w:rPr>
          <w:rFonts w:hint="cs"/>
          <w:b/>
          <w:bCs/>
          <w:rtl/>
          <w:lang w:val="fr-CH" w:bidi="ar-EG"/>
        </w:rPr>
        <w:t xml:space="preserve">مجموعة </w:t>
      </w:r>
      <w:r w:rsidR="00CE5612">
        <w:rPr>
          <w:rFonts w:hint="cs"/>
          <w:b/>
          <w:bCs/>
          <w:rtl/>
          <w:lang w:val="fr-CH" w:bidi="ar-EG"/>
        </w:rPr>
        <w:t>باء، وردت في 18 مارس 2022</w:t>
      </w:r>
    </w:p>
    <w:p w:rsidR="00CE5612" w:rsidRDefault="00653B9D" w:rsidP="00334193">
      <w:pPr>
        <w:pStyle w:val="ListParagraph"/>
        <w:numPr>
          <w:ilvl w:val="0"/>
          <w:numId w:val="10"/>
        </w:numPr>
        <w:spacing w:before="240" w:after="240"/>
        <w:rPr>
          <w:b/>
          <w:bCs/>
          <w:i/>
          <w:iCs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 xml:space="preserve">المقترح 1: </w:t>
      </w:r>
      <w:r w:rsidR="0099228B" w:rsidRPr="00397925">
        <w:rPr>
          <w:rFonts w:hint="cs"/>
          <w:b/>
          <w:bCs/>
          <w:i/>
          <w:iCs/>
          <w:rtl/>
          <w:lang w:val="fr-CH" w:bidi="ar-EG"/>
        </w:rPr>
        <w:t>الملكية الفكرية</w:t>
      </w:r>
      <w:r w:rsidR="00CE5612">
        <w:rPr>
          <w:rFonts w:hint="cs"/>
          <w:b/>
          <w:bCs/>
          <w:i/>
          <w:iCs/>
          <w:rtl/>
          <w:lang w:val="fr-CH" w:bidi="ar-EG"/>
        </w:rPr>
        <w:t xml:space="preserve"> والتعليم</w:t>
      </w:r>
      <w:r w:rsidR="00334193">
        <w:rPr>
          <w:rFonts w:hint="cs"/>
          <w:b/>
          <w:bCs/>
          <w:i/>
          <w:iCs/>
          <w:rtl/>
          <w:lang w:val="fr-CH" w:bidi="ar-EG"/>
        </w:rPr>
        <w:t xml:space="preserve">: </w:t>
      </w:r>
      <w:r w:rsidR="00CE5612">
        <w:rPr>
          <w:rFonts w:hint="cs"/>
          <w:b/>
          <w:bCs/>
          <w:i/>
          <w:iCs/>
          <w:rtl/>
          <w:lang w:val="fr-CH" w:bidi="ar-EG"/>
        </w:rPr>
        <w:t>تكوين الكفاءات وإذكاء الوعي بالملكية الفكرية في صفوف المبتكرين والمبدعين ورواد الأعمال والمهنيين</w:t>
      </w:r>
      <w:r w:rsidRPr="00397925">
        <w:rPr>
          <w:b/>
          <w:bCs/>
          <w:i/>
          <w:iCs/>
          <w:rtl/>
          <w:lang w:val="fr-CH" w:bidi="ar-EG"/>
        </w:rPr>
        <w:t xml:space="preserve"> </w:t>
      </w:r>
      <w:r w:rsidR="00CE5612">
        <w:rPr>
          <w:rFonts w:hint="cs"/>
          <w:b/>
          <w:bCs/>
          <w:i/>
          <w:iCs/>
          <w:rtl/>
          <w:lang w:val="fr-CH" w:bidi="ar-EG"/>
        </w:rPr>
        <w:t>القانونيين المستقبليين</w:t>
      </w:r>
    </w:p>
    <w:p w:rsidR="00CE5612" w:rsidRDefault="00CE5612" w:rsidP="00CE5612">
      <w:pPr>
        <w:pStyle w:val="ListParagraph"/>
        <w:spacing w:before="240" w:after="240"/>
        <w:rPr>
          <w:b/>
          <w:bCs/>
          <w:i/>
          <w:iCs/>
          <w:lang w:val="fr-CH" w:bidi="ar-EG"/>
        </w:rPr>
      </w:pPr>
    </w:p>
    <w:p w:rsidR="00653B9D" w:rsidRPr="00CE5612" w:rsidRDefault="00CE4AA3" w:rsidP="00CE5612">
      <w:pPr>
        <w:pStyle w:val="ListParagraph"/>
        <w:numPr>
          <w:ilvl w:val="0"/>
          <w:numId w:val="10"/>
        </w:numPr>
        <w:spacing w:before="240" w:after="240"/>
        <w:contextualSpacing w:val="0"/>
        <w:rPr>
          <w:b/>
          <w:bCs/>
          <w:i/>
          <w:iCs/>
          <w:rtl/>
          <w:lang w:val="fr-CH" w:bidi="ar-EG"/>
        </w:rPr>
      </w:pPr>
      <w:r w:rsidRPr="00CE5612">
        <w:rPr>
          <w:rFonts w:hint="cs"/>
          <w:b/>
          <w:bCs/>
          <w:i/>
          <w:iCs/>
          <w:rtl/>
          <w:lang w:val="fr-CH" w:bidi="ar-EG"/>
        </w:rPr>
        <w:t>المقترح</w:t>
      </w:r>
      <w:r w:rsidR="00CE5612">
        <w:rPr>
          <w:b/>
          <w:bCs/>
          <w:i/>
          <w:iCs/>
          <w:rtl/>
          <w:lang w:val="fr-CH" w:bidi="ar-EG"/>
        </w:rPr>
        <w:t xml:space="preserve"> 2: الملكية الفكرية</w:t>
      </w:r>
      <w:r w:rsidR="00CE5612">
        <w:rPr>
          <w:rFonts w:hint="cs"/>
          <w:b/>
          <w:bCs/>
          <w:i/>
          <w:iCs/>
          <w:rtl/>
          <w:lang w:val="fr-CH" w:bidi="ar-EG"/>
        </w:rPr>
        <w:t xml:space="preserve"> والشباب: الاستثمار في المستقبل</w:t>
      </w:r>
    </w:p>
    <w:p w:rsidR="00653B9D" w:rsidRPr="00397925" w:rsidRDefault="00BC59DF" w:rsidP="00334193">
      <w:pPr>
        <w:pStyle w:val="ListParagraph"/>
        <w:numPr>
          <w:ilvl w:val="0"/>
          <w:numId w:val="10"/>
        </w:numPr>
        <w:spacing w:before="240" w:after="240"/>
        <w:rPr>
          <w:b/>
          <w:bCs/>
          <w:i/>
          <w:iCs/>
          <w:rtl/>
          <w:lang w:val="fr-CH" w:bidi="ar-EG"/>
        </w:rPr>
      </w:pPr>
      <w:r w:rsidRPr="00397925">
        <w:rPr>
          <w:rFonts w:hint="cs"/>
          <w:b/>
          <w:bCs/>
          <w:i/>
          <w:iCs/>
          <w:rtl/>
          <w:lang w:val="fr-CH" w:bidi="ar-EG"/>
        </w:rPr>
        <w:t>المقترح</w:t>
      </w:r>
      <w:r w:rsidRPr="00397925">
        <w:rPr>
          <w:b/>
          <w:bCs/>
          <w:i/>
          <w:iCs/>
          <w:rtl/>
          <w:lang w:val="fr-CH" w:bidi="ar-EG"/>
        </w:rPr>
        <w:t xml:space="preserve"> 3: </w:t>
      </w:r>
      <w:r w:rsidR="00CE5612">
        <w:rPr>
          <w:rFonts w:hint="cs"/>
          <w:b/>
          <w:bCs/>
          <w:i/>
          <w:iCs/>
          <w:rtl/>
          <w:lang w:val="fr-CH" w:bidi="ar-EG"/>
        </w:rPr>
        <w:t xml:space="preserve">تكوين كفاءات </w:t>
      </w:r>
      <w:r w:rsidR="00334193">
        <w:rPr>
          <w:rFonts w:hint="cs"/>
          <w:b/>
          <w:bCs/>
          <w:i/>
          <w:iCs/>
          <w:rtl/>
          <w:lang w:val="fr-CH" w:bidi="ar-EG"/>
        </w:rPr>
        <w:t>قضائية</w:t>
      </w:r>
      <w:r w:rsidR="00CE5612">
        <w:rPr>
          <w:rFonts w:hint="cs"/>
          <w:b/>
          <w:bCs/>
          <w:i/>
          <w:iCs/>
          <w:rtl/>
          <w:lang w:val="fr-CH" w:bidi="ar-EG"/>
        </w:rPr>
        <w:t xml:space="preserve"> في مجال الملكية الفكرية: التجارب الوطنية</w:t>
      </w:r>
    </w:p>
    <w:p w:rsidR="00BC59DF" w:rsidRPr="00397925" w:rsidRDefault="00653B9D" w:rsidP="00CE5612">
      <w:pPr>
        <w:spacing w:before="240" w:after="240"/>
        <w:ind w:left="158" w:firstLine="562"/>
        <w:rPr>
          <w:u w:val="single"/>
          <w:rtl/>
          <w:lang w:val="fr-CH" w:bidi="ar-EG"/>
        </w:rPr>
      </w:pPr>
      <w:r w:rsidRPr="00397925">
        <w:rPr>
          <w:u w:val="single"/>
          <w:rtl/>
          <w:lang w:val="fr-CH" w:bidi="ar-EG"/>
        </w:rPr>
        <w:t xml:space="preserve">تعليق </w:t>
      </w:r>
      <w:r w:rsidR="00CE5612">
        <w:rPr>
          <w:rFonts w:hint="cs"/>
          <w:u w:val="single"/>
          <w:rtl/>
          <w:lang w:val="fr-CH" w:bidi="ar-EG"/>
        </w:rPr>
        <w:t>ال</w:t>
      </w:r>
      <w:r w:rsidR="00BC59DF" w:rsidRPr="00397925">
        <w:rPr>
          <w:u w:val="single"/>
          <w:rtl/>
          <w:lang w:val="fr-CH" w:bidi="ar-EG"/>
        </w:rPr>
        <w:t xml:space="preserve">مجموعة </w:t>
      </w:r>
      <w:r w:rsidR="00CE5612">
        <w:rPr>
          <w:rFonts w:hint="cs"/>
          <w:u w:val="single"/>
          <w:rtl/>
          <w:lang w:val="fr-CH" w:bidi="ar-EG"/>
        </w:rPr>
        <w:t>باء</w:t>
      </w:r>
      <w:r w:rsidR="00BC59DF" w:rsidRPr="00397925">
        <w:rPr>
          <w:u w:val="single"/>
          <w:rtl/>
          <w:lang w:val="fr-CH" w:bidi="ar-EG"/>
        </w:rPr>
        <w:t>:</w:t>
      </w:r>
    </w:p>
    <w:p w:rsidR="00CE5612" w:rsidRDefault="00CE5612" w:rsidP="00CE5612">
      <w:pPr>
        <w:pStyle w:val="ListParagraph"/>
        <w:rPr>
          <w:rtl/>
          <w:lang w:val="fr-CH" w:bidi="ar-EG"/>
        </w:rPr>
      </w:pPr>
      <w:r w:rsidRPr="00CE5612">
        <w:rPr>
          <w:rtl/>
          <w:lang w:val="fr-CH" w:bidi="ar-EG"/>
        </w:rPr>
        <w:t xml:space="preserve">هذا موضوع معدل اقترحته البرازيل. </w:t>
      </w:r>
      <w:r w:rsidR="001C326E">
        <w:rPr>
          <w:rFonts w:hint="cs"/>
          <w:rtl/>
          <w:lang w:val="fr-CH" w:bidi="ar-EG"/>
        </w:rPr>
        <w:t>و</w:t>
      </w:r>
      <w:r>
        <w:rPr>
          <w:rFonts w:hint="cs"/>
          <w:rtl/>
          <w:lang w:val="fr-CH" w:bidi="ar-EG"/>
        </w:rPr>
        <w:t>مقترح</w:t>
      </w:r>
      <w:r w:rsidRPr="00CE5612">
        <w:rPr>
          <w:rtl/>
          <w:lang w:val="fr-CH" w:bidi="ar-EG"/>
        </w:rPr>
        <w:t xml:space="preserve"> البرازيل الأصلي هو سيا</w:t>
      </w:r>
      <w:r>
        <w:rPr>
          <w:rtl/>
          <w:lang w:val="fr-CH" w:bidi="ar-EG"/>
        </w:rPr>
        <w:t>سات الملكية الفكرية ودور القضاء</w:t>
      </w:r>
      <w:r w:rsidR="00653B9D" w:rsidRPr="00653B9D">
        <w:rPr>
          <w:rtl/>
          <w:lang w:val="fr-CH" w:bidi="ar-EG"/>
        </w:rPr>
        <w:t>.</w:t>
      </w:r>
    </w:p>
    <w:p w:rsidR="00CF7EC9" w:rsidRDefault="00CE5612" w:rsidP="002227AE">
      <w:pPr>
        <w:pStyle w:val="ListParagraph"/>
        <w:numPr>
          <w:ilvl w:val="0"/>
          <w:numId w:val="11"/>
        </w:numPr>
        <w:spacing w:before="240" w:after="240"/>
        <w:ind w:left="806"/>
        <w:contextualSpacing w:val="0"/>
        <w:rPr>
          <w:b/>
          <w:bCs/>
          <w:i/>
          <w:iCs/>
          <w:lang w:val="fr-CH" w:bidi="ar-EG"/>
        </w:rPr>
      </w:pPr>
      <w:r>
        <w:rPr>
          <w:rFonts w:hint="cs"/>
          <w:b/>
          <w:bCs/>
          <w:i/>
          <w:iCs/>
          <w:rtl/>
          <w:lang w:val="fr-CH" w:bidi="ar-EG"/>
        </w:rPr>
        <w:t>المقترح 4: استخدام</w:t>
      </w:r>
      <w:r w:rsidR="00CF7EC9" w:rsidRPr="00397925">
        <w:rPr>
          <w:rFonts w:hint="cs"/>
          <w:b/>
          <w:bCs/>
          <w:i/>
          <w:iCs/>
          <w:rtl/>
          <w:lang w:val="fr-CH" w:bidi="ar-EG"/>
        </w:rPr>
        <w:t xml:space="preserve"> الملكية الفكرية </w:t>
      </w:r>
      <w:r>
        <w:rPr>
          <w:rFonts w:hint="cs"/>
          <w:b/>
          <w:bCs/>
          <w:i/>
          <w:iCs/>
          <w:rtl/>
          <w:lang w:val="fr-CH" w:bidi="ar-EG"/>
        </w:rPr>
        <w:t>في بناء الأعمال التجارية: دراسات حالة من (1) بلدان نامية و(2) من نساء تدرن/ تمتلكن أعمالاً تجارية</w:t>
      </w:r>
    </w:p>
    <w:p w:rsidR="00CE5612" w:rsidRPr="00397925" w:rsidRDefault="00CE5612" w:rsidP="001C326E">
      <w:pPr>
        <w:pStyle w:val="ListParagraph"/>
        <w:numPr>
          <w:ilvl w:val="0"/>
          <w:numId w:val="11"/>
        </w:numPr>
        <w:spacing w:before="240" w:after="240"/>
        <w:ind w:left="806"/>
        <w:rPr>
          <w:b/>
          <w:bCs/>
          <w:i/>
          <w:iCs/>
          <w:lang w:val="fr-CH" w:bidi="ar-EG"/>
        </w:rPr>
      </w:pPr>
      <w:r>
        <w:rPr>
          <w:rFonts w:hint="cs"/>
          <w:b/>
          <w:bCs/>
          <w:i/>
          <w:iCs/>
          <w:rtl/>
          <w:lang w:val="fr-CH" w:bidi="ar-EG"/>
        </w:rPr>
        <w:t xml:space="preserve">المقترح 5: تحفيز الابتكار من خلال برامج </w:t>
      </w:r>
      <w:r w:rsidR="001C326E">
        <w:rPr>
          <w:rFonts w:hint="cs"/>
          <w:b/>
          <w:bCs/>
          <w:i/>
          <w:iCs/>
          <w:rtl/>
          <w:lang w:val="fr-CH" w:bidi="ar-EG"/>
        </w:rPr>
        <w:t>ال</w:t>
      </w:r>
      <w:r>
        <w:rPr>
          <w:rFonts w:hint="cs"/>
          <w:b/>
          <w:bCs/>
          <w:i/>
          <w:iCs/>
          <w:rtl/>
          <w:lang w:val="fr-CH" w:bidi="ar-EG"/>
        </w:rPr>
        <w:t xml:space="preserve">منافسة </w:t>
      </w:r>
      <w:r w:rsidR="001C326E">
        <w:rPr>
          <w:rFonts w:hint="cs"/>
          <w:b/>
          <w:bCs/>
          <w:i/>
          <w:iCs/>
          <w:rtl/>
          <w:lang w:val="fr-CH" w:bidi="ar-EG"/>
        </w:rPr>
        <w:t>في مجال</w:t>
      </w:r>
      <w:r w:rsidR="002227AE">
        <w:rPr>
          <w:rFonts w:hint="cs"/>
          <w:b/>
          <w:bCs/>
          <w:i/>
          <w:iCs/>
          <w:rtl/>
          <w:lang w:val="fr-CH" w:bidi="ar-EG"/>
        </w:rPr>
        <w:t xml:space="preserve"> الملكية الفكرية: التجارب الوطنية</w:t>
      </w:r>
    </w:p>
    <w:p w:rsidR="00A434E8" w:rsidRPr="00397925" w:rsidRDefault="00A434E8" w:rsidP="00397925">
      <w:pPr>
        <w:spacing w:before="240" w:after="240"/>
        <w:ind w:left="720"/>
        <w:rPr>
          <w:u w:val="single"/>
          <w:rtl/>
          <w:lang w:val="fr-CH" w:bidi="ar-EG"/>
        </w:rPr>
      </w:pPr>
      <w:r w:rsidRPr="00397925">
        <w:rPr>
          <w:rFonts w:hint="cs"/>
          <w:u w:val="single"/>
          <w:rtl/>
          <w:lang w:val="fr-CH" w:bidi="ar-EG"/>
        </w:rPr>
        <w:lastRenderedPageBreak/>
        <w:t>تعليق المجموعة باء:</w:t>
      </w:r>
    </w:p>
    <w:p w:rsidR="00A434E8" w:rsidRPr="00A434E8" w:rsidRDefault="002227AE" w:rsidP="001C326E">
      <w:pPr>
        <w:ind w:left="720"/>
        <w:rPr>
          <w:rtl/>
          <w:lang w:val="fr-CH" w:bidi="ar-EG"/>
        </w:rPr>
      </w:pPr>
      <w:r w:rsidRPr="002227AE">
        <w:rPr>
          <w:rtl/>
          <w:lang w:val="fr-CH" w:bidi="ar-EG"/>
        </w:rPr>
        <w:t xml:space="preserve">لدى العديد من الدول الأعضاء برامج منافسة على جوائز الملكية الفكرية. </w:t>
      </w:r>
      <w:r w:rsidR="001C326E">
        <w:rPr>
          <w:rFonts w:hint="cs"/>
          <w:rtl/>
          <w:lang w:val="fr-CH" w:bidi="ar-EG"/>
        </w:rPr>
        <w:t>و</w:t>
      </w:r>
      <w:r w:rsidRPr="002227AE">
        <w:rPr>
          <w:rtl/>
          <w:lang w:val="fr-CH" w:bidi="ar-EG"/>
        </w:rPr>
        <w:t>أحد الأمثلة على ذلك هو برنامج براءات من أجل الإنسانية التابع ل</w:t>
      </w:r>
      <w:r>
        <w:rPr>
          <w:rtl/>
          <w:lang w:val="fr-CH" w:bidi="ar-EG"/>
        </w:rPr>
        <w:t>مكتب الولايات المتحدة الأمريكية</w:t>
      </w:r>
      <w:r w:rsidR="001C326E">
        <w:rPr>
          <w:rFonts w:hint="cs"/>
          <w:rtl/>
          <w:lang w:val="fr-CH" w:bidi="ar-EG"/>
        </w:rPr>
        <w:t xml:space="preserve"> للبراءات والعلامات التجارية</w:t>
      </w:r>
      <w:r w:rsidRPr="002227AE">
        <w:rPr>
          <w:rtl/>
          <w:lang w:val="fr-CH" w:bidi="ar-EG"/>
        </w:rPr>
        <w:t xml:space="preserve">، والذي يعترف </w:t>
      </w:r>
      <w:r w:rsidR="001C326E">
        <w:rPr>
          <w:rFonts w:hint="cs"/>
          <w:rtl/>
          <w:lang w:val="fr-CH" w:bidi="ar-EG"/>
        </w:rPr>
        <w:t>ب</w:t>
      </w:r>
      <w:r w:rsidRPr="002227AE">
        <w:rPr>
          <w:rtl/>
          <w:lang w:val="fr-CH" w:bidi="ar-EG"/>
        </w:rPr>
        <w:t xml:space="preserve">المخترعين الذين يستخدمون </w:t>
      </w:r>
      <w:r w:rsidR="001C326E">
        <w:rPr>
          <w:rFonts w:hint="cs"/>
          <w:rtl/>
          <w:lang w:val="fr-CH" w:bidi="ar-EG"/>
        </w:rPr>
        <w:t>التكنولوجيات</w:t>
      </w:r>
      <w:r w:rsidRPr="002227AE">
        <w:rPr>
          <w:rtl/>
          <w:lang w:val="fr-CH" w:bidi="ar-EG"/>
        </w:rPr>
        <w:t xml:space="preserve"> المبتكرة لمواجهة التحديات الإنسانية العالمية</w:t>
      </w:r>
      <w:r w:rsidR="001C326E" w:rsidRPr="001C326E">
        <w:rPr>
          <w:rtl/>
          <w:lang w:val="fr-CH" w:bidi="ar-EG"/>
        </w:rPr>
        <w:t xml:space="preserve"> </w:t>
      </w:r>
      <w:r w:rsidR="001C326E">
        <w:rPr>
          <w:rtl/>
          <w:lang w:val="fr-CH" w:bidi="ar-EG"/>
        </w:rPr>
        <w:t>ويكاف</w:t>
      </w:r>
      <w:r w:rsidR="001C326E">
        <w:rPr>
          <w:rFonts w:hint="cs"/>
          <w:rtl/>
          <w:lang w:val="fr-CH" w:bidi="ar-EG"/>
        </w:rPr>
        <w:t>ئهم على ذلك</w:t>
      </w:r>
      <w:r w:rsidRPr="002227AE">
        <w:rPr>
          <w:rtl/>
          <w:lang w:val="fr-CH" w:bidi="ar-EG"/>
        </w:rPr>
        <w:t xml:space="preserve">. </w:t>
      </w:r>
      <w:hyperlink r:id="rId8" w:history="1">
        <w:r w:rsidRPr="001C326E">
          <w:rPr>
            <w:rStyle w:val="Hyperlink"/>
            <w:lang w:val="fr-CH" w:bidi="ar-EG"/>
          </w:rPr>
          <w:t>www.uspto.gov/ip-policy/patent-policy/patents-humanity</w:t>
        </w:r>
      </w:hyperlink>
      <w:r w:rsidR="001C326E">
        <w:rPr>
          <w:rFonts w:hint="cs"/>
          <w:rtl/>
          <w:lang w:val="fr-CH" w:bidi="ar-EG"/>
        </w:rPr>
        <w:t>.</w:t>
      </w:r>
    </w:p>
    <w:p w:rsidR="00073053" w:rsidRDefault="00073053" w:rsidP="00B10145">
      <w:pPr>
        <w:rPr>
          <w:rtl/>
          <w:lang w:bidi="ar-EG"/>
        </w:rPr>
      </w:pPr>
    </w:p>
    <w:sectPr w:rsidR="00073053" w:rsidSect="002E534B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6A" w:rsidRDefault="00AF1E6A" w:rsidP="005F56C4">
      <w:r>
        <w:separator/>
      </w:r>
    </w:p>
  </w:endnote>
  <w:endnote w:type="continuationSeparator" w:id="0">
    <w:p w:rsidR="00AF1E6A" w:rsidRDefault="00AF1E6A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2290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CF3" w:rsidRDefault="00511C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B2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11CF3" w:rsidRDefault="0051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6A" w:rsidRDefault="00AF1E6A" w:rsidP="005F56C4">
      <w:r>
        <w:separator/>
      </w:r>
    </w:p>
  </w:footnote>
  <w:footnote w:type="continuationSeparator" w:id="0">
    <w:p w:rsidR="00AF1E6A" w:rsidRDefault="00AF1E6A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73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011C42"/>
    <w:multiLevelType w:val="hybridMultilevel"/>
    <w:tmpl w:val="AC9EA80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6ED245BF"/>
    <w:multiLevelType w:val="hybridMultilevel"/>
    <w:tmpl w:val="87AC3F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8"/>
    <w:rsid w:val="00073053"/>
    <w:rsid w:val="00085447"/>
    <w:rsid w:val="000F5E56"/>
    <w:rsid w:val="00135B24"/>
    <w:rsid w:val="001B503F"/>
    <w:rsid w:val="001C1F76"/>
    <w:rsid w:val="001C326E"/>
    <w:rsid w:val="002227AE"/>
    <w:rsid w:val="002E534B"/>
    <w:rsid w:val="002F5F9C"/>
    <w:rsid w:val="00334193"/>
    <w:rsid w:val="00397925"/>
    <w:rsid w:val="003E6531"/>
    <w:rsid w:val="00431118"/>
    <w:rsid w:val="004858C7"/>
    <w:rsid w:val="00511CF3"/>
    <w:rsid w:val="00563B51"/>
    <w:rsid w:val="005F56C4"/>
    <w:rsid w:val="00626029"/>
    <w:rsid w:val="0064118A"/>
    <w:rsid w:val="00653B9D"/>
    <w:rsid w:val="007B1B4D"/>
    <w:rsid w:val="007B240C"/>
    <w:rsid w:val="007D53C7"/>
    <w:rsid w:val="00804DB7"/>
    <w:rsid w:val="0085770C"/>
    <w:rsid w:val="0099228B"/>
    <w:rsid w:val="0099394D"/>
    <w:rsid w:val="009E3411"/>
    <w:rsid w:val="00A434E8"/>
    <w:rsid w:val="00AC5692"/>
    <w:rsid w:val="00AF1E6A"/>
    <w:rsid w:val="00B10145"/>
    <w:rsid w:val="00B172AB"/>
    <w:rsid w:val="00B545F1"/>
    <w:rsid w:val="00BC59DF"/>
    <w:rsid w:val="00BE5389"/>
    <w:rsid w:val="00C3229F"/>
    <w:rsid w:val="00C53487"/>
    <w:rsid w:val="00C554EC"/>
    <w:rsid w:val="00CB0956"/>
    <w:rsid w:val="00CE4AA3"/>
    <w:rsid w:val="00CE5612"/>
    <w:rsid w:val="00CF7EC9"/>
    <w:rsid w:val="00D878C7"/>
    <w:rsid w:val="00EA0686"/>
    <w:rsid w:val="00EB6478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D2AE-AD38-4E28-9E2E-3353A96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styleId="Hyperlink">
    <w:name w:val="Hyperlink"/>
    <w:basedOn w:val="DefaultParagraphFont"/>
    <w:unhideWhenUsed/>
    <w:rsid w:val="001B503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1CF3"/>
    <w:rPr>
      <w:rFonts w:ascii="Arial" w:hAnsi="Arial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B4D"/>
    <w:pPr>
      <w:pBdr>
        <w:top w:val="single" w:sz="4" w:space="10" w:color="4F81BD" w:themeColor="accent1"/>
        <w:bottom w:val="single" w:sz="4" w:space="10" w:color="4F81BD" w:themeColor="accent1"/>
      </w:pBdr>
      <w:bidi w:val="0"/>
      <w:spacing w:before="360" w:after="360"/>
      <w:ind w:left="864" w:right="864"/>
      <w:jc w:val="center"/>
    </w:pPr>
    <w:rPr>
      <w:rFonts w:cs="Arial"/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B4D"/>
    <w:rPr>
      <w:rFonts w:ascii="Arial" w:hAnsi="Arial" w:cs="Arial"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spto.gov/ip-policy/patent-policy/patents-huma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9340-742B-4840-B533-7E8D5B6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127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IHADADENE Soraya</dc:creator>
  <cp:keywords/>
  <dc:description/>
  <cp:lastModifiedBy>Soraya Ihadadene</cp:lastModifiedBy>
  <cp:revision>10</cp:revision>
  <cp:lastPrinted>2022-04-13T11:57:00Z</cp:lastPrinted>
  <dcterms:created xsi:type="dcterms:W3CDTF">2022-04-13T09:16:00Z</dcterms:created>
  <dcterms:modified xsi:type="dcterms:W3CDTF">2022-04-13T11:57:00Z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99ea0853-91e7-4b48-af55-1b6c1562c8ea</vt:lpwstr>
  </property>
</Properties>
</file>