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4A68" w:rsidP="00916EE2">
            <w:r>
              <w:rPr>
                <w:noProof/>
                <w:lang w:eastAsia="en-US"/>
              </w:rPr>
              <w:drawing>
                <wp:inline distT="0" distB="0" distL="0" distR="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BD6270">
            <w:pPr>
              <w:jc w:val="right"/>
              <w:rPr>
                <w:rFonts w:ascii="Arial Black" w:hAnsi="Arial Black"/>
                <w:caps/>
                <w:sz w:val="15"/>
              </w:rPr>
            </w:pPr>
            <w:r>
              <w:rPr>
                <w:rFonts w:ascii="Arial Black" w:hAnsi="Arial Black"/>
                <w:caps/>
                <w:sz w:val="15"/>
              </w:rPr>
              <w:t xml:space="preserve">INFORMATION NOTICE NO. </w:t>
            </w:r>
            <w:r w:rsidR="00BD6270">
              <w:rPr>
                <w:rFonts w:ascii="Arial Black" w:hAnsi="Arial Black"/>
                <w:caps/>
                <w:sz w:val="15"/>
              </w:rPr>
              <w:t>7</w:t>
            </w:r>
            <w:r>
              <w:rPr>
                <w:rFonts w:ascii="Arial Black" w:hAnsi="Arial Black"/>
                <w:caps/>
                <w:sz w:val="15"/>
              </w:rPr>
              <w:t>/201</w:t>
            </w:r>
            <w:r w:rsidR="004171BA">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CC5016" w:rsidRDefault="006223DB" w:rsidP="004171BA">
      <w:pPr>
        <w:autoSpaceDE w:val="0"/>
        <w:autoSpaceDN w:val="0"/>
        <w:adjustRightInd w:val="0"/>
        <w:spacing w:before="120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rsidR="009F0611" w:rsidRPr="00C6430D" w:rsidRDefault="00997550" w:rsidP="004171BA">
      <w:pPr>
        <w:spacing w:before="720" w:after="240"/>
        <w:outlineLvl w:val="0"/>
        <w:rPr>
          <w:b/>
          <w:bCs/>
          <w:iCs/>
          <w:caps/>
          <w:sz w:val="24"/>
          <w:szCs w:val="24"/>
        </w:rPr>
      </w:pPr>
      <w:r w:rsidRPr="00EE0E83">
        <w:rPr>
          <w:b/>
          <w:bCs/>
          <w:iCs/>
          <w:sz w:val="24"/>
          <w:szCs w:val="24"/>
        </w:rPr>
        <w:t xml:space="preserve">Accession to </w:t>
      </w:r>
      <w:r w:rsidR="00BD03E2" w:rsidRPr="00EE0E83">
        <w:rPr>
          <w:b/>
          <w:bCs/>
          <w:iCs/>
          <w:sz w:val="24"/>
          <w:szCs w:val="24"/>
        </w:rPr>
        <w:t>the 1999 Act:</w:t>
      </w:r>
      <w:r w:rsidR="00BD03E2">
        <w:rPr>
          <w:b/>
          <w:bCs/>
          <w:iCs/>
          <w:sz w:val="24"/>
          <w:szCs w:val="24"/>
        </w:rPr>
        <w:t xml:space="preserve">  </w:t>
      </w:r>
      <w:r w:rsidR="004171BA">
        <w:rPr>
          <w:b/>
          <w:bCs/>
          <w:iCs/>
          <w:sz w:val="24"/>
          <w:szCs w:val="24"/>
        </w:rPr>
        <w:t>Samoa</w:t>
      </w:r>
    </w:p>
    <w:p w:rsidR="00BD03E2" w:rsidRDefault="00BD03E2" w:rsidP="00242F64">
      <w:pPr>
        <w:pStyle w:val="ListParagraph"/>
        <w:numPr>
          <w:ilvl w:val="0"/>
          <w:numId w:val="7"/>
        </w:numPr>
        <w:spacing w:after="220"/>
        <w:ind w:left="0" w:firstLine="0"/>
        <w:contextualSpacing w:val="0"/>
      </w:pPr>
      <w:r>
        <w:t xml:space="preserve">On </w:t>
      </w:r>
      <w:r w:rsidR="004171BA">
        <w:t>October</w:t>
      </w:r>
      <w:r w:rsidR="001A01E9">
        <w:t xml:space="preserve"> </w:t>
      </w:r>
      <w:r w:rsidR="004171BA">
        <w:t>2</w:t>
      </w:r>
      <w:r w:rsidR="00E52EC3" w:rsidRPr="00EE0E83">
        <w:t>, 201</w:t>
      </w:r>
      <w:r w:rsidR="00111E5A">
        <w:t>9</w:t>
      </w:r>
      <w:r w:rsidRPr="00EE0E83">
        <w:t>,</w:t>
      </w:r>
      <w:r>
        <w:t xml:space="preserve"> the Government of </w:t>
      </w:r>
      <w:r w:rsidR="004171BA">
        <w:t>Samoa</w:t>
      </w:r>
      <w:r>
        <w:t xml:space="preserve"> deposited with the Director</w:t>
      </w:r>
      <w:r w:rsidR="000D19B9">
        <w:t> </w:t>
      </w:r>
      <w:r>
        <w:t xml:space="preserve">General of the World Intellectual Property Organization (WIPO) its </w:t>
      </w:r>
      <w:r w:rsidRPr="00EE0E83">
        <w:t xml:space="preserve">instrument of </w:t>
      </w:r>
      <w:r w:rsidR="00997550" w:rsidRPr="00EE0E83">
        <w:t>accession to</w:t>
      </w:r>
      <w:r w:rsidRPr="00EE0E83">
        <w:t xml:space="preserve"> the Geneva</w:t>
      </w:r>
      <w:r w:rsidR="00997550" w:rsidRPr="00EE0E83">
        <w:t> </w:t>
      </w:r>
      <w:r w:rsidRPr="00EE0E83">
        <w:t>(1999) Act of the Hague Agreement Concerning the In</w:t>
      </w:r>
      <w:r>
        <w:t>ternational Registration of Industrial Designs</w:t>
      </w:r>
      <w:r w:rsidR="004171BA">
        <w:t>.</w:t>
      </w:r>
    </w:p>
    <w:p w:rsidR="00BD03E2" w:rsidRDefault="00BD03E2" w:rsidP="00242F64">
      <w:pPr>
        <w:pStyle w:val="ListParagraph"/>
        <w:numPr>
          <w:ilvl w:val="0"/>
          <w:numId w:val="7"/>
        </w:numPr>
        <w:spacing w:after="220"/>
        <w:ind w:left="0" w:firstLine="0"/>
        <w:contextualSpacing w:val="0"/>
      </w:pPr>
      <w:r>
        <w:t xml:space="preserve">The instrument </w:t>
      </w:r>
      <w:r w:rsidRPr="00EE0E83">
        <w:t xml:space="preserve">of </w:t>
      </w:r>
      <w:r w:rsidR="00997550" w:rsidRPr="00EE0E83">
        <w:t>accession</w:t>
      </w:r>
      <w:r>
        <w:t xml:space="preserve"> was accompanied by the following declarations:</w:t>
      </w:r>
    </w:p>
    <w:p w:rsidR="001A01E9" w:rsidRPr="002D5662" w:rsidRDefault="00E901C1" w:rsidP="004171BA">
      <w:pPr>
        <w:pStyle w:val="ListParagraph"/>
        <w:spacing w:after="220"/>
        <w:ind w:left="567"/>
        <w:contextualSpacing w:val="0"/>
      </w:pPr>
      <w:r w:rsidRPr="00E901C1">
        <w:t>–</w:t>
      </w:r>
      <w:r w:rsidRPr="00E901C1">
        <w:tab/>
      </w:r>
      <w:r w:rsidR="001A01E9">
        <w:t xml:space="preserve">the declaration referred to in Article 11(1)(a) of the 1999 Act, whereby the maximum period for the deferment of the publication of an industrial design provided for by the legislation of </w:t>
      </w:r>
      <w:r w:rsidR="004171BA">
        <w:t>Samoa</w:t>
      </w:r>
      <w:r w:rsidR="001A01E9">
        <w:t xml:space="preserve"> is 12 months</w:t>
      </w:r>
      <w:r w:rsidR="00961611" w:rsidRPr="00961611">
        <w:rPr>
          <w:szCs w:val="22"/>
        </w:rPr>
        <w:t xml:space="preserve"> </w:t>
      </w:r>
      <w:r w:rsidR="00961611">
        <w:rPr>
          <w:szCs w:val="22"/>
        </w:rPr>
        <w:t>from the filing date or, where priority is claimed, from the priority date</w:t>
      </w:r>
      <w:r w:rsidR="001A01E9">
        <w:t>;  and</w:t>
      </w:r>
    </w:p>
    <w:p w:rsidR="00BD03E2" w:rsidRDefault="000D19B9" w:rsidP="004171BA">
      <w:pPr>
        <w:pStyle w:val="ListParagraph"/>
        <w:spacing w:after="220"/>
        <w:ind w:left="567"/>
        <w:contextualSpacing w:val="0"/>
        <w:rPr>
          <w:szCs w:val="22"/>
        </w:rPr>
      </w:pPr>
      <w:r w:rsidRPr="002D5662">
        <w:rPr>
          <w:szCs w:val="22"/>
        </w:rPr>
        <w:t>–</w:t>
      </w:r>
      <w:r w:rsidRPr="002D5662">
        <w:rPr>
          <w:szCs w:val="22"/>
        </w:rPr>
        <w:tab/>
      </w:r>
      <w:r w:rsidR="004171BA">
        <w:rPr>
          <w:szCs w:val="22"/>
        </w:rPr>
        <w:t xml:space="preserve">the declaration </w:t>
      </w:r>
      <w:r w:rsidR="00CB313F">
        <w:rPr>
          <w:szCs w:val="22"/>
        </w:rPr>
        <w:t xml:space="preserve">as </w:t>
      </w:r>
      <w:r w:rsidR="00BD03E2" w:rsidRPr="002D5662">
        <w:rPr>
          <w:szCs w:val="22"/>
        </w:rPr>
        <w:t>required under Article 17(3)</w:t>
      </w:r>
      <w:r w:rsidRPr="002D5662">
        <w:rPr>
          <w:szCs w:val="22"/>
        </w:rPr>
        <w:t>(c)</w:t>
      </w:r>
      <w:r w:rsidR="00BD03E2" w:rsidRPr="002D5662">
        <w:rPr>
          <w:szCs w:val="22"/>
        </w:rPr>
        <w:t xml:space="preserve"> of the 1999</w:t>
      </w:r>
      <w:r w:rsidRPr="002D5662">
        <w:rPr>
          <w:szCs w:val="22"/>
        </w:rPr>
        <w:t> </w:t>
      </w:r>
      <w:r w:rsidR="00BD03E2" w:rsidRPr="002D5662">
        <w:rPr>
          <w:szCs w:val="22"/>
        </w:rPr>
        <w:t>Act, specifying that the</w:t>
      </w:r>
      <w:r w:rsidRPr="002D5662">
        <w:rPr>
          <w:szCs w:val="22"/>
        </w:rPr>
        <w:t xml:space="preserve"> </w:t>
      </w:r>
      <w:r w:rsidR="00BD03E2" w:rsidRPr="002D5662">
        <w:rPr>
          <w:szCs w:val="22"/>
        </w:rPr>
        <w:t xml:space="preserve">maximum duration of protection provided for by the </w:t>
      </w:r>
      <w:r w:rsidR="00EF65B9">
        <w:rPr>
          <w:szCs w:val="22"/>
        </w:rPr>
        <w:t>legislation</w:t>
      </w:r>
      <w:r w:rsidR="00997550">
        <w:rPr>
          <w:szCs w:val="22"/>
        </w:rPr>
        <w:t xml:space="preserve"> </w:t>
      </w:r>
      <w:r w:rsidR="00EE0E83">
        <w:rPr>
          <w:szCs w:val="22"/>
        </w:rPr>
        <w:t xml:space="preserve">of </w:t>
      </w:r>
      <w:r w:rsidR="004171BA">
        <w:rPr>
          <w:szCs w:val="22"/>
        </w:rPr>
        <w:t>Samoa</w:t>
      </w:r>
      <w:r w:rsidR="00EE0E83">
        <w:rPr>
          <w:szCs w:val="22"/>
        </w:rPr>
        <w:t xml:space="preserve"> </w:t>
      </w:r>
      <w:r w:rsidR="00BD03E2" w:rsidRPr="002D5662">
        <w:rPr>
          <w:szCs w:val="22"/>
        </w:rPr>
        <w:t xml:space="preserve">in respect of industrial designs </w:t>
      </w:r>
      <w:r w:rsidR="00EF65B9">
        <w:rPr>
          <w:szCs w:val="22"/>
        </w:rPr>
        <w:t>is 15 years</w:t>
      </w:r>
      <w:r w:rsidR="001A01E9">
        <w:rPr>
          <w:szCs w:val="22"/>
        </w:rPr>
        <w:t>.</w:t>
      </w:r>
    </w:p>
    <w:p w:rsidR="00BD03E2" w:rsidRDefault="004171BA" w:rsidP="004171BA">
      <w:pPr>
        <w:pStyle w:val="ListParagraph"/>
        <w:numPr>
          <w:ilvl w:val="0"/>
          <w:numId w:val="7"/>
        </w:numPr>
        <w:spacing w:after="220"/>
        <w:ind w:left="0" w:firstLine="0"/>
        <w:contextualSpacing w:val="0"/>
      </w:pPr>
      <w:r>
        <w:rPr>
          <w:szCs w:val="22"/>
        </w:rPr>
        <w:t>I</w:t>
      </w:r>
      <w:r w:rsidR="00BD03E2">
        <w:rPr>
          <w:szCs w:val="22"/>
        </w:rPr>
        <w:t>n accordance with Article 28(3)(b)</w:t>
      </w:r>
      <w:r w:rsidR="00E62E7A">
        <w:rPr>
          <w:szCs w:val="22"/>
        </w:rPr>
        <w:t xml:space="preserve"> </w:t>
      </w:r>
      <w:r w:rsidR="00BD03E2">
        <w:rPr>
          <w:szCs w:val="22"/>
        </w:rPr>
        <w:t>of the</w:t>
      </w:r>
      <w:r w:rsidR="00A63F6A">
        <w:rPr>
          <w:szCs w:val="22"/>
        </w:rPr>
        <w:t> </w:t>
      </w:r>
      <w:r w:rsidR="00BD03E2">
        <w:rPr>
          <w:szCs w:val="22"/>
        </w:rPr>
        <w:t>1999</w:t>
      </w:r>
      <w:r w:rsidR="002F4F73">
        <w:rPr>
          <w:szCs w:val="22"/>
        </w:rPr>
        <w:t> </w:t>
      </w:r>
      <w:r w:rsidR="00BD03E2">
        <w:rPr>
          <w:szCs w:val="22"/>
        </w:rPr>
        <w:t>Act,</w:t>
      </w:r>
      <w:r w:rsidR="00BD03E2">
        <w:t xml:space="preserve"> the 1999 Act and the declarations made will enter into force</w:t>
      </w:r>
      <w:r w:rsidR="00CB313F">
        <w:t>,</w:t>
      </w:r>
      <w:r w:rsidR="00BD03E2">
        <w:t xml:space="preserve"> </w:t>
      </w:r>
      <w:r w:rsidR="00CB313F">
        <w:t>in respect of</w:t>
      </w:r>
      <w:r w:rsidR="00BD03E2">
        <w:t xml:space="preserve"> </w:t>
      </w:r>
      <w:r>
        <w:t>Samoa</w:t>
      </w:r>
      <w:r w:rsidR="00CB313F">
        <w:t>,</w:t>
      </w:r>
      <w:r w:rsidR="00BD03E2">
        <w:t xml:space="preserve"> </w:t>
      </w:r>
      <w:r w:rsidR="00BD03E2" w:rsidRPr="00EE0E83">
        <w:t xml:space="preserve">on </w:t>
      </w:r>
      <w:r>
        <w:t>January</w:t>
      </w:r>
      <w:r w:rsidR="00CB313F">
        <w:t> </w:t>
      </w:r>
      <w:r>
        <w:t>2,</w:t>
      </w:r>
      <w:r w:rsidR="00CB313F">
        <w:t> </w:t>
      </w:r>
      <w:r>
        <w:t>2020</w:t>
      </w:r>
      <w:r w:rsidR="00BD03E2">
        <w:t>.</w:t>
      </w:r>
    </w:p>
    <w:p w:rsidR="00BD03E2" w:rsidRPr="0026235C" w:rsidRDefault="00BD03E2" w:rsidP="00BD03E2">
      <w:pPr>
        <w:pStyle w:val="ListParagraph"/>
        <w:numPr>
          <w:ilvl w:val="0"/>
          <w:numId w:val="7"/>
        </w:numPr>
        <w:ind w:left="0" w:firstLine="0"/>
      </w:pPr>
      <w:r w:rsidRPr="0070117B">
        <w:t xml:space="preserve">The </w:t>
      </w:r>
      <w:r w:rsidR="00997550" w:rsidRPr="0070117B">
        <w:t xml:space="preserve">accession of </w:t>
      </w:r>
      <w:r w:rsidR="004171BA">
        <w:t>Samoa</w:t>
      </w:r>
      <w:r w:rsidR="00997550" w:rsidRPr="0070117B">
        <w:t xml:space="preserve"> to </w:t>
      </w:r>
      <w:r w:rsidR="00A2667E" w:rsidRPr="0070117B">
        <w:t>the 1999 Act</w:t>
      </w:r>
      <w:r w:rsidR="00997550" w:rsidRPr="0070117B">
        <w:t xml:space="preserve"> </w:t>
      </w:r>
      <w:r w:rsidRPr="0070117B">
        <w:t xml:space="preserve">brings the number of Contracting </w:t>
      </w:r>
      <w:r w:rsidRPr="007D7393">
        <w:t>Parties to this</w:t>
      </w:r>
      <w:r w:rsidR="00CB313F">
        <w:t> </w:t>
      </w:r>
      <w:r w:rsidRPr="007D7393">
        <w:t xml:space="preserve">Act to </w:t>
      </w:r>
      <w:r w:rsidR="001A01E9">
        <w:t>6</w:t>
      </w:r>
      <w:r w:rsidR="004171BA">
        <w:t>2</w:t>
      </w:r>
      <w:r w:rsidR="002F4F73">
        <w:t xml:space="preserve"> and</w:t>
      </w:r>
      <w:r w:rsidR="00997550" w:rsidRPr="007D7393">
        <w:t xml:space="preserve"> th</w:t>
      </w:r>
      <w:r w:rsidR="00A2667E" w:rsidRPr="007D7393">
        <w:t>e</w:t>
      </w:r>
      <w:r w:rsidRPr="007D7393">
        <w:t xml:space="preserve"> total number of Contracting Parties to the Hague Agreement </w:t>
      </w:r>
      <w:r w:rsidR="002F4F73">
        <w:t>to</w:t>
      </w:r>
      <w:r w:rsidRPr="007D7393">
        <w:t xml:space="preserve"> </w:t>
      </w:r>
      <w:r w:rsidR="001A01E9">
        <w:t>7</w:t>
      </w:r>
      <w:r w:rsidR="004171BA">
        <w:t>2</w:t>
      </w:r>
      <w:r w:rsidRPr="007D7393">
        <w:t xml:space="preserve">.  </w:t>
      </w:r>
      <w:r w:rsidRPr="0070117B">
        <w:t>A</w:t>
      </w:r>
      <w:r w:rsidR="004715E0">
        <w:t xml:space="preserve"> </w:t>
      </w:r>
      <w:r w:rsidRPr="0070117B">
        <w:t>list of the Contracting</w:t>
      </w:r>
      <w:r>
        <w:t xml:space="preserve"> Parties to the Hague Agreement is available on the WIPO website at the following address:  </w:t>
      </w:r>
      <w:hyperlink r:id="rId9" w:history="1">
        <w:r w:rsidR="007D75ED" w:rsidRPr="007D75ED">
          <w:rPr>
            <w:rStyle w:val="Hyperlink"/>
            <w:color w:val="auto"/>
            <w:u w:val="none"/>
          </w:rPr>
          <w:t>www.wipo.int/export/sites/www/treaties/en/documents/pdf/hague.pdf</w:t>
        </w:r>
      </w:hyperlink>
      <w:r w:rsidRPr="0026235C">
        <w:t>.</w:t>
      </w:r>
    </w:p>
    <w:p w:rsidR="00022521" w:rsidRPr="006F0A44" w:rsidRDefault="001A01E9" w:rsidP="007D7393">
      <w:pPr>
        <w:pStyle w:val="Endofdocument-Annex"/>
        <w:spacing w:before="720"/>
        <w:jc w:val="both"/>
      </w:pPr>
      <w:r>
        <w:t xml:space="preserve">November </w:t>
      </w:r>
      <w:r w:rsidR="00BD6270">
        <w:t>27</w:t>
      </w:r>
      <w:bookmarkStart w:id="2" w:name="_GoBack"/>
      <w:bookmarkEnd w:id="2"/>
      <w:r w:rsidR="00A2667E">
        <w:t>, 201</w:t>
      </w:r>
      <w:r w:rsidR="004171BA">
        <w:t>9</w:t>
      </w:r>
    </w:p>
    <w:sectPr w:rsidR="00022521" w:rsidRPr="006F0A44" w:rsidSect="004171BA">
      <w:headerReference w:type="even" r:id="rId10"/>
      <w:headerReference w:type="default" r:id="rId11"/>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DF" w:rsidRDefault="002F78DF">
      <w:r>
        <w:separator/>
      </w:r>
    </w:p>
  </w:endnote>
  <w:endnote w:type="continuationSeparator" w:id="0">
    <w:p w:rsidR="002F78DF" w:rsidRDefault="002F78DF" w:rsidP="003B38C1">
      <w:r>
        <w:separator/>
      </w:r>
    </w:p>
    <w:p w:rsidR="002F78DF" w:rsidRPr="003B38C1" w:rsidRDefault="002F78DF" w:rsidP="003B38C1">
      <w:pPr>
        <w:spacing w:after="60"/>
        <w:rPr>
          <w:sz w:val="17"/>
        </w:rPr>
      </w:pPr>
      <w:r>
        <w:rPr>
          <w:sz w:val="17"/>
        </w:rPr>
        <w:t>[Endnote continued from previous page]</w:t>
      </w:r>
    </w:p>
  </w:endnote>
  <w:endnote w:type="continuationNotice" w:id="1">
    <w:p w:rsidR="002F78DF" w:rsidRPr="003B38C1" w:rsidRDefault="002F78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DF" w:rsidRDefault="002F78DF">
      <w:r>
        <w:separator/>
      </w:r>
    </w:p>
  </w:footnote>
  <w:footnote w:type="continuationSeparator" w:id="0">
    <w:p w:rsidR="002F78DF" w:rsidRDefault="002F78DF" w:rsidP="008B60B2">
      <w:r>
        <w:separator/>
      </w:r>
    </w:p>
    <w:p w:rsidR="002F78DF" w:rsidRPr="00ED77FB" w:rsidRDefault="002F78DF" w:rsidP="008B60B2">
      <w:pPr>
        <w:spacing w:after="60"/>
        <w:rPr>
          <w:sz w:val="17"/>
          <w:szCs w:val="17"/>
        </w:rPr>
      </w:pPr>
      <w:r w:rsidRPr="00ED77FB">
        <w:rPr>
          <w:sz w:val="17"/>
          <w:szCs w:val="17"/>
        </w:rPr>
        <w:t>[Footnote continued from previous page]</w:t>
      </w:r>
    </w:p>
  </w:footnote>
  <w:footnote w:type="continuationNotice" w:id="1">
    <w:p w:rsidR="002F78DF" w:rsidRPr="00ED77FB" w:rsidRDefault="002F78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1BA" w:rsidRDefault="004171BA" w:rsidP="004171BA">
    <w:pPr>
      <w:pStyle w:val="Header"/>
      <w:jc w:val="right"/>
    </w:pPr>
    <w:r>
      <w:t>page 2</w:t>
    </w:r>
  </w:p>
  <w:p w:rsidR="004171BA" w:rsidRDefault="004171BA" w:rsidP="004171BA">
    <w:pPr>
      <w:pStyle w:val="Header"/>
      <w:jc w:val="right"/>
    </w:pPr>
  </w:p>
  <w:p w:rsidR="004171BA" w:rsidRDefault="004171BA" w:rsidP="004171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r>
      <w:t>page 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405"/>
    <w:rsid w:val="00005CFF"/>
    <w:rsid w:val="000102D0"/>
    <w:rsid w:val="000123A6"/>
    <w:rsid w:val="00012C9D"/>
    <w:rsid w:val="0002095F"/>
    <w:rsid w:val="00022521"/>
    <w:rsid w:val="00027B79"/>
    <w:rsid w:val="00032516"/>
    <w:rsid w:val="0003763C"/>
    <w:rsid w:val="00043313"/>
    <w:rsid w:val="00043CAA"/>
    <w:rsid w:val="00044267"/>
    <w:rsid w:val="00050D24"/>
    <w:rsid w:val="00060BB1"/>
    <w:rsid w:val="00062496"/>
    <w:rsid w:val="000728FF"/>
    <w:rsid w:val="00073F34"/>
    <w:rsid w:val="0007453B"/>
    <w:rsid w:val="00075432"/>
    <w:rsid w:val="00093F9B"/>
    <w:rsid w:val="000968ED"/>
    <w:rsid w:val="000A0398"/>
    <w:rsid w:val="000A0FF5"/>
    <w:rsid w:val="000A525D"/>
    <w:rsid w:val="000C58FA"/>
    <w:rsid w:val="000D0F06"/>
    <w:rsid w:val="000D19B9"/>
    <w:rsid w:val="000D3921"/>
    <w:rsid w:val="000D4623"/>
    <w:rsid w:val="000F3931"/>
    <w:rsid w:val="000F5E56"/>
    <w:rsid w:val="000F7C50"/>
    <w:rsid w:val="00105359"/>
    <w:rsid w:val="00110A0A"/>
    <w:rsid w:val="00111E5A"/>
    <w:rsid w:val="001207CE"/>
    <w:rsid w:val="001272E3"/>
    <w:rsid w:val="00131BD8"/>
    <w:rsid w:val="00133F53"/>
    <w:rsid w:val="001362EE"/>
    <w:rsid w:val="0014531F"/>
    <w:rsid w:val="0015037D"/>
    <w:rsid w:val="00157C52"/>
    <w:rsid w:val="001626B7"/>
    <w:rsid w:val="00165217"/>
    <w:rsid w:val="00166299"/>
    <w:rsid w:val="00175970"/>
    <w:rsid w:val="001832A6"/>
    <w:rsid w:val="00185E31"/>
    <w:rsid w:val="00186DE1"/>
    <w:rsid w:val="001961E1"/>
    <w:rsid w:val="001A01E9"/>
    <w:rsid w:val="001A5948"/>
    <w:rsid w:val="001C2D7E"/>
    <w:rsid w:val="001D4F09"/>
    <w:rsid w:val="001E3850"/>
    <w:rsid w:val="001F1B95"/>
    <w:rsid w:val="001F3108"/>
    <w:rsid w:val="001F717F"/>
    <w:rsid w:val="001F7228"/>
    <w:rsid w:val="0020551F"/>
    <w:rsid w:val="00206EB9"/>
    <w:rsid w:val="00212F2F"/>
    <w:rsid w:val="00221C5D"/>
    <w:rsid w:val="0022493E"/>
    <w:rsid w:val="0022794E"/>
    <w:rsid w:val="00231906"/>
    <w:rsid w:val="00242F64"/>
    <w:rsid w:val="00251552"/>
    <w:rsid w:val="00251890"/>
    <w:rsid w:val="0025278E"/>
    <w:rsid w:val="002539D3"/>
    <w:rsid w:val="00255819"/>
    <w:rsid w:val="00257BF9"/>
    <w:rsid w:val="0026235C"/>
    <w:rsid w:val="002634C4"/>
    <w:rsid w:val="00266029"/>
    <w:rsid w:val="00267FBD"/>
    <w:rsid w:val="00274D83"/>
    <w:rsid w:val="00277876"/>
    <w:rsid w:val="002913F3"/>
    <w:rsid w:val="002928D3"/>
    <w:rsid w:val="002A2E4F"/>
    <w:rsid w:val="002A513E"/>
    <w:rsid w:val="002C1554"/>
    <w:rsid w:val="002C38D8"/>
    <w:rsid w:val="002C4107"/>
    <w:rsid w:val="002C5843"/>
    <w:rsid w:val="002D5662"/>
    <w:rsid w:val="002E4A68"/>
    <w:rsid w:val="002F1FE6"/>
    <w:rsid w:val="002F4E68"/>
    <w:rsid w:val="002F4F73"/>
    <w:rsid w:val="002F78DF"/>
    <w:rsid w:val="0030062F"/>
    <w:rsid w:val="00303961"/>
    <w:rsid w:val="00303F7F"/>
    <w:rsid w:val="003118DD"/>
    <w:rsid w:val="00312F7F"/>
    <w:rsid w:val="00317670"/>
    <w:rsid w:val="00326388"/>
    <w:rsid w:val="003331D4"/>
    <w:rsid w:val="003337E3"/>
    <w:rsid w:val="00335EC1"/>
    <w:rsid w:val="00337EE3"/>
    <w:rsid w:val="00347330"/>
    <w:rsid w:val="00357985"/>
    <w:rsid w:val="00361450"/>
    <w:rsid w:val="003673CF"/>
    <w:rsid w:val="00372945"/>
    <w:rsid w:val="00375BD5"/>
    <w:rsid w:val="00383EC2"/>
    <w:rsid w:val="003845C1"/>
    <w:rsid w:val="003A1B61"/>
    <w:rsid w:val="003A6F89"/>
    <w:rsid w:val="003B38C1"/>
    <w:rsid w:val="003C2B2C"/>
    <w:rsid w:val="003E017B"/>
    <w:rsid w:val="003E0A58"/>
    <w:rsid w:val="003E0D9F"/>
    <w:rsid w:val="003E4787"/>
    <w:rsid w:val="004052E1"/>
    <w:rsid w:val="00411FB2"/>
    <w:rsid w:val="004124AF"/>
    <w:rsid w:val="004171BA"/>
    <w:rsid w:val="004214C8"/>
    <w:rsid w:val="00423E3E"/>
    <w:rsid w:val="00427AF4"/>
    <w:rsid w:val="00433EAE"/>
    <w:rsid w:val="004376B8"/>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3057A"/>
    <w:rsid w:val="00546473"/>
    <w:rsid w:val="00546A94"/>
    <w:rsid w:val="00560A29"/>
    <w:rsid w:val="00580F7A"/>
    <w:rsid w:val="005868B8"/>
    <w:rsid w:val="0059496E"/>
    <w:rsid w:val="005A27C7"/>
    <w:rsid w:val="005A2E4E"/>
    <w:rsid w:val="005A4466"/>
    <w:rsid w:val="005A78E1"/>
    <w:rsid w:val="005C6649"/>
    <w:rsid w:val="005C79F2"/>
    <w:rsid w:val="005D6DD3"/>
    <w:rsid w:val="005E7E16"/>
    <w:rsid w:val="005F0F41"/>
    <w:rsid w:val="005F2F3B"/>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B558F"/>
    <w:rsid w:val="006C3947"/>
    <w:rsid w:val="006D2A62"/>
    <w:rsid w:val="006D4172"/>
    <w:rsid w:val="006E3324"/>
    <w:rsid w:val="006F0A44"/>
    <w:rsid w:val="006F52C6"/>
    <w:rsid w:val="0070117B"/>
    <w:rsid w:val="00702C36"/>
    <w:rsid w:val="00704232"/>
    <w:rsid w:val="007063B6"/>
    <w:rsid w:val="007106C3"/>
    <w:rsid w:val="00726905"/>
    <w:rsid w:val="00727C64"/>
    <w:rsid w:val="007315CB"/>
    <w:rsid w:val="007330D6"/>
    <w:rsid w:val="00742210"/>
    <w:rsid w:val="00750040"/>
    <w:rsid w:val="00750EFD"/>
    <w:rsid w:val="00767C4D"/>
    <w:rsid w:val="00772EC8"/>
    <w:rsid w:val="00773CE3"/>
    <w:rsid w:val="00775EBD"/>
    <w:rsid w:val="00776E12"/>
    <w:rsid w:val="007771D3"/>
    <w:rsid w:val="00780B9B"/>
    <w:rsid w:val="00790A94"/>
    <w:rsid w:val="007919C3"/>
    <w:rsid w:val="007B06CA"/>
    <w:rsid w:val="007B7EEC"/>
    <w:rsid w:val="007B7F73"/>
    <w:rsid w:val="007C1EDA"/>
    <w:rsid w:val="007C26AB"/>
    <w:rsid w:val="007C3E9B"/>
    <w:rsid w:val="007C79D7"/>
    <w:rsid w:val="007D03D1"/>
    <w:rsid w:val="007D1613"/>
    <w:rsid w:val="007D250A"/>
    <w:rsid w:val="007D290D"/>
    <w:rsid w:val="007D4555"/>
    <w:rsid w:val="007D7393"/>
    <w:rsid w:val="007D75ED"/>
    <w:rsid w:val="007F4D09"/>
    <w:rsid w:val="00804EC4"/>
    <w:rsid w:val="00815479"/>
    <w:rsid w:val="008167CA"/>
    <w:rsid w:val="00824E57"/>
    <w:rsid w:val="00833C29"/>
    <w:rsid w:val="00853DB5"/>
    <w:rsid w:val="00854071"/>
    <w:rsid w:val="00861036"/>
    <w:rsid w:val="00862599"/>
    <w:rsid w:val="00864E5E"/>
    <w:rsid w:val="00873AD6"/>
    <w:rsid w:val="00874ADA"/>
    <w:rsid w:val="00876A3C"/>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216E"/>
    <w:rsid w:val="00932C0F"/>
    <w:rsid w:val="009378BE"/>
    <w:rsid w:val="00940793"/>
    <w:rsid w:val="0094644F"/>
    <w:rsid w:val="00957393"/>
    <w:rsid w:val="00957988"/>
    <w:rsid w:val="00957A59"/>
    <w:rsid w:val="00961611"/>
    <w:rsid w:val="00966A22"/>
    <w:rsid w:val="0096722F"/>
    <w:rsid w:val="00974827"/>
    <w:rsid w:val="00980843"/>
    <w:rsid w:val="009875AE"/>
    <w:rsid w:val="00997550"/>
    <w:rsid w:val="00997AAD"/>
    <w:rsid w:val="009A5891"/>
    <w:rsid w:val="009A591F"/>
    <w:rsid w:val="009A6B34"/>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54939"/>
    <w:rsid w:val="00A63F6A"/>
    <w:rsid w:val="00A65D9F"/>
    <w:rsid w:val="00A73224"/>
    <w:rsid w:val="00A80E06"/>
    <w:rsid w:val="00A81E6D"/>
    <w:rsid w:val="00A869B7"/>
    <w:rsid w:val="00A97423"/>
    <w:rsid w:val="00AA1EEF"/>
    <w:rsid w:val="00AB73F9"/>
    <w:rsid w:val="00AC205C"/>
    <w:rsid w:val="00AC2F5B"/>
    <w:rsid w:val="00AD38EE"/>
    <w:rsid w:val="00AD3EF4"/>
    <w:rsid w:val="00AE69DE"/>
    <w:rsid w:val="00AF0A6B"/>
    <w:rsid w:val="00AF5108"/>
    <w:rsid w:val="00B05A69"/>
    <w:rsid w:val="00B21387"/>
    <w:rsid w:val="00B2247B"/>
    <w:rsid w:val="00B369A9"/>
    <w:rsid w:val="00B43D6F"/>
    <w:rsid w:val="00B46D7E"/>
    <w:rsid w:val="00B54D7D"/>
    <w:rsid w:val="00B579A3"/>
    <w:rsid w:val="00B65F23"/>
    <w:rsid w:val="00B764C0"/>
    <w:rsid w:val="00B8152B"/>
    <w:rsid w:val="00B83157"/>
    <w:rsid w:val="00B91056"/>
    <w:rsid w:val="00B9734B"/>
    <w:rsid w:val="00B97A85"/>
    <w:rsid w:val="00BA59F8"/>
    <w:rsid w:val="00BA63F6"/>
    <w:rsid w:val="00BA6DE5"/>
    <w:rsid w:val="00BB05B6"/>
    <w:rsid w:val="00BB2321"/>
    <w:rsid w:val="00BB30F3"/>
    <w:rsid w:val="00BB4419"/>
    <w:rsid w:val="00BB78C7"/>
    <w:rsid w:val="00BC04DE"/>
    <w:rsid w:val="00BD03E2"/>
    <w:rsid w:val="00BD6270"/>
    <w:rsid w:val="00BE2AA1"/>
    <w:rsid w:val="00BE4C18"/>
    <w:rsid w:val="00BE55D6"/>
    <w:rsid w:val="00BE5857"/>
    <w:rsid w:val="00C11BFE"/>
    <w:rsid w:val="00C21281"/>
    <w:rsid w:val="00C21D7B"/>
    <w:rsid w:val="00C36B89"/>
    <w:rsid w:val="00C42DBE"/>
    <w:rsid w:val="00C45642"/>
    <w:rsid w:val="00C47421"/>
    <w:rsid w:val="00C556FE"/>
    <w:rsid w:val="00C613D5"/>
    <w:rsid w:val="00C63C1C"/>
    <w:rsid w:val="00C6430D"/>
    <w:rsid w:val="00C74FA5"/>
    <w:rsid w:val="00C80362"/>
    <w:rsid w:val="00C83B93"/>
    <w:rsid w:val="00C8462A"/>
    <w:rsid w:val="00C977DB"/>
    <w:rsid w:val="00CB132F"/>
    <w:rsid w:val="00CB313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1135"/>
    <w:rsid w:val="00D826DA"/>
    <w:rsid w:val="00D847BE"/>
    <w:rsid w:val="00D90EE5"/>
    <w:rsid w:val="00D924DB"/>
    <w:rsid w:val="00D93D55"/>
    <w:rsid w:val="00D952AD"/>
    <w:rsid w:val="00DB42CB"/>
    <w:rsid w:val="00DC3E50"/>
    <w:rsid w:val="00DD076F"/>
    <w:rsid w:val="00DD2EB5"/>
    <w:rsid w:val="00E10E07"/>
    <w:rsid w:val="00E23CCD"/>
    <w:rsid w:val="00E24971"/>
    <w:rsid w:val="00E24CA1"/>
    <w:rsid w:val="00E335FE"/>
    <w:rsid w:val="00E357A9"/>
    <w:rsid w:val="00E42B9A"/>
    <w:rsid w:val="00E45DF9"/>
    <w:rsid w:val="00E52EC3"/>
    <w:rsid w:val="00E532DC"/>
    <w:rsid w:val="00E62E7A"/>
    <w:rsid w:val="00E64114"/>
    <w:rsid w:val="00E66C2C"/>
    <w:rsid w:val="00E724BB"/>
    <w:rsid w:val="00E74803"/>
    <w:rsid w:val="00E804B6"/>
    <w:rsid w:val="00E81ED6"/>
    <w:rsid w:val="00E87F26"/>
    <w:rsid w:val="00E901C1"/>
    <w:rsid w:val="00EB2461"/>
    <w:rsid w:val="00EB333E"/>
    <w:rsid w:val="00EC23FC"/>
    <w:rsid w:val="00EC4E49"/>
    <w:rsid w:val="00ED38E9"/>
    <w:rsid w:val="00ED4C4F"/>
    <w:rsid w:val="00ED77FB"/>
    <w:rsid w:val="00EE0E83"/>
    <w:rsid w:val="00EE28AC"/>
    <w:rsid w:val="00EE45FA"/>
    <w:rsid w:val="00EE5748"/>
    <w:rsid w:val="00EF0146"/>
    <w:rsid w:val="00EF65B9"/>
    <w:rsid w:val="00F0720F"/>
    <w:rsid w:val="00F07EF8"/>
    <w:rsid w:val="00F201C4"/>
    <w:rsid w:val="00F32ABD"/>
    <w:rsid w:val="00F47560"/>
    <w:rsid w:val="00F56536"/>
    <w:rsid w:val="00F66152"/>
    <w:rsid w:val="00F7721F"/>
    <w:rsid w:val="00F86AE7"/>
    <w:rsid w:val="00FA156A"/>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9F830A1"/>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B2A7-9D12-4AA0-B8B0-1103EF97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239</Words>
  <Characters>1291</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1528</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MAILLARD Amber</cp:lastModifiedBy>
  <cp:revision>21</cp:revision>
  <cp:lastPrinted>2019-11-27T09:46:00Z</cp:lastPrinted>
  <dcterms:created xsi:type="dcterms:W3CDTF">2018-08-16T15:42:00Z</dcterms:created>
  <dcterms:modified xsi:type="dcterms:W3CDTF">2019-11-27T09:46:00Z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a573c885-5886-4187-8fdd-19aca5580df4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