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Borders>
          <w:bottom w:val="single" w:sz="4" w:space="0" w:color="auto"/>
        </w:tblBorders>
        <w:tblLook w:val="01E0"/>
      </w:tblPr>
      <w:tblGrid>
        <w:gridCol w:w="4513"/>
        <w:gridCol w:w="4843"/>
      </w:tblGrid>
      <w:tr w:rsidR="00B34295" w:rsidRPr="00582AD5" w:rsidTr="00A953E1">
        <w:tc>
          <w:tcPr>
            <w:tcW w:w="451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34295" w:rsidRPr="00582AD5" w:rsidRDefault="00B34295" w:rsidP="000D0625"/>
        </w:tc>
        <w:tc>
          <w:tcPr>
            <w:tcW w:w="0" w:type="auto"/>
            <w:tcBorders>
              <w:bottom w:val="single" w:sz="4" w:space="0" w:color="auto"/>
            </w:tcBorders>
            <w:tcMar>
              <w:left w:w="0" w:type="dxa"/>
              <w:bottom w:w="142" w:type="dxa"/>
              <w:right w:w="0" w:type="dxa"/>
            </w:tcMar>
          </w:tcPr>
          <w:p w:rsidR="00B34295" w:rsidRPr="00582AD5" w:rsidRDefault="00B34295" w:rsidP="000D0625">
            <w:r w:rsidRPr="00932CBC">
              <w:rPr>
                <w:noProof/>
                <w:lang w:val="en-US"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WIPO-S" style="width:142.5pt;height:104.25pt;visibility:visible">
                  <v:imagedata r:id="rId7" o:title=""/>
                </v:shape>
              </w:pict>
            </w:r>
          </w:p>
        </w:tc>
      </w:tr>
    </w:tbl>
    <w:p w:rsidR="00B34295" w:rsidRDefault="00B34295" w:rsidP="000D0625">
      <w:pPr>
        <w:jc w:val="right"/>
        <w:outlineLvl w:val="0"/>
        <w:rPr>
          <w:rFonts w:ascii="Arial Black" w:hAnsi="Arial Black"/>
          <w:sz w:val="15"/>
          <w:szCs w:val="15"/>
        </w:rPr>
      </w:pPr>
    </w:p>
    <w:p w:rsidR="00B34295" w:rsidRPr="00C95B7F" w:rsidRDefault="00B34295" w:rsidP="000D0625">
      <w:pPr>
        <w:jc w:val="right"/>
        <w:outlineLvl w:val="0"/>
        <w:rPr>
          <w:rFonts w:ascii="Arial Black" w:hAnsi="Arial Black"/>
        </w:rPr>
      </w:pPr>
      <w:r w:rsidRPr="00C95B7F">
        <w:rPr>
          <w:rFonts w:ascii="Arial Black" w:hAnsi="Arial Black"/>
          <w:caps/>
          <w:sz w:val="15"/>
          <w:szCs w:val="15"/>
          <w:lang w:val="es-ES"/>
        </w:rPr>
        <w:t>Aviso N.</w:t>
      </w:r>
      <w:r w:rsidRPr="00C95B7F">
        <w:rPr>
          <w:rFonts w:ascii="Arial Black" w:hAnsi="Arial Black"/>
          <w:caps/>
          <w:sz w:val="15"/>
          <w:szCs w:val="15"/>
          <w:vertAlign w:val="superscript"/>
          <w:lang w:val="es-ES"/>
        </w:rPr>
        <w:t>o</w:t>
      </w:r>
      <w:r w:rsidRPr="00C95B7F">
        <w:rPr>
          <w:rFonts w:ascii="Arial Black" w:hAnsi="Arial Black"/>
          <w:caps/>
          <w:sz w:val="15"/>
          <w:szCs w:val="15"/>
          <w:lang w:val="es-ES"/>
        </w:rPr>
        <w:t xml:space="preserve"> 4/2013</w:t>
      </w:r>
    </w:p>
    <w:p w:rsidR="00B34295" w:rsidRPr="006B24E5" w:rsidRDefault="00B34295" w:rsidP="000D0625"/>
    <w:p w:rsidR="00B34295" w:rsidRPr="006B24E5" w:rsidRDefault="00B34295" w:rsidP="000D0625"/>
    <w:p w:rsidR="00B34295" w:rsidRPr="006B24E5" w:rsidRDefault="00B34295" w:rsidP="000D0625"/>
    <w:p w:rsidR="00B34295" w:rsidRPr="006B24E5" w:rsidRDefault="00B34295" w:rsidP="000D0625"/>
    <w:p w:rsidR="00B34295" w:rsidRPr="006B24E5" w:rsidRDefault="00B34295" w:rsidP="000D0625">
      <w:pPr>
        <w:rPr>
          <w:b/>
          <w:sz w:val="28"/>
          <w:szCs w:val="28"/>
        </w:rPr>
      </w:pPr>
      <w:r w:rsidRPr="006B24E5">
        <w:rPr>
          <w:b/>
          <w:sz w:val="28"/>
          <w:szCs w:val="28"/>
        </w:rPr>
        <w:t>Arreglo de La Haya relativo al Registro Internacional de Dibujos y Modelos Industriales</w:t>
      </w:r>
    </w:p>
    <w:p w:rsidR="00B34295" w:rsidRPr="006B24E5" w:rsidRDefault="00B34295" w:rsidP="000D0625">
      <w:pPr>
        <w:rPr>
          <w:b/>
          <w:szCs w:val="22"/>
        </w:rPr>
      </w:pPr>
    </w:p>
    <w:p w:rsidR="00B34295" w:rsidRPr="00B762DB" w:rsidRDefault="00B34295" w:rsidP="000D0625">
      <w:pPr>
        <w:rPr>
          <w:b/>
          <w:bCs/>
          <w:sz w:val="24"/>
          <w:szCs w:val="24"/>
          <w:lang w:val="en-US"/>
        </w:rPr>
      </w:pPr>
      <w:r w:rsidRPr="00B762DB">
        <w:rPr>
          <w:b/>
          <w:bCs/>
          <w:sz w:val="24"/>
          <w:szCs w:val="24"/>
        </w:rPr>
        <w:t>Ratificación del Acta de 1999:  Bélgica</w:t>
      </w:r>
    </w:p>
    <w:p w:rsidR="00B34295" w:rsidRPr="006B24E5" w:rsidRDefault="00B34295" w:rsidP="000D0625">
      <w:pPr>
        <w:pStyle w:val="ONUMFS"/>
        <w:numPr>
          <w:ilvl w:val="0"/>
          <w:numId w:val="0"/>
        </w:numPr>
        <w:rPr>
          <w:lang w:val="en-US"/>
        </w:rPr>
      </w:pPr>
    </w:p>
    <w:p w:rsidR="00B34295" w:rsidRPr="006B24E5" w:rsidRDefault="00B34295" w:rsidP="000D0625">
      <w:pPr>
        <w:pStyle w:val="ONUMFS"/>
        <w:numPr>
          <w:ilvl w:val="0"/>
          <w:numId w:val="30"/>
        </w:numPr>
        <w:ind w:left="0" w:firstLine="0"/>
      </w:pPr>
      <w:r w:rsidRPr="006B24E5">
        <w:t xml:space="preserve">El 7 de junio de 2013, el Gobierno de Bélgica depositó </w:t>
      </w:r>
      <w:r>
        <w:t>ante el</w:t>
      </w:r>
      <w:r w:rsidRPr="006B24E5">
        <w:t xml:space="preserve"> Director General de la Organización </w:t>
      </w:r>
      <w:r>
        <w:t>Mundial</w:t>
      </w:r>
      <w:r w:rsidRPr="006B24E5">
        <w:t xml:space="preserve"> de la Propiedad Intelectual (OMPI) su instrumento de ratificación del Acta de Ginebra (1999) del Arreglo de La Haya relativo al Registro Internacional de Dibujos y Modelos Industriales.</w:t>
      </w:r>
    </w:p>
    <w:p w:rsidR="00B34295" w:rsidRPr="006B24E5" w:rsidRDefault="00B34295" w:rsidP="000D0625">
      <w:pPr>
        <w:pStyle w:val="ONUMFS"/>
        <w:numPr>
          <w:ilvl w:val="0"/>
          <w:numId w:val="30"/>
        </w:numPr>
        <w:ind w:left="0" w:firstLine="0"/>
      </w:pPr>
      <w:r w:rsidRPr="006B24E5">
        <w:t xml:space="preserve">El instrumento de ratificación </w:t>
      </w:r>
      <w:r>
        <w:t>fue depositado junto con</w:t>
      </w:r>
      <w:r w:rsidRPr="006B24E5">
        <w:t xml:space="preserve"> las siguientes declaraciones:</w:t>
      </w:r>
    </w:p>
    <w:p w:rsidR="00B34295" w:rsidRPr="006B24E5" w:rsidRDefault="00B34295" w:rsidP="000D0625">
      <w:pPr>
        <w:pStyle w:val="ONUMFS"/>
        <w:numPr>
          <w:ilvl w:val="0"/>
          <w:numId w:val="31"/>
        </w:numPr>
        <w:tabs>
          <w:tab w:val="clear" w:pos="1137"/>
        </w:tabs>
        <w:ind w:left="567" w:firstLine="0"/>
      </w:pPr>
      <w:r w:rsidRPr="006B24E5">
        <w:t xml:space="preserve">la declaración </w:t>
      </w:r>
      <w:r>
        <w:t>conforme al</w:t>
      </w:r>
      <w:r w:rsidRPr="006B24E5">
        <w:t xml:space="preserve"> Artículo 4.1)b) del Acta de 1999, </w:t>
      </w:r>
      <w:r>
        <w:t xml:space="preserve">según la cual </w:t>
      </w:r>
      <w:r w:rsidRPr="006B24E5">
        <w:rPr>
          <w:rFonts w:eastAsia="Times New Roman"/>
          <w:lang w:eastAsia="en-US"/>
        </w:rPr>
        <w:t>las solicitudes internacionales no podrán presentarse a través de</w:t>
      </w:r>
      <w:r w:rsidRPr="006B24E5">
        <w:t xml:space="preserve"> la Oficina de </w:t>
      </w:r>
      <w:r>
        <w:t xml:space="preserve">la </w:t>
      </w:r>
      <w:r w:rsidRPr="006B24E5">
        <w:t>Propiedad Intelectual del Benelux (BOIP);</w:t>
      </w:r>
    </w:p>
    <w:p w:rsidR="00B34295" w:rsidRPr="006B24E5" w:rsidRDefault="00B34295" w:rsidP="000D0625">
      <w:pPr>
        <w:pStyle w:val="ONUMFS"/>
        <w:numPr>
          <w:ilvl w:val="0"/>
          <w:numId w:val="31"/>
        </w:numPr>
        <w:tabs>
          <w:tab w:val="clear" w:pos="1137"/>
        </w:tabs>
        <w:ind w:left="567" w:firstLine="0"/>
      </w:pPr>
      <w:r w:rsidRPr="006B24E5">
        <w:t xml:space="preserve">la declaración </w:t>
      </w:r>
      <w:r>
        <w:t>conforme al</w:t>
      </w:r>
      <w:r w:rsidRPr="006B24E5">
        <w:t xml:space="preserve"> Artículo 11.1)a) </w:t>
      </w:r>
      <w:r w:rsidRPr="006B24E5">
        <w:rPr>
          <w:szCs w:val="22"/>
        </w:rPr>
        <w:t>del Acta de 1999,</w:t>
      </w:r>
      <w:r>
        <w:rPr>
          <w:szCs w:val="22"/>
        </w:rPr>
        <w:t xml:space="preserve"> según la cual </w:t>
      </w:r>
      <w:r w:rsidRPr="006B24E5">
        <w:rPr>
          <w:szCs w:val="22"/>
        </w:rPr>
        <w:t>se notifica que, en virtud de la legislación del Benelux, el período máximo de aplazamiento de la publicación de un</w:t>
      </w:r>
      <w:r w:rsidRPr="006B24E5">
        <w:t xml:space="preserve"> dibujo o modelo industrial es de 12 meses;</w:t>
      </w:r>
    </w:p>
    <w:p w:rsidR="00B34295" w:rsidRPr="006B24E5" w:rsidRDefault="00B34295" w:rsidP="000D0625">
      <w:pPr>
        <w:pStyle w:val="ONUMFS"/>
        <w:numPr>
          <w:ilvl w:val="0"/>
          <w:numId w:val="31"/>
        </w:numPr>
        <w:tabs>
          <w:tab w:val="clear" w:pos="1137"/>
        </w:tabs>
        <w:ind w:left="567" w:firstLine="0"/>
      </w:pPr>
      <w:r w:rsidRPr="006B24E5">
        <w:t xml:space="preserve">la declaración </w:t>
      </w:r>
      <w:r>
        <w:t xml:space="preserve">requerida en virtud del </w:t>
      </w:r>
      <w:r w:rsidRPr="006B24E5">
        <w:t xml:space="preserve">Artículo 17.3)c) </w:t>
      </w:r>
      <w:r w:rsidRPr="006B24E5">
        <w:rPr>
          <w:szCs w:val="22"/>
        </w:rPr>
        <w:t>del Acta de 1999,</w:t>
      </w:r>
      <w:r w:rsidRPr="006B24E5">
        <w:t xml:space="preserve"> que especifica que la duración máxima de la protección</w:t>
      </w:r>
      <w:r>
        <w:t xml:space="preserve"> prevista por </w:t>
      </w:r>
      <w:r w:rsidRPr="006B24E5">
        <w:t xml:space="preserve">la legislación del Benelux </w:t>
      </w:r>
      <w:r>
        <w:t>respecto de los</w:t>
      </w:r>
      <w:r w:rsidRPr="006B24E5">
        <w:t xml:space="preserve"> dibujos y modelos industriales </w:t>
      </w:r>
      <w:r>
        <w:t xml:space="preserve">es </w:t>
      </w:r>
      <w:r w:rsidRPr="006B24E5">
        <w:t>de 25 años;  y</w:t>
      </w:r>
    </w:p>
    <w:p w:rsidR="00B34295" w:rsidRPr="006B24E5" w:rsidRDefault="00B34295" w:rsidP="000D0625">
      <w:pPr>
        <w:pStyle w:val="ONUMFS"/>
        <w:numPr>
          <w:ilvl w:val="0"/>
          <w:numId w:val="31"/>
        </w:numPr>
        <w:tabs>
          <w:tab w:val="clear" w:pos="1137"/>
        </w:tabs>
        <w:ind w:left="567" w:firstLine="0"/>
      </w:pPr>
      <w:r w:rsidRPr="006B24E5">
        <w:rPr>
          <w:szCs w:val="22"/>
        </w:rPr>
        <w:t xml:space="preserve">la declaración </w:t>
      </w:r>
      <w:r>
        <w:rPr>
          <w:szCs w:val="22"/>
        </w:rPr>
        <w:t xml:space="preserve">conforme al </w:t>
      </w:r>
      <w:r w:rsidRPr="006B24E5">
        <w:rPr>
          <w:szCs w:val="22"/>
        </w:rPr>
        <w:t>Artículo </w:t>
      </w:r>
      <w:r>
        <w:t xml:space="preserve"> 19.</w:t>
      </w:r>
      <w:r w:rsidRPr="006B24E5">
        <w:t xml:space="preserve">1) </w:t>
      </w:r>
      <w:r w:rsidRPr="006B24E5">
        <w:rPr>
          <w:szCs w:val="22"/>
        </w:rPr>
        <w:t>del Acta de 1999,</w:t>
      </w:r>
      <w:r w:rsidRPr="006B24E5">
        <w:t xml:space="preserve"> </w:t>
      </w:r>
      <w:r>
        <w:t xml:space="preserve">de conformidad con </w:t>
      </w:r>
      <w:r w:rsidRPr="006B24E5">
        <w:t xml:space="preserve">la cual se designa la BOIP como </w:t>
      </w:r>
      <w:r>
        <w:t>O</w:t>
      </w:r>
      <w:r w:rsidRPr="006B24E5">
        <w:t>ficina común de los tres países del Benelux y que los territorios de los tres países en los que se aplica la Convención del Benelux sobre Propiedad Intelectual (</w:t>
      </w:r>
      <w:r>
        <w:t>marcas, d</w:t>
      </w:r>
      <w:r w:rsidRPr="006B24E5">
        <w:t xml:space="preserve">ibujos y </w:t>
      </w:r>
      <w:r>
        <w:t>m</w:t>
      </w:r>
      <w:r w:rsidRPr="006B24E5">
        <w:t>odelos) s</w:t>
      </w:r>
      <w:r>
        <w:t>on</w:t>
      </w:r>
      <w:r w:rsidRPr="006B24E5">
        <w:t xml:space="preserve"> considerado</w:t>
      </w:r>
      <w:r>
        <w:t>s</w:t>
      </w:r>
      <w:r w:rsidRPr="006B24E5">
        <w:t xml:space="preserve"> como una única Parte Contratante a los </w:t>
      </w:r>
      <w:r>
        <w:t>fines</w:t>
      </w:r>
      <w:r w:rsidRPr="006B24E5">
        <w:t xml:space="preserve"> de la aplicación de los Artículos 1, 3 a 18 y 31 del Acta de</w:t>
      </w:r>
      <w:r>
        <w:t> </w:t>
      </w:r>
      <w:r w:rsidRPr="006B24E5">
        <w:t>1999.</w:t>
      </w:r>
    </w:p>
    <w:p w:rsidR="00B34295" w:rsidRPr="006B24E5" w:rsidRDefault="00B34295" w:rsidP="000D0625">
      <w:pPr>
        <w:pStyle w:val="ONUMFS"/>
        <w:numPr>
          <w:ilvl w:val="0"/>
          <w:numId w:val="30"/>
        </w:numPr>
        <w:ind w:left="0" w:firstLine="0"/>
      </w:pPr>
      <w:r w:rsidRPr="006B24E5">
        <w:t>De conformidad con los Artículos 27 y 28 del Acta de 1999</w:t>
      </w:r>
      <w:r>
        <w:t xml:space="preserve">, </w:t>
      </w:r>
      <w:r w:rsidRPr="006B24E5">
        <w:rPr>
          <w:szCs w:val="22"/>
        </w:rPr>
        <w:t xml:space="preserve">el </w:t>
      </w:r>
      <w:r>
        <w:rPr>
          <w:szCs w:val="22"/>
        </w:rPr>
        <w:t>Acta de 1999 entrará en vigor</w:t>
      </w:r>
      <w:r w:rsidRPr="006B24E5">
        <w:t xml:space="preserve"> respecto de Bélg</w:t>
      </w:r>
      <w:r>
        <w:t>ica en una fecha ulterior</w:t>
      </w:r>
      <w:r w:rsidRPr="006B24E5">
        <w:t>.  Además, con arreglo al Artículo 30.2) del Acta de 1999, las declaraciones formuladas en virtud de los Artículos 4.1)b), 11.1)a) y 17.3)c) del Acta de 1999 surtirán efecto únicamente si los demás países del Benelux formulan las declaraciones correspondientes.</w:t>
      </w:r>
    </w:p>
    <w:p w:rsidR="00B34295" w:rsidRDefault="00B34295" w:rsidP="000D0625">
      <w:pPr>
        <w:pStyle w:val="ONUMFS"/>
        <w:numPr>
          <w:ilvl w:val="0"/>
          <w:numId w:val="30"/>
        </w:numPr>
        <w:ind w:left="0" w:firstLine="0"/>
      </w:pPr>
      <w:r>
        <w:t xml:space="preserve">La </w:t>
      </w:r>
      <w:r w:rsidRPr="006B24E5">
        <w:t xml:space="preserve">lista de las Partes Contratantes en el Arreglo de La Haya </w:t>
      </w:r>
      <w:r>
        <w:t>figura en el</w:t>
      </w:r>
      <w:r w:rsidRPr="006B24E5">
        <w:t xml:space="preserve"> sitio </w:t>
      </w:r>
      <w:r>
        <w:t>W</w:t>
      </w:r>
      <w:r w:rsidRPr="006B24E5">
        <w:t xml:space="preserve">eb de la </w:t>
      </w:r>
      <w:r w:rsidRPr="00C95B7F">
        <w:t xml:space="preserve">OMPI en la siguiente dirección:  </w:t>
      </w:r>
      <w:hyperlink r:id="rId8" w:history="1">
        <w:r w:rsidRPr="00050164">
          <w:rPr>
            <w:rStyle w:val="Hyperlink"/>
            <w:rFonts w:cs="Arial"/>
            <w:color w:val="auto"/>
          </w:rPr>
          <w:t>http://www.wipo.int/treaties/es/ShowResults.jsp?lang=es&amp;treaty_id=9</w:t>
        </w:r>
      </w:hyperlink>
    </w:p>
    <w:p w:rsidR="00B34295" w:rsidRPr="006B24E5" w:rsidRDefault="00B34295" w:rsidP="000D0625"/>
    <w:p w:rsidR="00B34295" w:rsidRPr="00582AD5" w:rsidRDefault="00B34295" w:rsidP="000D0625">
      <w:pPr>
        <w:ind w:left="5534"/>
      </w:pPr>
      <w:r>
        <w:t xml:space="preserve">8 </w:t>
      </w:r>
      <w:r w:rsidRPr="006B24E5">
        <w:t>de Julio de 2013</w:t>
      </w:r>
    </w:p>
    <w:sectPr w:rsidR="00B34295" w:rsidRPr="00582AD5" w:rsidSect="00A953E1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4295" w:rsidRDefault="00B34295">
      <w:r>
        <w:separator/>
      </w:r>
    </w:p>
  </w:endnote>
  <w:endnote w:type="continuationSeparator" w:id="1">
    <w:p w:rsidR="00B34295" w:rsidRDefault="00B34295" w:rsidP="00A326CA">
      <w:r>
        <w:separator/>
      </w:r>
    </w:p>
    <w:p w:rsidR="00B34295" w:rsidRPr="0078064A" w:rsidRDefault="00B34295" w:rsidP="0078064A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2">
    <w:p w:rsidR="00B34295" w:rsidRPr="0078064A" w:rsidRDefault="00B34295" w:rsidP="0078064A">
      <w:pPr>
        <w:spacing w:before="60"/>
        <w:jc w:val="right"/>
        <w:rPr>
          <w:sz w:val="17"/>
          <w:szCs w:val="17"/>
        </w:rPr>
      </w:pPr>
      <w:r w:rsidRPr="0078064A">
        <w:rPr>
          <w:sz w:val="17"/>
          <w:szCs w:val="17"/>
        </w:rPr>
        <w:t>[Sigue la nota en la página siguiente]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??¨¬?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4295" w:rsidRDefault="00B34295">
      <w:r>
        <w:separator/>
      </w:r>
    </w:p>
  </w:footnote>
  <w:footnote w:type="continuationSeparator" w:id="1">
    <w:p w:rsidR="00B34295" w:rsidRDefault="00B34295" w:rsidP="00A326CA">
      <w:r>
        <w:separator/>
      </w:r>
    </w:p>
    <w:p w:rsidR="00B34295" w:rsidRPr="0078064A" w:rsidRDefault="00B34295" w:rsidP="0078064A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2">
    <w:p w:rsidR="00B34295" w:rsidRPr="0078064A" w:rsidRDefault="00B34295" w:rsidP="0078064A">
      <w:pPr>
        <w:spacing w:before="60"/>
        <w:jc w:val="right"/>
        <w:rPr>
          <w:sz w:val="17"/>
          <w:szCs w:val="17"/>
        </w:rPr>
      </w:pPr>
      <w:r w:rsidRPr="0078064A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295" w:rsidRDefault="00B34295" w:rsidP="00582AD5">
    <w:pPr>
      <w:pStyle w:val="Header"/>
      <w:jc w:val="right"/>
      <w:rPr>
        <w:lang w:val="fr-CH"/>
      </w:rPr>
    </w:pPr>
  </w:p>
  <w:p w:rsidR="00B34295" w:rsidRDefault="00B34295" w:rsidP="00582AD5">
    <w:pPr>
      <w:pStyle w:val="Header"/>
      <w:jc w:val="right"/>
      <w:rPr>
        <w:lang w:val="fr-CH"/>
      </w:rPr>
    </w:pPr>
    <w:r w:rsidRPr="00582AD5">
      <w:rPr>
        <w:lang w:val="es-ES"/>
      </w:rPr>
      <w:t>Página</w:t>
    </w:r>
    <w:r>
      <w:rPr>
        <w:lang w:val="es-ES"/>
      </w:rPr>
      <w:t xml:space="preserve"> </w:t>
    </w: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 PAGE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:rsidR="00B34295" w:rsidRPr="00582AD5" w:rsidRDefault="00B34295" w:rsidP="00582AD5">
    <w:pPr>
      <w:pStyle w:val="Header"/>
      <w:jc w:val="right"/>
      <w:rPr>
        <w:lang w:val="fr-CH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D486A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2"/>
  </w:num>
  <w:num w:numId="26">
    <w:abstractNumId w:val="4"/>
  </w:num>
  <w:num w:numId="27">
    <w:abstractNumId w:val="0"/>
  </w:num>
  <w:num w:numId="28">
    <w:abstractNumId w:val="5"/>
  </w:num>
  <w:num w:numId="29">
    <w:abstractNumId w:val="1"/>
  </w:num>
  <w:num w:numId="30">
    <w:abstractNumId w:val="3"/>
  </w:num>
  <w:num w:numId="31">
    <w:abstractNumId w:val="6"/>
  </w:num>
  <w:num w:numId="32">
    <w:abstractNumId w:val="3"/>
  </w:num>
  <w:num w:numId="33">
    <w:abstractNumId w:val="3"/>
  </w:num>
  <w:num w:numId="34">
    <w:abstractNumId w:val="3"/>
  </w:num>
  <w:num w:numId="35">
    <w:abstractNumId w:val="3"/>
  </w:num>
  <w:num w:numId="3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5E56"/>
    <w:rsid w:val="00050164"/>
    <w:rsid w:val="00065A2B"/>
    <w:rsid w:val="00094F4F"/>
    <w:rsid w:val="000D0625"/>
    <w:rsid w:val="000F5E56"/>
    <w:rsid w:val="00167744"/>
    <w:rsid w:val="00181232"/>
    <w:rsid w:val="00185AD8"/>
    <w:rsid w:val="001D0D6D"/>
    <w:rsid w:val="001F2017"/>
    <w:rsid w:val="00236ABE"/>
    <w:rsid w:val="00265719"/>
    <w:rsid w:val="00284C09"/>
    <w:rsid w:val="00294E38"/>
    <w:rsid w:val="002B40F7"/>
    <w:rsid w:val="002F4CDB"/>
    <w:rsid w:val="00323050"/>
    <w:rsid w:val="0033753E"/>
    <w:rsid w:val="00342633"/>
    <w:rsid w:val="003B6CDA"/>
    <w:rsid w:val="003E24CD"/>
    <w:rsid w:val="003F1195"/>
    <w:rsid w:val="004724F5"/>
    <w:rsid w:val="004B48AC"/>
    <w:rsid w:val="004C1BD6"/>
    <w:rsid w:val="004C426C"/>
    <w:rsid w:val="004D2E39"/>
    <w:rsid w:val="004E6BFD"/>
    <w:rsid w:val="004F6906"/>
    <w:rsid w:val="0050662A"/>
    <w:rsid w:val="00524649"/>
    <w:rsid w:val="00575E60"/>
    <w:rsid w:val="00582AD5"/>
    <w:rsid w:val="005A71AF"/>
    <w:rsid w:val="005C6BE1"/>
    <w:rsid w:val="005F7F09"/>
    <w:rsid w:val="0061735A"/>
    <w:rsid w:val="006345D6"/>
    <w:rsid w:val="006353E9"/>
    <w:rsid w:val="00662549"/>
    <w:rsid w:val="00670AC1"/>
    <w:rsid w:val="006B24E5"/>
    <w:rsid w:val="006B495D"/>
    <w:rsid w:val="006D79C1"/>
    <w:rsid w:val="006F34FC"/>
    <w:rsid w:val="00723B2D"/>
    <w:rsid w:val="00754F6E"/>
    <w:rsid w:val="0078064A"/>
    <w:rsid w:val="007A6482"/>
    <w:rsid w:val="007B5CAC"/>
    <w:rsid w:val="007F0734"/>
    <w:rsid w:val="0082695D"/>
    <w:rsid w:val="00833F0E"/>
    <w:rsid w:val="008D3102"/>
    <w:rsid w:val="00932CBC"/>
    <w:rsid w:val="009351E9"/>
    <w:rsid w:val="00985557"/>
    <w:rsid w:val="009C5209"/>
    <w:rsid w:val="009D7C74"/>
    <w:rsid w:val="009E73A7"/>
    <w:rsid w:val="00A326CA"/>
    <w:rsid w:val="00A90B1C"/>
    <w:rsid w:val="00A953E1"/>
    <w:rsid w:val="00AA5D28"/>
    <w:rsid w:val="00AB6BA7"/>
    <w:rsid w:val="00B13072"/>
    <w:rsid w:val="00B34295"/>
    <w:rsid w:val="00B762DB"/>
    <w:rsid w:val="00B9558A"/>
    <w:rsid w:val="00BB3273"/>
    <w:rsid w:val="00BB3334"/>
    <w:rsid w:val="00BC3C61"/>
    <w:rsid w:val="00BC7826"/>
    <w:rsid w:val="00BE1092"/>
    <w:rsid w:val="00BE5C92"/>
    <w:rsid w:val="00C03E6C"/>
    <w:rsid w:val="00C31614"/>
    <w:rsid w:val="00C46422"/>
    <w:rsid w:val="00C6506E"/>
    <w:rsid w:val="00C80525"/>
    <w:rsid w:val="00C955D7"/>
    <w:rsid w:val="00C95B7F"/>
    <w:rsid w:val="00CB6BEA"/>
    <w:rsid w:val="00CD3302"/>
    <w:rsid w:val="00D05E9C"/>
    <w:rsid w:val="00D3779B"/>
    <w:rsid w:val="00D86190"/>
    <w:rsid w:val="00D91B7D"/>
    <w:rsid w:val="00DA3D9D"/>
    <w:rsid w:val="00DA79FD"/>
    <w:rsid w:val="00DB7C8B"/>
    <w:rsid w:val="00DE5C3A"/>
    <w:rsid w:val="00E11D76"/>
    <w:rsid w:val="00E52A84"/>
    <w:rsid w:val="00E61E1E"/>
    <w:rsid w:val="00E638AE"/>
    <w:rsid w:val="00E74ACC"/>
    <w:rsid w:val="00ED55BA"/>
    <w:rsid w:val="00ED7289"/>
    <w:rsid w:val="00ED7F69"/>
    <w:rsid w:val="00F4146F"/>
    <w:rsid w:val="00F44B80"/>
    <w:rsid w:val="00F54908"/>
    <w:rsid w:val="00F61688"/>
    <w:rsid w:val="00F77415"/>
    <w:rsid w:val="00F80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C92"/>
    <w:rPr>
      <w:rFonts w:ascii="Arial" w:eastAsia="SimSun" w:hAnsi="Arial" w:cs="Arial"/>
      <w:szCs w:val="20"/>
      <w:lang w:val="es-ES_tradnl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E5C92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E5C92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E5C92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E5C92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4146F"/>
    <w:rPr>
      <w:rFonts w:ascii="Cambria" w:hAnsi="Cambria" w:cs="Times New Roman"/>
      <w:b/>
      <w:bCs/>
      <w:kern w:val="32"/>
      <w:sz w:val="32"/>
      <w:szCs w:val="32"/>
      <w:lang w:val="es-ES_tradnl"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4146F"/>
    <w:rPr>
      <w:rFonts w:ascii="Cambria" w:hAnsi="Cambria" w:cs="Times New Roman"/>
      <w:b/>
      <w:bCs/>
      <w:i/>
      <w:iCs/>
      <w:sz w:val="28"/>
      <w:szCs w:val="28"/>
      <w:lang w:val="es-ES_tradnl"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4146F"/>
    <w:rPr>
      <w:rFonts w:ascii="Cambria" w:hAnsi="Cambria" w:cs="Times New Roman"/>
      <w:b/>
      <w:bCs/>
      <w:sz w:val="26"/>
      <w:szCs w:val="26"/>
      <w:lang w:val="es-ES_tradnl" w:eastAsia="zh-C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4146F"/>
    <w:rPr>
      <w:rFonts w:ascii="Calibri" w:hAnsi="Calibri" w:cs="Times New Roman"/>
      <w:b/>
      <w:bCs/>
      <w:sz w:val="28"/>
      <w:szCs w:val="28"/>
      <w:lang w:val="es-ES_tradnl" w:eastAsia="zh-CN"/>
    </w:rPr>
  </w:style>
  <w:style w:type="paragraph" w:styleId="BodyText">
    <w:name w:val="Body Text"/>
    <w:basedOn w:val="Normal"/>
    <w:link w:val="BodyTextChar"/>
    <w:uiPriority w:val="99"/>
    <w:rsid w:val="00BE5C92"/>
    <w:pPr>
      <w:spacing w:after="2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4146F"/>
    <w:rPr>
      <w:rFonts w:ascii="Arial" w:eastAsia="SimSun" w:hAnsi="Arial" w:cs="Arial"/>
      <w:sz w:val="20"/>
      <w:szCs w:val="20"/>
      <w:lang w:val="es-ES_tradnl" w:eastAsia="zh-CN"/>
    </w:rPr>
  </w:style>
  <w:style w:type="paragraph" w:styleId="Caption">
    <w:name w:val="caption"/>
    <w:basedOn w:val="Normal"/>
    <w:next w:val="Normal"/>
    <w:uiPriority w:val="99"/>
    <w:qFormat/>
    <w:rsid w:val="00BE5C92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BE5C92"/>
    <w:rPr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4146F"/>
    <w:rPr>
      <w:rFonts w:ascii="Arial" w:eastAsia="SimSun" w:hAnsi="Arial" w:cs="Arial"/>
      <w:sz w:val="20"/>
      <w:szCs w:val="20"/>
      <w:lang w:val="es-ES_tradnl" w:eastAsia="zh-CN"/>
    </w:rPr>
  </w:style>
  <w:style w:type="paragraph" w:styleId="EndnoteText">
    <w:name w:val="endnote text"/>
    <w:basedOn w:val="Normal"/>
    <w:link w:val="EndnoteTextChar"/>
    <w:uiPriority w:val="99"/>
    <w:semiHidden/>
    <w:rsid w:val="00BE5C92"/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F4146F"/>
    <w:rPr>
      <w:rFonts w:ascii="Arial" w:eastAsia="SimSun" w:hAnsi="Arial" w:cs="Arial"/>
      <w:sz w:val="20"/>
      <w:szCs w:val="20"/>
      <w:lang w:val="es-ES_tradnl" w:eastAsia="zh-CN"/>
    </w:rPr>
  </w:style>
  <w:style w:type="paragraph" w:styleId="Footer">
    <w:name w:val="footer"/>
    <w:basedOn w:val="Normal"/>
    <w:link w:val="FooterChar"/>
    <w:uiPriority w:val="99"/>
    <w:semiHidden/>
    <w:rsid w:val="00BE5C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4146F"/>
    <w:rPr>
      <w:rFonts w:ascii="Arial" w:eastAsia="SimSun" w:hAnsi="Arial" w:cs="Arial"/>
      <w:sz w:val="20"/>
      <w:szCs w:val="20"/>
      <w:lang w:val="es-ES_tradnl" w:eastAsia="zh-CN"/>
    </w:rPr>
  </w:style>
  <w:style w:type="paragraph" w:styleId="FootnoteText">
    <w:name w:val="footnote text"/>
    <w:basedOn w:val="Normal"/>
    <w:link w:val="FootnoteTextChar"/>
    <w:uiPriority w:val="99"/>
    <w:semiHidden/>
    <w:rsid w:val="00BE5C92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4146F"/>
    <w:rPr>
      <w:rFonts w:ascii="Arial" w:eastAsia="SimSun" w:hAnsi="Arial" w:cs="Arial"/>
      <w:sz w:val="20"/>
      <w:szCs w:val="20"/>
      <w:lang w:val="es-ES_tradnl" w:eastAsia="zh-CN"/>
    </w:rPr>
  </w:style>
  <w:style w:type="paragraph" w:styleId="Header">
    <w:name w:val="header"/>
    <w:basedOn w:val="Normal"/>
    <w:link w:val="HeaderChar"/>
    <w:uiPriority w:val="99"/>
    <w:semiHidden/>
    <w:rsid w:val="00BE5C9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4146F"/>
    <w:rPr>
      <w:rFonts w:ascii="Arial" w:eastAsia="SimSun" w:hAnsi="Arial" w:cs="Arial"/>
      <w:sz w:val="20"/>
      <w:szCs w:val="20"/>
      <w:lang w:val="es-ES_tradnl" w:eastAsia="zh-CN"/>
    </w:rPr>
  </w:style>
  <w:style w:type="paragraph" w:styleId="ListNumber">
    <w:name w:val="List Number"/>
    <w:basedOn w:val="Normal"/>
    <w:uiPriority w:val="99"/>
    <w:semiHidden/>
    <w:rsid w:val="00BE5C92"/>
    <w:pPr>
      <w:numPr>
        <w:numId w:val="28"/>
      </w:numPr>
    </w:pPr>
  </w:style>
  <w:style w:type="paragraph" w:customStyle="1" w:styleId="ONUME">
    <w:name w:val="ONUM E"/>
    <w:basedOn w:val="BodyText"/>
    <w:uiPriority w:val="99"/>
    <w:rsid w:val="00BE5C92"/>
    <w:pPr>
      <w:numPr>
        <w:numId w:val="29"/>
      </w:numPr>
    </w:pPr>
  </w:style>
  <w:style w:type="paragraph" w:customStyle="1" w:styleId="ONUMFS">
    <w:name w:val="ONUM FS"/>
    <w:basedOn w:val="BodyText"/>
    <w:uiPriority w:val="99"/>
    <w:rsid w:val="00D05E9C"/>
    <w:pPr>
      <w:numPr>
        <w:numId w:val="7"/>
      </w:numPr>
      <w:tabs>
        <w:tab w:val="clear" w:pos="360"/>
        <w:tab w:val="num" w:pos="567"/>
      </w:tabs>
    </w:pPr>
  </w:style>
  <w:style w:type="paragraph" w:styleId="Salutation">
    <w:name w:val="Salutation"/>
    <w:basedOn w:val="Normal"/>
    <w:next w:val="Normal"/>
    <w:link w:val="SalutationChar"/>
    <w:uiPriority w:val="99"/>
    <w:semiHidden/>
    <w:rsid w:val="00BE5C92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F4146F"/>
    <w:rPr>
      <w:rFonts w:ascii="Arial" w:eastAsia="SimSun" w:hAnsi="Arial" w:cs="Arial"/>
      <w:sz w:val="20"/>
      <w:szCs w:val="20"/>
      <w:lang w:val="es-ES_tradnl" w:eastAsia="zh-CN"/>
    </w:rPr>
  </w:style>
  <w:style w:type="paragraph" w:styleId="Signature">
    <w:name w:val="Signature"/>
    <w:basedOn w:val="Normal"/>
    <w:link w:val="SignatureChar"/>
    <w:uiPriority w:val="99"/>
    <w:semiHidden/>
    <w:rsid w:val="00BE5C92"/>
    <w:pPr>
      <w:ind w:left="5250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F4146F"/>
    <w:rPr>
      <w:rFonts w:ascii="Arial" w:eastAsia="SimSun" w:hAnsi="Arial" w:cs="Arial"/>
      <w:sz w:val="20"/>
      <w:szCs w:val="20"/>
      <w:lang w:val="es-ES_tradnl" w:eastAsia="zh-CN"/>
    </w:rPr>
  </w:style>
  <w:style w:type="character" w:styleId="PageNumber">
    <w:name w:val="page number"/>
    <w:basedOn w:val="DefaultParagraphFont"/>
    <w:uiPriority w:val="99"/>
    <w:rsid w:val="00582AD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4724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724F5"/>
    <w:rPr>
      <w:rFonts w:ascii="Tahoma" w:eastAsia="SimSun" w:hAnsi="Tahoma" w:cs="Tahoma"/>
      <w:sz w:val="16"/>
      <w:szCs w:val="16"/>
      <w:lang w:val="es-ES_tradnl" w:eastAsia="zh-CN" w:bidi="ar-SA"/>
    </w:rPr>
  </w:style>
  <w:style w:type="character" w:styleId="Hyperlink">
    <w:name w:val="Hyperlink"/>
    <w:basedOn w:val="DefaultParagraphFont"/>
    <w:uiPriority w:val="99"/>
    <w:rsid w:val="00723B2D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C95B7F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po.int/treaties/es/ShowResults.jsp?lang=es&amp;treaty_id=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55</TotalTime>
  <Pages>1</Pages>
  <Words>382</Words>
  <Characters>1941</Characters>
  <Application>Microsoft Office Outlook</Application>
  <DocSecurity>0</DocSecurity>
  <Lines>0</Lines>
  <Paragraphs>0</Paragraphs>
  <ScaleCrop>false</ScaleCrop>
  <Company>WIPO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NC</dc:creator>
  <cp:keywords/>
  <dc:description/>
  <cp:lastModifiedBy>Fricot</cp:lastModifiedBy>
  <cp:revision>14</cp:revision>
  <cp:lastPrinted>2013-07-08T09:03:00Z</cp:lastPrinted>
  <dcterms:created xsi:type="dcterms:W3CDTF">2013-07-02T14:58:00Z</dcterms:created>
  <dcterms:modified xsi:type="dcterms:W3CDTF">2013-07-08T09:03:00Z</dcterms:modified>
</cp:coreProperties>
</file>