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2168A9" w:rsidTr="00850DB1">
        <w:trPr>
          <w:trHeight w:val="1796"/>
        </w:trPr>
        <w:tc>
          <w:tcPr>
            <w:tcW w:w="4513" w:type="dxa"/>
            <w:tcMar>
              <w:left w:w="0" w:type="dxa"/>
              <w:right w:w="0" w:type="dxa"/>
            </w:tcMar>
          </w:tcPr>
          <w:p w:rsidR="002168A9" w:rsidRPr="00AE1A3A" w:rsidRDefault="002168A9" w:rsidP="00EB2B83"/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:rsidR="002168A9" w:rsidRDefault="00850DB1" w:rsidP="00EB2B83">
            <w:r w:rsidRPr="00DA3598">
              <w:rPr>
                <w:noProof/>
                <w:lang w:eastAsia="en-US"/>
              </w:rPr>
              <w:drawing>
                <wp:inline distT="0" distB="0" distL="0" distR="0" wp14:anchorId="12FF9C46" wp14:editId="731AE06D">
                  <wp:extent cx="1860550" cy="1327785"/>
                  <wp:effectExtent l="0" t="0" r="6350" b="5715"/>
                  <wp:docPr id="1" name="Picture 1" descr="Description: 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4FA2" w:rsidRDefault="003D4FA2" w:rsidP="002168A9"/>
    <w:p w:rsidR="003D4FA2" w:rsidRDefault="00C55C5A" w:rsidP="00C55C5A">
      <w:pPr>
        <w:jc w:val="right"/>
        <w:rPr>
          <w:rFonts w:ascii="Arial Black" w:hAnsi="Arial Black"/>
          <w:b/>
          <w:sz w:val="15"/>
          <w:szCs w:val="15"/>
          <w:lang w:val="es-ES"/>
        </w:rPr>
      </w:pPr>
      <w:r w:rsidRPr="00C55C5A">
        <w:rPr>
          <w:rFonts w:ascii="Arial Black" w:hAnsi="Arial Black"/>
          <w:b/>
          <w:sz w:val="15"/>
          <w:szCs w:val="15"/>
          <w:lang w:val="es-ES_tradnl"/>
        </w:rPr>
        <w:t xml:space="preserve">AVISO </w:t>
      </w:r>
      <w:r w:rsidR="0086093F" w:rsidRPr="00236ABE">
        <w:rPr>
          <w:rFonts w:ascii="Arial Black" w:hAnsi="Arial Black"/>
          <w:caps/>
          <w:sz w:val="15"/>
          <w:szCs w:val="15"/>
          <w:lang w:val="es-ES"/>
        </w:rPr>
        <w:t>N.</w:t>
      </w:r>
      <w:r w:rsidR="0086093F" w:rsidRPr="00236ABE">
        <w:rPr>
          <w:rFonts w:ascii="Arial Black" w:hAnsi="Arial Black"/>
          <w:caps/>
          <w:sz w:val="15"/>
          <w:szCs w:val="15"/>
          <w:vertAlign w:val="superscript"/>
          <w:lang w:val="es-ES"/>
        </w:rPr>
        <w:t>o</w:t>
      </w:r>
      <w:r w:rsidR="0086093F" w:rsidRPr="00236ABE">
        <w:rPr>
          <w:rFonts w:ascii="Arial Black" w:hAnsi="Arial Black"/>
          <w:caps/>
          <w:sz w:val="15"/>
          <w:szCs w:val="15"/>
          <w:lang w:val="es-ES"/>
        </w:rPr>
        <w:t xml:space="preserve"> </w:t>
      </w:r>
      <w:r w:rsidR="0086093F">
        <w:rPr>
          <w:rFonts w:ascii="Arial Black" w:hAnsi="Arial Black"/>
          <w:caps/>
          <w:sz w:val="15"/>
          <w:szCs w:val="15"/>
          <w:lang w:val="es-ES"/>
        </w:rPr>
        <w:t>5</w:t>
      </w:r>
      <w:r w:rsidRPr="00C55C5A">
        <w:rPr>
          <w:rFonts w:ascii="Arial Black" w:hAnsi="Arial Black"/>
          <w:b/>
          <w:sz w:val="15"/>
          <w:szCs w:val="15"/>
          <w:lang w:val="es-ES_tradnl"/>
        </w:rPr>
        <w:t>/2014</w:t>
      </w:r>
    </w:p>
    <w:p w:rsidR="003D4FA2" w:rsidRDefault="003D4FA2" w:rsidP="002168A9">
      <w:pPr>
        <w:rPr>
          <w:lang w:val="es-ES"/>
        </w:rPr>
      </w:pPr>
    </w:p>
    <w:p w:rsidR="003D4FA2" w:rsidRDefault="003D4FA2" w:rsidP="002168A9">
      <w:pPr>
        <w:rPr>
          <w:lang w:val="es-ES"/>
        </w:rPr>
      </w:pPr>
    </w:p>
    <w:p w:rsidR="003D4FA2" w:rsidRDefault="003D4FA2" w:rsidP="002168A9">
      <w:pPr>
        <w:rPr>
          <w:lang w:val="es-ES"/>
        </w:rPr>
      </w:pPr>
    </w:p>
    <w:p w:rsidR="003D4FA2" w:rsidRDefault="003D4FA2" w:rsidP="002168A9">
      <w:pPr>
        <w:rPr>
          <w:lang w:val="es-ES"/>
        </w:rPr>
      </w:pPr>
    </w:p>
    <w:p w:rsidR="003D4FA2" w:rsidRDefault="003D4FA2" w:rsidP="002168A9">
      <w:pPr>
        <w:rPr>
          <w:lang w:val="es-ES"/>
        </w:rPr>
      </w:pPr>
    </w:p>
    <w:p w:rsidR="003D4FA2" w:rsidRDefault="003D4FA2" w:rsidP="002168A9">
      <w:pPr>
        <w:rPr>
          <w:lang w:val="es-ES"/>
        </w:rPr>
      </w:pPr>
    </w:p>
    <w:p w:rsidR="003D4FA2" w:rsidRDefault="003D4FA2" w:rsidP="002168A9">
      <w:pPr>
        <w:rPr>
          <w:lang w:val="es-ES"/>
        </w:rPr>
      </w:pPr>
    </w:p>
    <w:p w:rsidR="003D4FA2" w:rsidRDefault="00C55C5A" w:rsidP="00C55C5A">
      <w:pPr>
        <w:rPr>
          <w:b/>
          <w:sz w:val="28"/>
          <w:szCs w:val="28"/>
          <w:lang w:val="es-ES"/>
        </w:rPr>
      </w:pPr>
      <w:r w:rsidRPr="00C55C5A">
        <w:rPr>
          <w:b/>
          <w:sz w:val="28"/>
          <w:szCs w:val="28"/>
          <w:lang w:val="es-ES_tradnl"/>
        </w:rPr>
        <w:t>Arreglo de La Haya relativo al registro internacional de dibujos y modelos industriales</w:t>
      </w:r>
    </w:p>
    <w:p w:rsidR="003D4FA2" w:rsidRDefault="003D4FA2" w:rsidP="002168A9">
      <w:pPr>
        <w:rPr>
          <w:lang w:val="es-ES"/>
        </w:rPr>
      </w:pPr>
    </w:p>
    <w:p w:rsidR="003D4FA2" w:rsidRDefault="003D4FA2" w:rsidP="002168A9">
      <w:pPr>
        <w:rPr>
          <w:lang w:val="es-ES"/>
        </w:rPr>
      </w:pPr>
    </w:p>
    <w:p w:rsidR="003D4FA2" w:rsidRDefault="003D4FA2" w:rsidP="002168A9">
      <w:pPr>
        <w:rPr>
          <w:lang w:val="es-ES"/>
        </w:rPr>
      </w:pPr>
    </w:p>
    <w:p w:rsidR="003D4FA2" w:rsidRDefault="009F59BB" w:rsidP="009F59BB">
      <w:pPr>
        <w:rPr>
          <w:b/>
          <w:bCs/>
          <w:sz w:val="23"/>
          <w:szCs w:val="23"/>
        </w:rPr>
      </w:pPr>
      <w:r w:rsidRPr="009F59BB">
        <w:rPr>
          <w:b/>
          <w:bCs/>
          <w:color w:val="000000"/>
          <w:sz w:val="23"/>
          <w:szCs w:val="23"/>
          <w:lang w:val="es-ES_tradnl"/>
        </w:rPr>
        <w:t>Modificaciones del Reglamento Com</w:t>
      </w:r>
      <w:r w:rsidRPr="009F59BB">
        <w:rPr>
          <w:b/>
          <w:bCs/>
          <w:sz w:val="23"/>
          <w:szCs w:val="23"/>
          <w:lang w:val="es-ES_tradnl"/>
        </w:rPr>
        <w:t>ún</w:t>
      </w:r>
    </w:p>
    <w:p w:rsidR="003D4FA2" w:rsidRDefault="003D4FA2" w:rsidP="002168A9">
      <w:pPr>
        <w:rPr>
          <w:szCs w:val="22"/>
        </w:rPr>
      </w:pPr>
    </w:p>
    <w:p w:rsidR="003D4FA2" w:rsidRDefault="006C3744" w:rsidP="006C3744">
      <w:pPr>
        <w:pStyle w:val="ONUME"/>
        <w:rPr>
          <w:lang w:val="es-ES"/>
        </w:rPr>
      </w:pPr>
      <w:r w:rsidRPr="006C3744">
        <w:rPr>
          <w:lang w:val="es-ES_tradnl"/>
        </w:rPr>
        <w:t>En su trigésimo cuarto período de sesiones</w:t>
      </w:r>
      <w:r w:rsidR="000E2467">
        <w:rPr>
          <w:lang w:val="es-ES_tradnl"/>
        </w:rPr>
        <w:t xml:space="preserve"> (15º </w:t>
      </w:r>
      <w:r w:rsidR="00E949B0">
        <w:rPr>
          <w:lang w:val="es-ES_tradnl"/>
        </w:rPr>
        <w:t>extra</w:t>
      </w:r>
      <w:r w:rsidR="000E2467">
        <w:rPr>
          <w:lang w:val="es-ES_tradnl"/>
        </w:rPr>
        <w:t>ordinario), celebrado</w:t>
      </w:r>
      <w:r w:rsidRPr="006C3744">
        <w:rPr>
          <w:lang w:val="es-ES_tradnl"/>
        </w:rPr>
        <w:t xml:space="preserve"> en Ginebra del 22 al 30 de septiembre de 2014, la Asamblea de la Unión de La Haya aprobó una serie de modificaciones del Reglamento Común del Acta d</w:t>
      </w:r>
      <w:r w:rsidR="00FF029C" w:rsidRPr="00FF029C">
        <w:rPr>
          <w:lang w:val="es-ES_tradnl"/>
        </w:rPr>
        <w:t>e 1</w:t>
      </w:r>
      <w:r w:rsidRPr="006C3744">
        <w:rPr>
          <w:lang w:val="es-ES_tradnl"/>
        </w:rPr>
        <w:t>999 y del Acta d</w:t>
      </w:r>
      <w:r w:rsidR="00FF029C" w:rsidRPr="00FF029C">
        <w:rPr>
          <w:lang w:val="es-ES_tradnl"/>
        </w:rPr>
        <w:t>e 1</w:t>
      </w:r>
      <w:r w:rsidRPr="006C3744">
        <w:rPr>
          <w:lang w:val="es-ES_tradnl"/>
        </w:rPr>
        <w:t>960 del Arreglo de La Haya.</w:t>
      </w:r>
    </w:p>
    <w:p w:rsidR="003D4FA2" w:rsidRDefault="00A02B8A" w:rsidP="00A02B8A">
      <w:pPr>
        <w:pStyle w:val="ONUME"/>
        <w:rPr>
          <w:lang w:val="es-ES"/>
        </w:rPr>
      </w:pPr>
      <w:r w:rsidRPr="00A02B8A">
        <w:rPr>
          <w:color w:val="000000"/>
          <w:lang w:val="es-ES_tradnl"/>
        </w:rPr>
        <w:t>La finalidad general de las modificaciones introducidas e</w:t>
      </w:r>
      <w:r w:rsidR="0081088F">
        <w:rPr>
          <w:color w:val="000000"/>
          <w:lang w:val="es-ES_tradnl"/>
        </w:rPr>
        <w:t>n</w:t>
      </w:r>
      <w:r w:rsidRPr="00A02B8A">
        <w:rPr>
          <w:color w:val="000000"/>
          <w:lang w:val="es-ES_tradnl"/>
        </w:rPr>
        <w:t xml:space="preserve"> la Regl</w:t>
      </w:r>
      <w:r w:rsidR="00FF029C" w:rsidRPr="00FF029C">
        <w:rPr>
          <w:color w:val="000000"/>
          <w:lang w:val="es-ES_tradnl"/>
        </w:rPr>
        <w:t>a 1</w:t>
      </w:r>
      <w:r w:rsidRPr="00A02B8A">
        <w:rPr>
          <w:color w:val="000000"/>
          <w:lang w:val="es-ES_tradnl"/>
        </w:rPr>
        <w:t>8</w:t>
      </w:r>
      <w:r w:rsidR="0081088F">
        <w:rPr>
          <w:color w:val="000000"/>
          <w:lang w:val="es-ES_tradnl"/>
        </w:rPr>
        <w:t>.4) y en</w:t>
      </w:r>
      <w:r w:rsidRPr="00A02B8A">
        <w:rPr>
          <w:color w:val="000000"/>
          <w:lang w:val="es-ES_tradnl"/>
        </w:rPr>
        <w:t xml:space="preserve"> la Regl</w:t>
      </w:r>
      <w:r w:rsidR="00FF029C" w:rsidRPr="00FF029C">
        <w:rPr>
          <w:color w:val="000000"/>
          <w:lang w:val="es-ES_tradnl"/>
        </w:rPr>
        <w:t>a 1</w:t>
      </w:r>
      <w:r w:rsidRPr="00A02B8A">
        <w:rPr>
          <w:color w:val="000000"/>
          <w:lang w:val="es-ES_tradnl"/>
        </w:rPr>
        <w:t>8</w:t>
      </w:r>
      <w:r w:rsidRPr="00A02B8A">
        <w:rPr>
          <w:i/>
          <w:color w:val="000000"/>
          <w:lang w:val="es-ES_tradnl"/>
        </w:rPr>
        <w:t>bis</w:t>
      </w:r>
      <w:r w:rsidR="0081088F" w:rsidRPr="0081088F">
        <w:rPr>
          <w:color w:val="000000"/>
          <w:lang w:val="es-ES_tradnl"/>
        </w:rPr>
        <w:t>.1) y</w:t>
      </w:r>
      <w:r w:rsidR="002D234B">
        <w:rPr>
          <w:color w:val="000000"/>
          <w:lang w:val="es-ES_tradnl"/>
        </w:rPr>
        <w:t> </w:t>
      </w:r>
      <w:r w:rsidR="0081088F" w:rsidRPr="0081088F">
        <w:rPr>
          <w:color w:val="000000"/>
          <w:lang w:val="es-ES_tradnl"/>
        </w:rPr>
        <w:t>2)</w:t>
      </w:r>
      <w:r w:rsidRPr="00A02B8A">
        <w:rPr>
          <w:color w:val="000000"/>
          <w:lang w:val="es-ES_tradnl"/>
        </w:rPr>
        <w:t xml:space="preserve"> del Reglamento Común es aumentar la transparencia en lo relativo al alcance de la protección</w:t>
      </w:r>
      <w:r w:rsidR="003F7FAA">
        <w:rPr>
          <w:color w:val="000000"/>
          <w:lang w:val="es-ES_tradnl"/>
        </w:rPr>
        <w:t xml:space="preserve"> que ofrece</w:t>
      </w:r>
      <w:r w:rsidRPr="00A02B8A">
        <w:rPr>
          <w:color w:val="000000"/>
          <w:lang w:val="es-ES_tradnl"/>
        </w:rPr>
        <w:t xml:space="preserve"> el registro internacional</w:t>
      </w:r>
      <w:r w:rsidR="00080D69">
        <w:rPr>
          <w:color w:val="000000"/>
          <w:lang w:val="es-ES_tradnl"/>
        </w:rPr>
        <w:t>,</w:t>
      </w:r>
      <w:r w:rsidRPr="00A02B8A">
        <w:rPr>
          <w:color w:val="000000"/>
          <w:lang w:val="es-ES_tradnl"/>
        </w:rPr>
        <w:t xml:space="preserve"> de </w:t>
      </w:r>
      <w:r w:rsidR="003F7FAA">
        <w:rPr>
          <w:color w:val="000000"/>
          <w:lang w:val="es-ES_tradnl"/>
        </w:rPr>
        <w:t>un</w:t>
      </w:r>
      <w:r w:rsidRPr="00A02B8A">
        <w:rPr>
          <w:color w:val="000000"/>
          <w:lang w:val="es-ES_tradnl"/>
        </w:rPr>
        <w:t xml:space="preserve"> dibujo</w:t>
      </w:r>
      <w:r w:rsidR="003F7FAA">
        <w:rPr>
          <w:color w:val="000000"/>
          <w:lang w:val="es-ES_tradnl"/>
        </w:rPr>
        <w:t xml:space="preserve"> o</w:t>
      </w:r>
      <w:r w:rsidRPr="00A02B8A">
        <w:rPr>
          <w:color w:val="000000"/>
          <w:lang w:val="es-ES_tradnl"/>
        </w:rPr>
        <w:t xml:space="preserve"> modelo industrial</w:t>
      </w:r>
      <w:r w:rsidR="00080D69">
        <w:rPr>
          <w:color w:val="000000"/>
          <w:lang w:val="es-ES_tradnl"/>
        </w:rPr>
        <w:t>,</w:t>
      </w:r>
      <w:r w:rsidR="003F7FAA">
        <w:rPr>
          <w:color w:val="000000"/>
          <w:lang w:val="es-ES_tradnl"/>
        </w:rPr>
        <w:t xml:space="preserve"> que </w:t>
      </w:r>
      <w:r w:rsidR="00E6491F">
        <w:rPr>
          <w:color w:val="000000"/>
          <w:lang w:val="es-ES_tradnl"/>
        </w:rPr>
        <w:t>ha sido</w:t>
      </w:r>
      <w:r w:rsidRPr="00A02B8A">
        <w:rPr>
          <w:color w:val="000000"/>
          <w:lang w:val="es-ES_tradnl"/>
        </w:rPr>
        <w:t xml:space="preserve"> modificado en </w:t>
      </w:r>
      <w:r w:rsidR="003F7FAA">
        <w:rPr>
          <w:color w:val="000000"/>
          <w:lang w:val="es-ES_tradnl"/>
        </w:rPr>
        <w:t>un</w:t>
      </w:r>
      <w:r w:rsidRPr="00A02B8A">
        <w:rPr>
          <w:color w:val="000000"/>
          <w:lang w:val="es-ES_tradnl"/>
        </w:rPr>
        <w:t xml:space="preserve"> procedimiento ante la Oficina designada, </w:t>
      </w:r>
      <w:r w:rsidR="00FC60BA">
        <w:rPr>
          <w:color w:val="000000"/>
          <w:lang w:val="es-ES_tradnl"/>
        </w:rPr>
        <w:t>de ser el</w:t>
      </w:r>
      <w:r w:rsidRPr="00A02B8A">
        <w:rPr>
          <w:color w:val="000000"/>
          <w:lang w:val="es-ES_tradnl"/>
        </w:rPr>
        <w:t xml:space="preserve"> caso, y mejorar la información sobre la situación del registro internacional </w:t>
      </w:r>
      <w:r w:rsidRPr="000C6E8A">
        <w:rPr>
          <w:color w:val="000000"/>
          <w:lang w:val="es-ES_tradnl"/>
        </w:rPr>
        <w:t>en</w:t>
      </w:r>
      <w:r w:rsidRPr="00A02B8A">
        <w:rPr>
          <w:color w:val="000000"/>
          <w:lang w:val="es-ES_tradnl"/>
        </w:rPr>
        <w:t xml:space="preserve"> una Parte Contratante designada.</w:t>
      </w:r>
      <w:r w:rsidR="0059589B" w:rsidRPr="003D4FA2">
        <w:rPr>
          <w:lang w:val="es-ES"/>
        </w:rPr>
        <w:t xml:space="preserve">  </w:t>
      </w:r>
      <w:r w:rsidRPr="00A02B8A">
        <w:rPr>
          <w:color w:val="000000"/>
          <w:lang w:val="es-ES_tradnl"/>
        </w:rPr>
        <w:t>Estas modificaciones tienen que l</w:t>
      </w:r>
      <w:r w:rsidR="009E6DBE">
        <w:rPr>
          <w:color w:val="000000"/>
          <w:lang w:val="es-ES_tradnl"/>
        </w:rPr>
        <w:t>eerse en sintonía con</w:t>
      </w:r>
      <w:r w:rsidRPr="00A02B8A">
        <w:rPr>
          <w:color w:val="000000"/>
          <w:lang w:val="es-ES_tradnl"/>
        </w:rPr>
        <w:t xml:space="preserve"> la intención de la Oficina Internacional de comenzar a poner a disposición del público </w:t>
      </w:r>
      <w:r w:rsidR="003F7FAA">
        <w:rPr>
          <w:color w:val="000000"/>
          <w:lang w:val="es-ES_tradnl"/>
        </w:rPr>
        <w:t xml:space="preserve">copias de </w:t>
      </w:r>
      <w:r w:rsidRPr="00A02B8A">
        <w:rPr>
          <w:color w:val="000000"/>
          <w:lang w:val="es-ES_tradnl"/>
        </w:rPr>
        <w:t xml:space="preserve">las notificaciones de denegación y retirada de la denegación, así como las declaraciones de concesión de </w:t>
      </w:r>
      <w:r w:rsidR="00663334">
        <w:rPr>
          <w:color w:val="000000"/>
          <w:lang w:val="es-ES_tradnl"/>
        </w:rPr>
        <w:t xml:space="preserve">la </w:t>
      </w:r>
      <w:r w:rsidRPr="00A02B8A">
        <w:rPr>
          <w:color w:val="000000"/>
          <w:lang w:val="es-ES_tradnl"/>
        </w:rPr>
        <w:t xml:space="preserve">protección, junto con la publicación en el </w:t>
      </w:r>
      <w:r w:rsidRPr="001569C8">
        <w:rPr>
          <w:i/>
          <w:color w:val="000000"/>
          <w:lang w:val="es-ES_tradnl"/>
        </w:rPr>
        <w:t>Boletín de Dibujos y Modelos Internacionales</w:t>
      </w:r>
      <w:r w:rsidRPr="00A02B8A">
        <w:rPr>
          <w:color w:val="000000"/>
          <w:lang w:val="es-ES_tradnl"/>
        </w:rPr>
        <w:t xml:space="preserve"> de la inscripción de cualquier denegación, retirada de la denegación o declaración de concesión de </w:t>
      </w:r>
      <w:r w:rsidR="00663334">
        <w:rPr>
          <w:color w:val="000000"/>
          <w:lang w:val="es-ES_tradnl"/>
        </w:rPr>
        <w:t xml:space="preserve">la </w:t>
      </w:r>
      <w:r w:rsidRPr="00A02B8A">
        <w:rPr>
          <w:color w:val="000000"/>
          <w:lang w:val="es-ES_tradnl"/>
        </w:rPr>
        <w:t>protección.</w:t>
      </w:r>
    </w:p>
    <w:p w:rsidR="003D4FA2" w:rsidRDefault="008E57B8" w:rsidP="008E57B8">
      <w:pPr>
        <w:pStyle w:val="ONUME"/>
        <w:rPr>
          <w:lang w:val="es-ES"/>
        </w:rPr>
      </w:pPr>
      <w:r w:rsidRPr="008E57B8">
        <w:rPr>
          <w:color w:val="000000"/>
          <w:lang w:val="es-ES_tradnl"/>
        </w:rPr>
        <w:t>También se introdujeron modificaciones con respecto a la Tabla de tasas, con miras a autorizar el cobro por parte de la Oficina Internacional de una tasa por la prestación de posibles servicios adicionales en el futuro.</w:t>
      </w:r>
    </w:p>
    <w:p w:rsidR="003D4FA2" w:rsidRDefault="008E57B8" w:rsidP="008E57B8">
      <w:pPr>
        <w:pStyle w:val="ONUME"/>
        <w:rPr>
          <w:lang w:val="es-ES"/>
        </w:rPr>
      </w:pPr>
      <w:r w:rsidRPr="008E57B8">
        <w:rPr>
          <w:color w:val="000000"/>
          <w:lang w:val="es-ES_tradnl"/>
        </w:rPr>
        <w:t>El texto modificado del Reglamento Común figura en el Anexo del presente Aviso.</w:t>
      </w:r>
    </w:p>
    <w:p w:rsidR="003D4FA2" w:rsidRDefault="00DC1240" w:rsidP="00DA42C3">
      <w:pPr>
        <w:pStyle w:val="ONUME"/>
        <w:rPr>
          <w:lang w:val="es-ES"/>
        </w:rPr>
      </w:pPr>
      <w:r w:rsidRPr="00DC1240">
        <w:rPr>
          <w:color w:val="000000"/>
          <w:lang w:val="es-ES_tradnl"/>
        </w:rPr>
        <w:t>El objetivo de este Aviso consiste en explicar el funcionamiento de las modificaciones ef</w:t>
      </w:r>
      <w:r w:rsidR="001569C8">
        <w:rPr>
          <w:color w:val="000000"/>
          <w:lang w:val="es-ES_tradnl"/>
        </w:rPr>
        <w:t xml:space="preserve">ectuadas en </w:t>
      </w:r>
      <w:r w:rsidRPr="00DC1240">
        <w:rPr>
          <w:color w:val="000000"/>
          <w:lang w:val="es-ES_tradnl"/>
        </w:rPr>
        <w:t>la Regl</w:t>
      </w:r>
      <w:r w:rsidR="00FF029C" w:rsidRPr="00FF029C">
        <w:rPr>
          <w:color w:val="000000"/>
          <w:lang w:val="es-ES_tradnl"/>
        </w:rPr>
        <w:t>a 1</w:t>
      </w:r>
      <w:r w:rsidRPr="00DC1240">
        <w:rPr>
          <w:color w:val="000000"/>
          <w:lang w:val="es-ES_tradnl"/>
        </w:rPr>
        <w:t>8</w:t>
      </w:r>
      <w:r w:rsidR="001569C8">
        <w:rPr>
          <w:color w:val="000000"/>
          <w:lang w:val="es-ES_tradnl"/>
        </w:rPr>
        <w:t>.4)</w:t>
      </w:r>
      <w:r w:rsidR="003F7FAA">
        <w:rPr>
          <w:color w:val="000000"/>
          <w:lang w:val="es-ES_tradnl"/>
        </w:rPr>
        <w:t>,</w:t>
      </w:r>
      <w:r w:rsidRPr="00DC1240">
        <w:rPr>
          <w:color w:val="000000"/>
          <w:lang w:val="es-ES_tradnl"/>
        </w:rPr>
        <w:t xml:space="preserve"> </w:t>
      </w:r>
      <w:r w:rsidR="001569C8">
        <w:rPr>
          <w:color w:val="000000"/>
          <w:lang w:val="es-ES_tradnl"/>
        </w:rPr>
        <w:t>y en la</w:t>
      </w:r>
      <w:r w:rsidRPr="00DC1240">
        <w:rPr>
          <w:color w:val="000000"/>
          <w:lang w:val="es-ES_tradnl"/>
        </w:rPr>
        <w:t xml:space="preserve"> Regl</w:t>
      </w:r>
      <w:r w:rsidR="00FF029C" w:rsidRPr="00FF029C">
        <w:rPr>
          <w:color w:val="000000"/>
          <w:lang w:val="es-ES_tradnl"/>
        </w:rPr>
        <w:t>a 1</w:t>
      </w:r>
      <w:r w:rsidRPr="00DC1240">
        <w:rPr>
          <w:color w:val="000000"/>
          <w:lang w:val="es-ES_tradnl"/>
        </w:rPr>
        <w:t>8</w:t>
      </w:r>
      <w:r w:rsidRPr="00DC1240">
        <w:rPr>
          <w:i/>
          <w:color w:val="000000"/>
          <w:lang w:val="es-ES_tradnl"/>
        </w:rPr>
        <w:t>bis</w:t>
      </w:r>
      <w:r w:rsidR="001569C8" w:rsidRPr="00B71B88">
        <w:rPr>
          <w:color w:val="000000"/>
          <w:lang w:val="es-ES_tradnl"/>
        </w:rPr>
        <w:t>.</w:t>
      </w:r>
      <w:r w:rsidR="001569C8" w:rsidRPr="001569C8">
        <w:rPr>
          <w:color w:val="000000"/>
          <w:lang w:val="es-ES_tradnl"/>
        </w:rPr>
        <w:t>1) y 2)</w:t>
      </w:r>
      <w:r w:rsidRPr="001569C8">
        <w:rPr>
          <w:color w:val="000000"/>
          <w:lang w:val="es-ES_tradnl"/>
        </w:rPr>
        <w:t>.</w:t>
      </w:r>
      <w:r w:rsidR="008500ED">
        <w:rPr>
          <w:color w:val="000000"/>
          <w:lang w:val="es-ES_tradnl"/>
        </w:rPr>
        <w:t xml:space="preserve">  </w:t>
      </w:r>
      <w:r w:rsidRPr="00DC1240">
        <w:rPr>
          <w:color w:val="000000"/>
          <w:lang w:val="es-ES_tradnl"/>
        </w:rPr>
        <w:t>En el documento H/A/34/2 de la Asamblea de la Unión de La Haya figura una descripción más detallada de las modificaciones mencionadas en los párrafos</w:t>
      </w:r>
      <w:r w:rsidR="008500ED">
        <w:rPr>
          <w:color w:val="000000"/>
          <w:lang w:val="es-ES_tradnl"/>
        </w:rPr>
        <w:t xml:space="preserve"> anteriores y de su motivación.  </w:t>
      </w:r>
      <w:r w:rsidRPr="00DC1240">
        <w:rPr>
          <w:color w:val="000000"/>
          <w:lang w:val="es-ES_tradnl"/>
        </w:rPr>
        <w:t>Dicho documento puede consultarse en el sitio web de la OMPI</w:t>
      </w:r>
      <w:r w:rsidR="000E2467">
        <w:rPr>
          <w:color w:val="000000"/>
          <w:lang w:val="es-ES_tradnl"/>
        </w:rPr>
        <w:t>, en la siguiente dirección</w:t>
      </w:r>
      <w:r w:rsidRPr="00DC1240">
        <w:rPr>
          <w:color w:val="000000"/>
          <w:lang w:val="es-ES_tradnl"/>
        </w:rPr>
        <w:t>:</w:t>
      </w:r>
      <w:r w:rsidR="0077782A">
        <w:rPr>
          <w:color w:val="008000"/>
          <w:lang w:val="es-ES_tradnl"/>
        </w:rPr>
        <w:t xml:space="preserve">  </w:t>
      </w:r>
      <w:hyperlink r:id="rId10" w:history="1">
        <w:r w:rsidR="00E875DC">
          <w:rPr>
            <w:rStyle w:val="Hyperlink"/>
            <w:color w:val="auto"/>
            <w:u w:val="none"/>
            <w:lang w:val="es-ES_tradnl"/>
          </w:rPr>
          <w:t>http://www.wipo.int/meetings/es/doc_details.jsp?doc_id=281046</w:t>
        </w:r>
        <w:r w:rsidR="00E875DC" w:rsidRPr="00766169">
          <w:rPr>
            <w:rStyle w:val="Hyperlink"/>
            <w:color w:val="auto"/>
            <w:u w:val="none"/>
            <w:lang w:val="es-ES_tradnl"/>
          </w:rPr>
          <w:t>,</w:t>
        </w:r>
      </w:hyperlink>
      <w:r w:rsidRPr="00DC1240">
        <w:rPr>
          <w:lang w:val="es-ES_tradnl"/>
        </w:rPr>
        <w:t xml:space="preserve"> y en los documentos del Grupo de Trabajo H/LD/WG/4/2 y H/LD/WG/4/3, disponibles en la siguiente página del sitio web de la OMPI:  </w:t>
      </w:r>
      <w:hyperlink r:id="rId11" w:history="1">
        <w:r w:rsidR="00E875DC">
          <w:rPr>
            <w:rStyle w:val="Hyperlink"/>
            <w:color w:val="auto"/>
            <w:u w:val="none"/>
            <w:lang w:val="es-ES_tradnl"/>
          </w:rPr>
          <w:t>http://www.wipo.int/meetings/es/details.jsp?meeting_id=32042</w:t>
        </w:r>
      </w:hyperlink>
      <w:r w:rsidRPr="00DC1240">
        <w:rPr>
          <w:lang w:val="es-ES_tradnl"/>
        </w:rPr>
        <w:t>.</w:t>
      </w:r>
    </w:p>
    <w:p w:rsidR="003D4FA2" w:rsidRDefault="00E81BDD" w:rsidP="00E81BDD">
      <w:pPr>
        <w:pStyle w:val="Heading1"/>
        <w:spacing w:before="480"/>
        <w:rPr>
          <w:lang w:val="es-ES"/>
        </w:rPr>
      </w:pPr>
      <w:r w:rsidRPr="00E81BDD">
        <w:rPr>
          <w:color w:val="000000"/>
          <w:lang w:val="es-ES_tradnl"/>
        </w:rPr>
        <w:lastRenderedPageBreak/>
        <w:t>INTRODUCCIÓN DE UN "MECANISMO DE INFORMACIÓN"</w:t>
      </w:r>
    </w:p>
    <w:p w:rsidR="003D4FA2" w:rsidRDefault="003D4FA2" w:rsidP="00D10F82">
      <w:pPr>
        <w:rPr>
          <w:lang w:val="es-ES"/>
        </w:rPr>
      </w:pPr>
    </w:p>
    <w:p w:rsidR="003D4FA2" w:rsidRDefault="001569C8" w:rsidP="004449EA">
      <w:pPr>
        <w:pStyle w:val="ONUME"/>
        <w:rPr>
          <w:lang w:val="es-ES"/>
        </w:rPr>
      </w:pPr>
      <w:r>
        <w:rPr>
          <w:lang w:val="es-ES_tradnl"/>
        </w:rPr>
        <w:t>Se recuerda que en el</w:t>
      </w:r>
      <w:r w:rsidR="004449EA" w:rsidRPr="004449EA">
        <w:rPr>
          <w:lang w:val="es-ES_tradnl"/>
        </w:rPr>
        <w:t xml:space="preserve"> Artícul</w:t>
      </w:r>
      <w:r w:rsidR="00FF029C" w:rsidRPr="00FF029C">
        <w:rPr>
          <w:lang w:val="es-ES_tradnl"/>
        </w:rPr>
        <w:t>o 1</w:t>
      </w:r>
      <w:r w:rsidR="008F373D">
        <w:rPr>
          <w:lang w:val="es-ES_tradnl"/>
        </w:rPr>
        <w:t>4</w:t>
      </w:r>
      <w:r>
        <w:rPr>
          <w:lang w:val="es-ES_tradnl"/>
        </w:rPr>
        <w:t>.2)c)</w:t>
      </w:r>
      <w:r w:rsidR="008F373D">
        <w:rPr>
          <w:lang w:val="es-ES_tradnl"/>
        </w:rPr>
        <w:t xml:space="preserve"> del Acta d</w:t>
      </w:r>
      <w:r w:rsidR="00FF029C" w:rsidRPr="00FF029C">
        <w:rPr>
          <w:lang w:val="es-ES_tradnl"/>
        </w:rPr>
        <w:t>e 1</w:t>
      </w:r>
      <w:r w:rsidR="008F373D">
        <w:rPr>
          <w:lang w:val="es-ES_tradnl"/>
        </w:rPr>
        <w:t>999 se establece</w:t>
      </w:r>
      <w:r w:rsidR="004449EA" w:rsidRPr="004449EA">
        <w:rPr>
          <w:lang w:val="es-ES_tradnl"/>
        </w:rPr>
        <w:t xml:space="preserve"> que, </w:t>
      </w:r>
      <w:r w:rsidR="009B5792">
        <w:rPr>
          <w:lang w:val="es-ES_tradnl"/>
        </w:rPr>
        <w:t>de conformidad con el</w:t>
      </w:r>
      <w:r w:rsidR="004449EA" w:rsidRPr="004449EA">
        <w:rPr>
          <w:lang w:val="es-ES_tradnl"/>
        </w:rPr>
        <w:t xml:space="preserve"> Artícul</w:t>
      </w:r>
      <w:r w:rsidR="00FF029C" w:rsidRPr="00FF029C">
        <w:rPr>
          <w:lang w:val="es-ES_tradnl"/>
        </w:rPr>
        <w:t>o 1</w:t>
      </w:r>
      <w:r w:rsidR="004449EA" w:rsidRPr="004449EA">
        <w:rPr>
          <w:lang w:val="es-ES_tradnl"/>
        </w:rPr>
        <w:t>4</w:t>
      </w:r>
      <w:r>
        <w:rPr>
          <w:lang w:val="es-ES_tradnl"/>
        </w:rPr>
        <w:t>.2)</w:t>
      </w:r>
      <w:r w:rsidR="009B5792">
        <w:rPr>
          <w:lang w:val="es-ES_tradnl"/>
        </w:rPr>
        <w:t>a) y b)</w:t>
      </w:r>
      <w:r w:rsidR="004449EA" w:rsidRPr="004449EA">
        <w:rPr>
          <w:lang w:val="es-ES_tradnl"/>
        </w:rPr>
        <w:t xml:space="preserve">, el efecto conferido al registro internacional será aplicable al dibujo o modelo industrial tal como lo recibió la Oficina de una Parte Contratante designada </w:t>
      </w:r>
      <w:r w:rsidR="00074623" w:rsidRPr="004449EA">
        <w:rPr>
          <w:lang w:val="es-ES_tradnl"/>
        </w:rPr>
        <w:t xml:space="preserve">de la Oficina Internacional </w:t>
      </w:r>
      <w:r w:rsidR="004449EA" w:rsidRPr="004449EA">
        <w:rPr>
          <w:lang w:val="es-ES_tradnl"/>
        </w:rPr>
        <w:t>o, cuando proceda, “en la forma modificada en el procedimiento ante la Oficina designada”.</w:t>
      </w:r>
    </w:p>
    <w:p w:rsidR="003D4FA2" w:rsidRDefault="00330134" w:rsidP="00330134">
      <w:pPr>
        <w:pStyle w:val="ONUME"/>
        <w:rPr>
          <w:lang w:val="es-ES"/>
        </w:rPr>
      </w:pPr>
      <w:r w:rsidRPr="00330134">
        <w:rPr>
          <w:color w:val="000000"/>
          <w:lang w:val="es-ES_tradnl"/>
        </w:rPr>
        <w:t>En los nuevos apartados c</w:t>
      </w:r>
      <w:r w:rsidR="001569C8">
        <w:rPr>
          <w:color w:val="000000"/>
          <w:lang w:val="es-ES_tradnl"/>
        </w:rPr>
        <w:t xml:space="preserve">) </w:t>
      </w:r>
      <w:r w:rsidR="00975EE1">
        <w:rPr>
          <w:color w:val="000000"/>
          <w:lang w:val="es-ES_tradnl"/>
        </w:rPr>
        <w:t>de la Regl</w:t>
      </w:r>
      <w:r w:rsidR="00FF029C" w:rsidRPr="00FF029C">
        <w:rPr>
          <w:color w:val="000000"/>
          <w:lang w:val="es-ES_tradnl"/>
        </w:rPr>
        <w:t>a 1</w:t>
      </w:r>
      <w:r w:rsidR="00975EE1">
        <w:rPr>
          <w:color w:val="000000"/>
          <w:lang w:val="es-ES_tradnl"/>
        </w:rPr>
        <w:t>8</w:t>
      </w:r>
      <w:r w:rsidR="001569C8">
        <w:rPr>
          <w:color w:val="000000"/>
          <w:lang w:val="es-ES_tradnl"/>
        </w:rPr>
        <w:t>.4)</w:t>
      </w:r>
      <w:r w:rsidR="00975EE1">
        <w:rPr>
          <w:color w:val="000000"/>
          <w:lang w:val="es-ES_tradnl"/>
        </w:rPr>
        <w:t xml:space="preserve"> y</w:t>
      </w:r>
      <w:r w:rsidR="001569C8">
        <w:rPr>
          <w:color w:val="000000"/>
          <w:lang w:val="es-ES_tradnl"/>
        </w:rPr>
        <w:t xml:space="preserve"> </w:t>
      </w:r>
      <w:r w:rsidRPr="00330134">
        <w:rPr>
          <w:color w:val="000000"/>
          <w:lang w:val="es-ES_tradnl"/>
        </w:rPr>
        <w:t>de la Regl</w:t>
      </w:r>
      <w:r w:rsidR="00FF029C" w:rsidRPr="00FF029C">
        <w:rPr>
          <w:color w:val="000000"/>
          <w:lang w:val="es-ES_tradnl"/>
        </w:rPr>
        <w:t>a 1</w:t>
      </w:r>
      <w:r w:rsidRPr="00330134">
        <w:rPr>
          <w:color w:val="000000"/>
          <w:lang w:val="es-ES_tradnl"/>
        </w:rPr>
        <w:t>8</w:t>
      </w:r>
      <w:r w:rsidRPr="00330134">
        <w:rPr>
          <w:i/>
          <w:color w:val="000000"/>
          <w:lang w:val="es-ES_tradnl"/>
        </w:rPr>
        <w:t>bis</w:t>
      </w:r>
      <w:r w:rsidR="001569C8" w:rsidRPr="00B71B88">
        <w:rPr>
          <w:color w:val="000000"/>
          <w:lang w:val="es-ES_tradnl"/>
        </w:rPr>
        <w:t>.1) y 2)</w:t>
      </w:r>
      <w:r w:rsidRPr="00330134">
        <w:rPr>
          <w:color w:val="000000"/>
          <w:lang w:val="es-ES_tradnl"/>
        </w:rPr>
        <w:t xml:space="preserve"> se dispone que, cuando el registro internacional haya sido modificado en un procedimiento ante la Oficina, en la consiguiente declaración de concesión de la protección o en la notificación de retirada de la denegación</w:t>
      </w:r>
      <w:r w:rsidR="00B71B88">
        <w:rPr>
          <w:color w:val="000000"/>
          <w:lang w:val="es-ES_tradnl"/>
        </w:rPr>
        <w:t xml:space="preserve"> expedidas por esa Oficina</w:t>
      </w:r>
      <w:r w:rsidRPr="00330134">
        <w:rPr>
          <w:color w:val="000000"/>
          <w:lang w:val="es-ES_tradnl"/>
        </w:rPr>
        <w:t xml:space="preserve"> figurarán o se indicarán </w:t>
      </w:r>
      <w:r w:rsidR="00B71B88">
        <w:rPr>
          <w:color w:val="000000"/>
          <w:lang w:val="es-ES_tradnl"/>
        </w:rPr>
        <w:t xml:space="preserve">a partir de ahora </w:t>
      </w:r>
      <w:r w:rsidRPr="00330134">
        <w:rPr>
          <w:color w:val="000000"/>
          <w:lang w:val="es-ES_tradnl"/>
        </w:rPr>
        <w:t>todas las modificaciones introducidas.</w:t>
      </w:r>
      <w:r w:rsidR="005574D5" w:rsidRPr="00975EE1">
        <w:rPr>
          <w:lang w:val="es-ES"/>
        </w:rPr>
        <w:t xml:space="preserve">  </w:t>
      </w:r>
      <w:r w:rsidRPr="00330134">
        <w:rPr>
          <w:color w:val="000000"/>
          <w:lang w:val="es-ES_tradnl"/>
        </w:rPr>
        <w:t>Es comprensible, no obstante, que las Oficinas puedan proporcionar la información sobre las modificaciones en el idioma en que conste, aunque se trate de uno distinto al idioma de trabajo utilizado para la declaración o la notificación en cuestión.</w:t>
      </w:r>
    </w:p>
    <w:p w:rsidR="003D4FA2" w:rsidRDefault="00CD3874" w:rsidP="00CD3874">
      <w:pPr>
        <w:pStyle w:val="ONUME"/>
        <w:rPr>
          <w:lang w:val="es-ES"/>
        </w:rPr>
      </w:pPr>
      <w:r w:rsidRPr="00CD3874">
        <w:rPr>
          <w:color w:val="000000"/>
          <w:lang w:val="es-ES_tradnl"/>
        </w:rPr>
        <w:t>Tal como se indica en el párraf</w:t>
      </w:r>
      <w:r w:rsidR="00FF029C" w:rsidRPr="00FF029C">
        <w:rPr>
          <w:color w:val="000000"/>
          <w:lang w:val="es-ES_tradnl"/>
        </w:rPr>
        <w:t>o 2</w:t>
      </w:r>
      <w:r w:rsidR="00B71B88">
        <w:rPr>
          <w:color w:val="000000"/>
          <w:lang w:val="es-ES_tradnl"/>
        </w:rPr>
        <w:t xml:space="preserve"> anterior,</w:t>
      </w:r>
      <w:r w:rsidRPr="00CD3874">
        <w:rPr>
          <w:color w:val="000000"/>
          <w:lang w:val="es-ES_tradnl"/>
        </w:rPr>
        <w:t xml:space="preserve"> y para que el </w:t>
      </w:r>
      <w:r w:rsidR="00B71B88">
        <w:rPr>
          <w:color w:val="000000"/>
          <w:lang w:val="es-ES_tradnl"/>
        </w:rPr>
        <w:t>“</w:t>
      </w:r>
      <w:r w:rsidR="005A6B84">
        <w:rPr>
          <w:color w:val="000000"/>
          <w:lang w:val="es-ES_tradnl"/>
        </w:rPr>
        <w:t>M</w:t>
      </w:r>
      <w:r w:rsidRPr="00CD3874">
        <w:rPr>
          <w:color w:val="000000"/>
          <w:lang w:val="es-ES_tradnl"/>
        </w:rPr>
        <w:t xml:space="preserve">ecanismo de </w:t>
      </w:r>
      <w:r w:rsidR="009B5792">
        <w:rPr>
          <w:color w:val="000000"/>
          <w:lang w:val="es-ES_tradnl"/>
        </w:rPr>
        <w:t>I</w:t>
      </w:r>
      <w:r w:rsidRPr="00CD3874">
        <w:rPr>
          <w:color w:val="000000"/>
          <w:lang w:val="es-ES_tradnl"/>
        </w:rPr>
        <w:t>nformación</w:t>
      </w:r>
      <w:r w:rsidR="00B71B88">
        <w:rPr>
          <w:color w:val="000000"/>
          <w:lang w:val="es-ES_tradnl"/>
        </w:rPr>
        <w:t>”</w:t>
      </w:r>
      <w:r w:rsidRPr="00CD3874">
        <w:rPr>
          <w:color w:val="000000"/>
          <w:lang w:val="es-ES_tradnl"/>
        </w:rPr>
        <w:t xml:space="preserve"> cumpla con su función de poner información a di</w:t>
      </w:r>
      <w:r w:rsidR="00B71B88">
        <w:rPr>
          <w:color w:val="000000"/>
          <w:lang w:val="es-ES_tradnl"/>
        </w:rPr>
        <w:t>sposición del público, se comunicarán al público</w:t>
      </w:r>
      <w:r w:rsidRPr="00CD3874">
        <w:rPr>
          <w:color w:val="000000"/>
          <w:lang w:val="es-ES_tradnl"/>
        </w:rPr>
        <w:t xml:space="preserve"> las modificaciones a través del </w:t>
      </w:r>
      <w:r w:rsidRPr="00B71B88">
        <w:rPr>
          <w:i/>
          <w:color w:val="000000"/>
          <w:lang w:val="es-ES_tradnl"/>
        </w:rPr>
        <w:t>Boletín de Dibujos y Modelos Internacionales</w:t>
      </w:r>
      <w:r w:rsidR="00B71B88">
        <w:rPr>
          <w:color w:val="000000"/>
          <w:lang w:val="es-ES_tradnl"/>
        </w:rPr>
        <w:t xml:space="preserve"> </w:t>
      </w:r>
      <w:r w:rsidR="0062388A">
        <w:rPr>
          <w:color w:val="000000"/>
          <w:lang w:val="es-ES_tradnl"/>
        </w:rPr>
        <w:t xml:space="preserve">mediante </w:t>
      </w:r>
      <w:r w:rsidR="00B71B88">
        <w:rPr>
          <w:color w:val="000000"/>
          <w:lang w:val="es-ES_tradnl"/>
        </w:rPr>
        <w:t>la publicación de</w:t>
      </w:r>
      <w:r w:rsidRPr="00CD3874">
        <w:rPr>
          <w:color w:val="000000"/>
          <w:lang w:val="es-ES_tradnl"/>
        </w:rPr>
        <w:t xml:space="preserve"> </w:t>
      </w:r>
      <w:r w:rsidRPr="00933EA1">
        <w:rPr>
          <w:color w:val="000000"/>
          <w:lang w:val="es-ES_tradnl"/>
        </w:rPr>
        <w:t>una copia</w:t>
      </w:r>
      <w:r w:rsidRPr="00CD3874">
        <w:rPr>
          <w:color w:val="000000"/>
          <w:lang w:val="es-ES_tradnl"/>
        </w:rPr>
        <w:t xml:space="preserve"> de la notificación de retirada de la denegación o </w:t>
      </w:r>
      <w:r w:rsidR="00B71B88">
        <w:rPr>
          <w:color w:val="000000"/>
          <w:lang w:val="es-ES_tradnl"/>
        </w:rPr>
        <w:t xml:space="preserve">de la </w:t>
      </w:r>
      <w:r w:rsidRPr="00CD3874">
        <w:rPr>
          <w:color w:val="000000"/>
          <w:lang w:val="es-ES_tradnl"/>
        </w:rPr>
        <w:t>declaración de concesión de la protección recibida.</w:t>
      </w:r>
    </w:p>
    <w:p w:rsidR="003D4FA2" w:rsidRDefault="00B71B88" w:rsidP="00CD3874">
      <w:pPr>
        <w:pStyle w:val="Heading1"/>
        <w:spacing w:before="480"/>
        <w:rPr>
          <w:lang w:val="es-ES"/>
        </w:rPr>
      </w:pPr>
      <w:r>
        <w:rPr>
          <w:color w:val="000000"/>
          <w:lang w:val="es-ES_tradnl"/>
        </w:rPr>
        <w:t>indicación de la fecha en que</w:t>
      </w:r>
      <w:r w:rsidR="00CD3874" w:rsidRPr="00CD3874">
        <w:rPr>
          <w:color w:val="000000"/>
          <w:lang w:val="es-ES_tradnl"/>
        </w:rPr>
        <w:t xml:space="preserve"> SURTE EFECTO EL REGISTRO INTERNACIONAL</w:t>
      </w:r>
    </w:p>
    <w:p w:rsidR="003D4FA2" w:rsidRDefault="003D4FA2" w:rsidP="00D10F82">
      <w:pPr>
        <w:rPr>
          <w:lang w:val="es-ES"/>
        </w:rPr>
      </w:pPr>
    </w:p>
    <w:p w:rsidR="003D4FA2" w:rsidRDefault="009B5792" w:rsidP="00BC52BE">
      <w:pPr>
        <w:pStyle w:val="ONUME"/>
        <w:rPr>
          <w:lang w:val="es-ES"/>
        </w:rPr>
      </w:pPr>
      <w:r>
        <w:rPr>
          <w:color w:val="000000"/>
          <w:lang w:val="es-ES_tradnl"/>
        </w:rPr>
        <w:t>La nueva</w:t>
      </w:r>
      <w:r w:rsidR="00AB3184">
        <w:rPr>
          <w:color w:val="000000"/>
          <w:lang w:val="es-ES_tradnl"/>
        </w:rPr>
        <w:t xml:space="preserve"> Regla</w:t>
      </w:r>
      <w:r w:rsidR="00FF029C" w:rsidRPr="00FF029C">
        <w:rPr>
          <w:color w:val="000000"/>
          <w:lang w:val="es-ES_tradnl"/>
        </w:rPr>
        <w:t> 1</w:t>
      </w:r>
      <w:r w:rsidR="00975EE1" w:rsidRPr="00975EE1">
        <w:rPr>
          <w:color w:val="000000"/>
          <w:lang w:val="es-ES_tradnl"/>
        </w:rPr>
        <w:t>8</w:t>
      </w:r>
      <w:r w:rsidR="00AB3184">
        <w:rPr>
          <w:color w:val="000000"/>
          <w:lang w:val="es-ES_tradnl"/>
        </w:rPr>
        <w:t>.4)b</w:t>
      </w:r>
      <w:proofErr w:type="gramStart"/>
      <w:r w:rsidR="00AB3184">
        <w:rPr>
          <w:color w:val="000000"/>
          <w:lang w:val="es-ES_tradnl"/>
        </w:rPr>
        <w:t>)</w:t>
      </w:r>
      <w:r>
        <w:rPr>
          <w:color w:val="000000"/>
          <w:lang w:val="es-ES_tradnl"/>
        </w:rPr>
        <w:t>iv</w:t>
      </w:r>
      <w:proofErr w:type="gramEnd"/>
      <w:r>
        <w:rPr>
          <w:color w:val="000000"/>
          <w:lang w:val="es-ES_tradnl"/>
        </w:rPr>
        <w:t>)</w:t>
      </w:r>
      <w:r w:rsidR="00AB3184">
        <w:rPr>
          <w:color w:val="000000"/>
          <w:lang w:val="es-ES_tradnl"/>
        </w:rPr>
        <w:t xml:space="preserve"> y la Regla</w:t>
      </w:r>
      <w:r w:rsidR="00FF029C" w:rsidRPr="00FF029C">
        <w:rPr>
          <w:color w:val="000000"/>
          <w:lang w:val="es-ES_tradnl"/>
        </w:rPr>
        <w:t> 1</w:t>
      </w:r>
      <w:r w:rsidR="00975EE1" w:rsidRPr="00975EE1">
        <w:rPr>
          <w:color w:val="000000"/>
          <w:lang w:val="es-ES_tradnl"/>
        </w:rPr>
        <w:t>8</w:t>
      </w:r>
      <w:r w:rsidR="00975EE1" w:rsidRPr="00975EE1">
        <w:rPr>
          <w:i/>
          <w:color w:val="000000"/>
          <w:lang w:val="es-ES_tradnl"/>
        </w:rPr>
        <w:t>bis</w:t>
      </w:r>
      <w:r w:rsidR="00AB3184" w:rsidRPr="00AB3184">
        <w:rPr>
          <w:color w:val="000000"/>
          <w:lang w:val="es-ES_tradnl"/>
        </w:rPr>
        <w:t>.1)</w:t>
      </w:r>
      <w:r w:rsidR="00AB3184">
        <w:rPr>
          <w:color w:val="000000"/>
          <w:lang w:val="es-ES_tradnl"/>
        </w:rPr>
        <w:t>b)</w:t>
      </w:r>
      <w:r>
        <w:rPr>
          <w:color w:val="000000"/>
          <w:lang w:val="es-ES_tradnl"/>
        </w:rPr>
        <w:t>iv)</w:t>
      </w:r>
      <w:r w:rsidR="00AB3184" w:rsidRPr="00AB3184">
        <w:rPr>
          <w:color w:val="000000"/>
          <w:lang w:val="es-ES_tradnl"/>
        </w:rPr>
        <w:t xml:space="preserve"> y 2)</w:t>
      </w:r>
      <w:r w:rsidR="00AB3184">
        <w:rPr>
          <w:color w:val="000000"/>
          <w:lang w:val="es-ES_tradnl"/>
        </w:rPr>
        <w:t>b)</w:t>
      </w:r>
      <w:r>
        <w:rPr>
          <w:color w:val="000000"/>
          <w:lang w:val="es-ES_tradnl"/>
        </w:rPr>
        <w:t>iv)</w:t>
      </w:r>
      <w:r w:rsidR="00975EE1" w:rsidRPr="00975EE1">
        <w:rPr>
          <w:color w:val="000000"/>
          <w:lang w:val="es-ES_tradnl"/>
        </w:rPr>
        <w:t xml:space="preserve"> imponen a las Oficinas la obligación de indicar en sus declaraciones de concesión de </w:t>
      </w:r>
      <w:r w:rsidR="00663334">
        <w:rPr>
          <w:color w:val="000000"/>
          <w:lang w:val="es-ES_tradnl"/>
        </w:rPr>
        <w:t xml:space="preserve">la </w:t>
      </w:r>
      <w:r w:rsidR="00975EE1" w:rsidRPr="00975EE1">
        <w:rPr>
          <w:color w:val="000000"/>
          <w:lang w:val="es-ES_tradnl"/>
        </w:rPr>
        <w:t>protecció</w:t>
      </w:r>
      <w:r w:rsidR="008F373D">
        <w:rPr>
          <w:color w:val="000000"/>
          <w:lang w:val="es-ES_tradnl"/>
        </w:rPr>
        <w:t xml:space="preserve">n y en las notificaciones de </w:t>
      </w:r>
      <w:r w:rsidR="00975EE1" w:rsidRPr="00975EE1">
        <w:rPr>
          <w:color w:val="000000"/>
          <w:lang w:val="es-ES_tradnl"/>
        </w:rPr>
        <w:t xml:space="preserve">retirada de la denegación la fecha a partir de la que el registro internacional produjo o producirá el mismo efecto que el derivado de la concesión de </w:t>
      </w:r>
      <w:r w:rsidR="00663334">
        <w:rPr>
          <w:color w:val="000000"/>
          <w:lang w:val="es-ES_tradnl"/>
        </w:rPr>
        <w:t xml:space="preserve">la </w:t>
      </w:r>
      <w:r w:rsidR="00975EE1" w:rsidRPr="00975EE1">
        <w:rPr>
          <w:color w:val="000000"/>
          <w:lang w:val="es-ES_tradnl"/>
        </w:rPr>
        <w:t>protección en virtud de la legislación aplicable.</w:t>
      </w:r>
      <w:r w:rsidR="00E52A24" w:rsidRPr="003D4FA2">
        <w:rPr>
          <w:lang w:val="es-ES"/>
        </w:rPr>
        <w:t xml:space="preserve">  </w:t>
      </w:r>
      <w:r w:rsidR="00975EE1" w:rsidRPr="00975EE1">
        <w:rPr>
          <w:color w:val="000000"/>
          <w:lang w:val="es-ES_tradnl"/>
        </w:rPr>
        <w:t>En función de la legislación aplicable, dicha fecha puede diferir de la fecha de la declaración o notificación.</w:t>
      </w:r>
      <w:r w:rsidR="00E52A24" w:rsidRPr="003D4FA2">
        <w:rPr>
          <w:lang w:val="es-ES"/>
        </w:rPr>
        <w:t xml:space="preserve"> </w:t>
      </w:r>
      <w:r w:rsidR="00D10F82" w:rsidRPr="003D4FA2">
        <w:rPr>
          <w:lang w:val="es-ES"/>
        </w:rPr>
        <w:t xml:space="preserve"> </w:t>
      </w:r>
      <w:r w:rsidR="00BC52BE" w:rsidRPr="00BC52BE">
        <w:rPr>
          <w:color w:val="000000"/>
          <w:lang w:val="es-ES_tradnl"/>
        </w:rPr>
        <w:t xml:space="preserve">La Oficina Internacional incluirá la fecha como parte de la publicación de la inscripción de cualquier declaración de concesión de </w:t>
      </w:r>
      <w:r w:rsidR="00663334">
        <w:rPr>
          <w:color w:val="000000"/>
          <w:lang w:val="es-ES_tradnl"/>
        </w:rPr>
        <w:t xml:space="preserve">la </w:t>
      </w:r>
      <w:r w:rsidR="00BC52BE" w:rsidRPr="00BC52BE">
        <w:rPr>
          <w:color w:val="000000"/>
          <w:lang w:val="es-ES_tradnl"/>
        </w:rPr>
        <w:t>protección o retirada de la denegación.</w:t>
      </w:r>
    </w:p>
    <w:p w:rsidR="003D4FA2" w:rsidRDefault="009A54DF" w:rsidP="009A54DF">
      <w:pPr>
        <w:pStyle w:val="Heading1"/>
        <w:spacing w:before="480"/>
        <w:rPr>
          <w:lang w:val="es-ES"/>
        </w:rPr>
      </w:pPr>
      <w:r w:rsidRPr="009A54DF">
        <w:rPr>
          <w:color w:val="000000"/>
          <w:lang w:val="es-ES_tradnl"/>
        </w:rPr>
        <w:t xml:space="preserve">DECLARACIÓN DE CONCESIÓN DE </w:t>
      </w:r>
      <w:r w:rsidR="006B6079">
        <w:rPr>
          <w:color w:val="000000"/>
          <w:lang w:val="es-ES_tradnl"/>
        </w:rPr>
        <w:t xml:space="preserve">LA </w:t>
      </w:r>
      <w:r w:rsidRPr="009A54DF">
        <w:rPr>
          <w:color w:val="000000"/>
          <w:lang w:val="es-ES_tradnl"/>
        </w:rPr>
        <w:t>PROTECCIÓN OBLIGATORIA EN DETERMINADAS CIRCUNSTANCIAS</w:t>
      </w:r>
    </w:p>
    <w:p w:rsidR="003D4FA2" w:rsidRDefault="003D4FA2" w:rsidP="00D10F82">
      <w:pPr>
        <w:rPr>
          <w:lang w:val="es-ES"/>
        </w:rPr>
      </w:pPr>
    </w:p>
    <w:p w:rsidR="003D4FA2" w:rsidRDefault="00980583" w:rsidP="00980583">
      <w:pPr>
        <w:pStyle w:val="ONUME"/>
        <w:rPr>
          <w:szCs w:val="22"/>
          <w:lang w:val="es-ES"/>
        </w:rPr>
      </w:pPr>
      <w:r w:rsidRPr="00980583">
        <w:rPr>
          <w:color w:val="000000"/>
          <w:szCs w:val="22"/>
          <w:lang w:val="es-ES_tradnl"/>
        </w:rPr>
        <w:t>Para aumentar la transparencia sobre la situación del registro internacional en una Parte Contratante designada,</w:t>
      </w:r>
      <w:r w:rsidR="00BC55ED">
        <w:rPr>
          <w:color w:val="000000"/>
          <w:szCs w:val="22"/>
          <w:lang w:val="es-ES_tradnl"/>
        </w:rPr>
        <w:t xml:space="preserve"> el nuevo apartado d) </w:t>
      </w:r>
      <w:r w:rsidRPr="00980583">
        <w:rPr>
          <w:color w:val="000000"/>
          <w:szCs w:val="22"/>
          <w:lang w:val="es-ES_tradnl"/>
        </w:rPr>
        <w:t>de la Regl</w:t>
      </w:r>
      <w:r w:rsidR="00FF029C" w:rsidRPr="00FF029C">
        <w:rPr>
          <w:color w:val="000000"/>
          <w:szCs w:val="22"/>
          <w:lang w:val="es-ES_tradnl"/>
        </w:rPr>
        <w:t>a 1</w:t>
      </w:r>
      <w:r w:rsidRPr="00980583">
        <w:rPr>
          <w:color w:val="000000"/>
          <w:szCs w:val="22"/>
          <w:lang w:val="es-ES_tradnl"/>
        </w:rPr>
        <w:t>8</w:t>
      </w:r>
      <w:r w:rsidRPr="00980583">
        <w:rPr>
          <w:i/>
          <w:color w:val="000000"/>
          <w:szCs w:val="22"/>
          <w:lang w:val="es-ES_tradnl"/>
        </w:rPr>
        <w:t>bis</w:t>
      </w:r>
      <w:r w:rsidR="00BC55ED" w:rsidRPr="00BC55ED">
        <w:rPr>
          <w:color w:val="000000"/>
          <w:szCs w:val="22"/>
          <w:lang w:val="es-ES_tradnl"/>
        </w:rPr>
        <w:t>.1)</w:t>
      </w:r>
      <w:r w:rsidRPr="00980583">
        <w:rPr>
          <w:color w:val="000000"/>
          <w:szCs w:val="22"/>
          <w:lang w:val="es-ES_tradnl"/>
        </w:rPr>
        <w:t xml:space="preserve"> establece que la comunicación de una declaración de concesión de </w:t>
      </w:r>
      <w:r w:rsidR="00663334">
        <w:rPr>
          <w:color w:val="000000"/>
          <w:szCs w:val="22"/>
          <w:lang w:val="es-ES_tradnl"/>
        </w:rPr>
        <w:t xml:space="preserve">la </w:t>
      </w:r>
      <w:r w:rsidRPr="00980583">
        <w:rPr>
          <w:color w:val="000000"/>
          <w:szCs w:val="22"/>
          <w:lang w:val="es-ES_tradnl"/>
        </w:rPr>
        <w:t>protección resultará o</w:t>
      </w:r>
      <w:r w:rsidR="00BC55ED">
        <w:rPr>
          <w:color w:val="000000"/>
          <w:szCs w:val="22"/>
          <w:lang w:val="es-ES_tradnl"/>
        </w:rPr>
        <w:t>bligatoria en dos caso</w:t>
      </w:r>
      <w:r w:rsidR="003D4FA2">
        <w:rPr>
          <w:color w:val="000000"/>
          <w:szCs w:val="22"/>
          <w:lang w:val="es-ES_tradnl"/>
        </w:rPr>
        <w:t>s</w:t>
      </w:r>
      <w:r w:rsidR="00BC55ED">
        <w:rPr>
          <w:color w:val="000000"/>
          <w:szCs w:val="22"/>
          <w:lang w:val="es-ES_tradnl"/>
        </w:rPr>
        <w:t xml:space="preserve"> en lo</w:t>
      </w:r>
      <w:r w:rsidRPr="00980583">
        <w:rPr>
          <w:color w:val="000000"/>
          <w:szCs w:val="22"/>
          <w:lang w:val="es-ES_tradnl"/>
        </w:rPr>
        <w:t>s que no se comunicó previamente la notificación de la denegación.</w:t>
      </w:r>
    </w:p>
    <w:p w:rsidR="003D4FA2" w:rsidRDefault="00BC55ED" w:rsidP="00DA42C3">
      <w:pPr>
        <w:pStyle w:val="ONUME"/>
        <w:rPr>
          <w:szCs w:val="22"/>
          <w:lang w:val="es-ES"/>
        </w:rPr>
      </w:pPr>
      <w:r>
        <w:rPr>
          <w:rFonts w:eastAsia="Times New Roman"/>
          <w:szCs w:val="22"/>
          <w:lang w:val="es-ES" w:eastAsia="ja-JP"/>
        </w:rPr>
        <w:t>El primer cas</w:t>
      </w:r>
      <w:r w:rsidR="006378EB" w:rsidRPr="006378EB">
        <w:rPr>
          <w:rFonts w:eastAsia="Times New Roman"/>
          <w:szCs w:val="22"/>
          <w:lang w:val="es-ES" w:eastAsia="ja-JP"/>
        </w:rPr>
        <w:t>o se da cuando una Parte Contratante ha efectuado u</w:t>
      </w:r>
      <w:r>
        <w:rPr>
          <w:rFonts w:eastAsia="Times New Roman"/>
          <w:szCs w:val="22"/>
          <w:lang w:val="es-ES" w:eastAsia="ja-JP"/>
        </w:rPr>
        <w:t xml:space="preserve">na declaración </w:t>
      </w:r>
      <w:r w:rsidR="00AA34DC">
        <w:rPr>
          <w:rFonts w:eastAsia="Times New Roman"/>
          <w:szCs w:val="22"/>
          <w:lang w:val="es-ES" w:eastAsia="ja-JP"/>
        </w:rPr>
        <w:t>de conformidad con</w:t>
      </w:r>
      <w:r w:rsidR="006378EB" w:rsidRPr="006378EB">
        <w:rPr>
          <w:rFonts w:eastAsia="Times New Roman"/>
          <w:szCs w:val="22"/>
          <w:lang w:val="es-ES" w:eastAsia="ja-JP"/>
        </w:rPr>
        <w:t xml:space="preserve"> la Regl</w:t>
      </w:r>
      <w:r w:rsidR="00FF029C" w:rsidRPr="00FF029C">
        <w:rPr>
          <w:rFonts w:eastAsia="Times New Roman"/>
          <w:szCs w:val="22"/>
          <w:lang w:val="es-ES" w:eastAsia="ja-JP"/>
        </w:rPr>
        <w:t>a 1</w:t>
      </w:r>
      <w:r w:rsidR="006378EB" w:rsidRPr="006378EB">
        <w:rPr>
          <w:rFonts w:eastAsia="Times New Roman"/>
          <w:szCs w:val="22"/>
          <w:lang w:val="es-ES" w:eastAsia="ja-JP"/>
        </w:rPr>
        <w:t>8</w:t>
      </w:r>
      <w:r>
        <w:rPr>
          <w:rFonts w:eastAsia="Times New Roman"/>
          <w:szCs w:val="22"/>
          <w:lang w:val="es-ES" w:eastAsia="ja-JP"/>
        </w:rPr>
        <w:t>.1)b)</w:t>
      </w:r>
      <w:r w:rsidR="006378EB" w:rsidRPr="006378EB">
        <w:rPr>
          <w:rFonts w:eastAsia="Times New Roman"/>
          <w:szCs w:val="22"/>
          <w:lang w:val="es-ES" w:eastAsia="ja-JP"/>
        </w:rPr>
        <w:t xml:space="preserve"> que contempla las situaciones dispuestas en </w:t>
      </w:r>
      <w:r w:rsidR="006378EB">
        <w:rPr>
          <w:rFonts w:eastAsia="Times New Roman"/>
          <w:szCs w:val="22"/>
          <w:lang w:val="es-ES" w:eastAsia="ja-JP"/>
        </w:rPr>
        <w:t>la Regl</w:t>
      </w:r>
      <w:r w:rsidR="00FF029C" w:rsidRPr="00FF029C">
        <w:rPr>
          <w:rFonts w:eastAsia="Times New Roman"/>
          <w:szCs w:val="22"/>
          <w:lang w:val="es-ES" w:eastAsia="ja-JP"/>
        </w:rPr>
        <w:t>a 1</w:t>
      </w:r>
      <w:r w:rsidR="006378EB">
        <w:rPr>
          <w:rFonts w:eastAsia="Times New Roman"/>
          <w:szCs w:val="22"/>
          <w:lang w:val="es-ES" w:eastAsia="ja-JP"/>
        </w:rPr>
        <w:t>8</w:t>
      </w:r>
      <w:r>
        <w:rPr>
          <w:rFonts w:eastAsia="Times New Roman"/>
          <w:szCs w:val="22"/>
          <w:lang w:val="es-ES" w:eastAsia="ja-JP"/>
        </w:rPr>
        <w:t>.1)c)</w:t>
      </w:r>
      <w:r w:rsidR="00AA34DC">
        <w:rPr>
          <w:rFonts w:eastAsia="Times New Roman"/>
          <w:szCs w:val="22"/>
          <w:lang w:val="es-ES" w:eastAsia="ja-JP"/>
        </w:rPr>
        <w:t>i) y ii)</w:t>
      </w:r>
      <w:r w:rsidR="00B07DB1">
        <w:rPr>
          <w:rStyle w:val="FootnoteReference"/>
          <w:rFonts w:eastAsia="Times New Roman"/>
          <w:szCs w:val="22"/>
          <w:lang w:val="es-ES" w:eastAsia="ja-JP"/>
        </w:rPr>
        <w:footnoteReference w:id="1"/>
      </w:r>
      <w:r w:rsidR="00DB421D" w:rsidRPr="006378EB">
        <w:rPr>
          <w:rFonts w:eastAsia="Times New Roman"/>
          <w:szCs w:val="22"/>
          <w:lang w:val="es-ES" w:eastAsia="ja-JP"/>
        </w:rPr>
        <w:t xml:space="preserve">. </w:t>
      </w:r>
      <w:r w:rsidR="00D10F82" w:rsidRPr="006378EB">
        <w:rPr>
          <w:rFonts w:eastAsia="Times New Roman"/>
          <w:szCs w:val="22"/>
          <w:lang w:val="es-ES" w:eastAsia="ja-JP"/>
        </w:rPr>
        <w:t xml:space="preserve"> </w:t>
      </w:r>
      <w:r w:rsidR="00B07DB1" w:rsidRPr="00B07DB1">
        <w:rPr>
          <w:lang w:val="es-ES"/>
        </w:rPr>
        <w:t>C</w:t>
      </w:r>
      <w:r w:rsidR="00375D29">
        <w:rPr>
          <w:lang w:val="es-ES"/>
        </w:rPr>
        <w:t xml:space="preserve">abe recordar </w:t>
      </w:r>
      <w:r w:rsidR="00E740E3">
        <w:rPr>
          <w:lang w:val="es-ES"/>
        </w:rPr>
        <w:t xml:space="preserve">que </w:t>
      </w:r>
      <w:r w:rsidR="00C7292C">
        <w:rPr>
          <w:lang w:val="es-ES"/>
        </w:rPr>
        <w:t>la Regla </w:t>
      </w:r>
      <w:r w:rsidR="00B07DB1" w:rsidRPr="00B07DB1">
        <w:rPr>
          <w:lang w:val="es-ES"/>
        </w:rPr>
        <w:t>18</w:t>
      </w:r>
      <w:r>
        <w:rPr>
          <w:lang w:val="es-ES"/>
        </w:rPr>
        <w:t>.1)c)</w:t>
      </w:r>
      <w:r w:rsidR="00AA34DC">
        <w:rPr>
          <w:lang w:val="es-ES"/>
        </w:rPr>
        <w:t>i)</w:t>
      </w:r>
      <w:r w:rsidR="00B07DB1" w:rsidRPr="00B07DB1">
        <w:rPr>
          <w:lang w:val="es-ES"/>
        </w:rPr>
        <w:t xml:space="preserve"> dice lo siguiente</w:t>
      </w:r>
      <w:proofErr w:type="gramStart"/>
      <w:r w:rsidR="00B07DB1" w:rsidRPr="00B07DB1">
        <w:rPr>
          <w:lang w:val="es-ES"/>
        </w:rPr>
        <w:t>:</w:t>
      </w:r>
      <w:r w:rsidR="00D10F82" w:rsidRPr="00B07DB1">
        <w:rPr>
          <w:rFonts w:eastAsia="Times New Roman"/>
          <w:szCs w:val="22"/>
          <w:lang w:val="es-ES" w:eastAsia="ja-JP"/>
        </w:rPr>
        <w:t xml:space="preserve"> </w:t>
      </w:r>
      <w:r w:rsidR="00B07DB1" w:rsidRPr="00B07DB1">
        <w:rPr>
          <w:rFonts w:eastAsia="Times New Roman"/>
          <w:szCs w:val="22"/>
          <w:lang w:val="es-ES" w:eastAsia="ja-JP"/>
        </w:rPr>
        <w:t xml:space="preserve"> </w:t>
      </w:r>
      <w:r w:rsidR="00D10F82" w:rsidRPr="00B07DB1">
        <w:rPr>
          <w:rFonts w:eastAsia="Times New Roman"/>
          <w:szCs w:val="22"/>
          <w:lang w:val="es-ES" w:eastAsia="ja-JP"/>
        </w:rPr>
        <w:t>“</w:t>
      </w:r>
      <w:proofErr w:type="gramEnd"/>
      <w:r w:rsidR="005434CA" w:rsidRPr="00B07DB1">
        <w:rPr>
          <w:rFonts w:eastAsia="Times New Roman"/>
          <w:szCs w:val="22"/>
          <w:lang w:val="es-ES" w:eastAsia="ja-JP"/>
        </w:rPr>
        <w:t>c)</w:t>
      </w:r>
      <w:r w:rsidR="00D10F82" w:rsidRPr="00B07DB1">
        <w:rPr>
          <w:rFonts w:eastAsia="Times New Roman"/>
          <w:szCs w:val="22"/>
          <w:lang w:val="es-ES" w:eastAsia="ja-JP"/>
        </w:rPr>
        <w:t>  </w:t>
      </w:r>
      <w:r w:rsidR="00B07DB1" w:rsidRPr="00B07DB1">
        <w:rPr>
          <w:rFonts w:eastAsia="Times New Roman"/>
          <w:szCs w:val="22"/>
          <w:lang w:val="es-ES" w:eastAsia="ja-JP"/>
        </w:rPr>
        <w:t>En la declaración mencionada en el apartado b) podrá indicarse asimismo que el registro internacional surtirá el e</w:t>
      </w:r>
      <w:r w:rsidR="00C7292C">
        <w:rPr>
          <w:rFonts w:eastAsia="Times New Roman"/>
          <w:szCs w:val="22"/>
          <w:lang w:val="es-ES" w:eastAsia="ja-JP"/>
        </w:rPr>
        <w:t>fecto mencionado en el Artículo </w:t>
      </w:r>
      <w:r w:rsidR="00B07DB1" w:rsidRPr="00B07DB1">
        <w:rPr>
          <w:rFonts w:eastAsia="Times New Roman"/>
          <w:szCs w:val="22"/>
          <w:lang w:val="es-ES" w:eastAsia="ja-JP"/>
        </w:rPr>
        <w:t>14.2)a) del Acta d</w:t>
      </w:r>
      <w:r w:rsidR="00FF029C" w:rsidRPr="00FF029C">
        <w:rPr>
          <w:rFonts w:eastAsia="Times New Roman"/>
          <w:szCs w:val="22"/>
          <w:lang w:val="es-ES" w:eastAsia="ja-JP"/>
        </w:rPr>
        <w:t>e 1</w:t>
      </w:r>
      <w:r w:rsidR="00B07DB1" w:rsidRPr="00B07DB1">
        <w:rPr>
          <w:rFonts w:eastAsia="Times New Roman"/>
          <w:szCs w:val="22"/>
          <w:lang w:val="es-ES" w:eastAsia="ja-JP"/>
        </w:rPr>
        <w:t>999 a más tardar</w:t>
      </w:r>
      <w:r>
        <w:rPr>
          <w:rFonts w:eastAsia="Times New Roman"/>
          <w:szCs w:val="22"/>
          <w:lang w:val="es-ES" w:eastAsia="ja-JP"/>
        </w:rPr>
        <w:t xml:space="preserve"> </w:t>
      </w:r>
      <w:r w:rsidR="005434CA" w:rsidRPr="00B07DB1">
        <w:rPr>
          <w:rFonts w:eastAsia="Times New Roman"/>
          <w:szCs w:val="22"/>
          <w:lang w:val="es-ES" w:eastAsia="ja-JP"/>
        </w:rPr>
        <w:t>i)</w:t>
      </w:r>
      <w:r w:rsidR="008D2834" w:rsidRPr="00B07DB1">
        <w:rPr>
          <w:rFonts w:eastAsia="Times New Roman"/>
          <w:szCs w:val="22"/>
          <w:lang w:val="es-ES" w:eastAsia="ja-JP"/>
        </w:rPr>
        <w:t> </w:t>
      </w:r>
      <w:r w:rsidR="00B07DB1">
        <w:rPr>
          <w:rFonts w:eastAsia="Times New Roman"/>
          <w:szCs w:val="22"/>
          <w:lang w:val="es-ES" w:eastAsia="ja-JP"/>
        </w:rPr>
        <w:t xml:space="preserve">en la fecha especificada en la declaración, que podrá ser posterior a la fecha </w:t>
      </w:r>
      <w:r w:rsidR="00B07DB1">
        <w:rPr>
          <w:rFonts w:eastAsia="Times New Roman"/>
          <w:szCs w:val="22"/>
          <w:lang w:val="es-ES" w:eastAsia="ja-JP"/>
        </w:rPr>
        <w:lastRenderedPageBreak/>
        <w:t>mencionada en ese Artículo pero no más de seis meses contados a partir de esa fecha</w:t>
      </w:r>
      <w:r w:rsidR="005434CA" w:rsidRPr="00B07DB1">
        <w:rPr>
          <w:rFonts w:eastAsia="Times New Roman"/>
          <w:szCs w:val="22"/>
          <w:lang w:val="es-ES" w:eastAsia="ja-JP"/>
        </w:rPr>
        <w:t>”</w:t>
      </w:r>
      <w:r w:rsidR="00DE4A66" w:rsidRPr="003D3234">
        <w:rPr>
          <w:rStyle w:val="FootnoteReference"/>
          <w:rFonts w:eastAsia="Times New Roman"/>
          <w:szCs w:val="22"/>
          <w:lang w:eastAsia="ja-JP"/>
        </w:rPr>
        <w:footnoteReference w:id="2"/>
      </w:r>
      <w:r w:rsidR="00672752" w:rsidRPr="00B07DB1">
        <w:rPr>
          <w:rFonts w:eastAsia="Times New Roman"/>
          <w:szCs w:val="22"/>
          <w:lang w:val="es-ES" w:eastAsia="ja-JP"/>
        </w:rPr>
        <w:t xml:space="preserve">. </w:t>
      </w:r>
      <w:r w:rsidR="00DE4A66" w:rsidRPr="00B07DB1">
        <w:rPr>
          <w:rFonts w:eastAsia="Times New Roman"/>
          <w:szCs w:val="22"/>
          <w:lang w:val="es-ES" w:eastAsia="ja-JP"/>
        </w:rPr>
        <w:t xml:space="preserve"> </w:t>
      </w:r>
      <w:r>
        <w:rPr>
          <w:rFonts w:eastAsia="Times New Roman"/>
          <w:szCs w:val="22"/>
          <w:lang w:val="es-ES" w:eastAsia="ja-JP"/>
        </w:rPr>
        <w:t>Cuando se aplica</w:t>
      </w:r>
      <w:r w:rsidR="00B07DB1" w:rsidRPr="00B07DB1">
        <w:rPr>
          <w:rFonts w:eastAsia="Times New Roman"/>
          <w:szCs w:val="22"/>
          <w:lang w:val="es-ES" w:eastAsia="ja-JP"/>
        </w:rPr>
        <w:t xml:space="preserve"> la Regl</w:t>
      </w:r>
      <w:r w:rsidR="00FF029C" w:rsidRPr="00FF029C">
        <w:rPr>
          <w:rFonts w:eastAsia="Times New Roman"/>
          <w:szCs w:val="22"/>
          <w:lang w:val="es-ES" w:eastAsia="ja-JP"/>
        </w:rPr>
        <w:t>a 1</w:t>
      </w:r>
      <w:r w:rsidR="00B07DB1" w:rsidRPr="00B07DB1">
        <w:rPr>
          <w:rFonts w:eastAsia="Times New Roman"/>
          <w:szCs w:val="22"/>
          <w:lang w:val="es-ES" w:eastAsia="ja-JP"/>
        </w:rPr>
        <w:t>8</w:t>
      </w:r>
      <w:r>
        <w:rPr>
          <w:rFonts w:eastAsia="Times New Roman"/>
          <w:szCs w:val="22"/>
          <w:lang w:val="es-ES" w:eastAsia="ja-JP"/>
        </w:rPr>
        <w:t>.1)c)i)</w:t>
      </w:r>
      <w:r w:rsidR="00B07DB1" w:rsidRPr="00B07DB1">
        <w:rPr>
          <w:rFonts w:eastAsia="Times New Roman"/>
          <w:szCs w:val="22"/>
          <w:lang w:val="es-ES" w:eastAsia="ja-JP"/>
        </w:rPr>
        <w:t>, la Oficina no ha encontrado motivos de denegaci</w:t>
      </w:r>
      <w:r w:rsidR="00B07DB1">
        <w:rPr>
          <w:rFonts w:eastAsia="Times New Roman"/>
          <w:szCs w:val="22"/>
          <w:lang w:val="es-ES" w:eastAsia="ja-JP"/>
        </w:rPr>
        <w:t>ón y, en consecuencia, no ha emitido ninguna notificación de denegación.</w:t>
      </w:r>
    </w:p>
    <w:p w:rsidR="003D4FA2" w:rsidRDefault="00A31EA2" w:rsidP="00341389">
      <w:pPr>
        <w:pStyle w:val="ONUME"/>
        <w:rPr>
          <w:szCs w:val="22"/>
          <w:lang w:val="es-ES"/>
        </w:rPr>
      </w:pPr>
      <w:r>
        <w:rPr>
          <w:rFonts w:eastAsia="Times New Roman"/>
          <w:color w:val="000000"/>
          <w:szCs w:val="22"/>
          <w:lang w:val="es-ES_tradnl" w:eastAsia="ja-JP"/>
        </w:rPr>
        <w:t>Asimismo, de acuerdo</w:t>
      </w:r>
      <w:r w:rsidR="009775E6">
        <w:rPr>
          <w:rFonts w:eastAsia="Times New Roman"/>
          <w:color w:val="000000"/>
          <w:szCs w:val="22"/>
          <w:lang w:val="es-ES_tradnl" w:eastAsia="ja-JP"/>
        </w:rPr>
        <w:t xml:space="preserve"> con</w:t>
      </w:r>
      <w:r w:rsidR="00375D29">
        <w:rPr>
          <w:rFonts w:eastAsia="Times New Roman"/>
          <w:color w:val="000000"/>
          <w:szCs w:val="22"/>
          <w:lang w:val="es-ES_tradnl" w:eastAsia="ja-JP"/>
        </w:rPr>
        <w:t xml:space="preserve"> la Regl</w:t>
      </w:r>
      <w:r w:rsidR="00FF029C" w:rsidRPr="00FF029C">
        <w:rPr>
          <w:rFonts w:eastAsia="Times New Roman"/>
          <w:color w:val="000000"/>
          <w:szCs w:val="22"/>
          <w:lang w:val="es-ES_tradnl" w:eastAsia="ja-JP"/>
        </w:rPr>
        <w:t>a 1</w:t>
      </w:r>
      <w:r w:rsidR="00375D29">
        <w:rPr>
          <w:rFonts w:eastAsia="Times New Roman"/>
          <w:color w:val="000000"/>
          <w:szCs w:val="22"/>
          <w:lang w:val="es-ES_tradnl" w:eastAsia="ja-JP"/>
        </w:rPr>
        <w:t>8</w:t>
      </w:r>
      <w:r>
        <w:rPr>
          <w:rFonts w:eastAsia="Times New Roman"/>
          <w:color w:val="000000"/>
          <w:szCs w:val="22"/>
          <w:lang w:val="es-ES_tradnl" w:eastAsia="ja-JP"/>
        </w:rPr>
        <w:t>.1)c</w:t>
      </w:r>
      <w:proofErr w:type="gramStart"/>
      <w:r>
        <w:rPr>
          <w:rFonts w:eastAsia="Times New Roman"/>
          <w:color w:val="000000"/>
          <w:szCs w:val="22"/>
          <w:lang w:val="es-ES_tradnl" w:eastAsia="ja-JP"/>
        </w:rPr>
        <w:t>)ii</w:t>
      </w:r>
      <w:proofErr w:type="gramEnd"/>
      <w:r>
        <w:rPr>
          <w:rFonts w:eastAsia="Times New Roman"/>
          <w:color w:val="000000"/>
          <w:szCs w:val="22"/>
          <w:lang w:val="es-ES_tradnl" w:eastAsia="ja-JP"/>
        </w:rPr>
        <w:t>)</w:t>
      </w:r>
      <w:r w:rsidR="00375D29">
        <w:rPr>
          <w:rFonts w:eastAsia="Times New Roman"/>
          <w:color w:val="000000"/>
          <w:szCs w:val="22"/>
          <w:lang w:val="es-ES_tradnl" w:eastAsia="ja-JP"/>
        </w:rPr>
        <w:t>, cuando por razones involuntarias</w:t>
      </w:r>
      <w:r w:rsidR="00A145CC" w:rsidRPr="00A145CC">
        <w:rPr>
          <w:rFonts w:eastAsia="Times New Roman"/>
          <w:color w:val="000000"/>
          <w:szCs w:val="22"/>
          <w:lang w:val="es-ES_tradnl" w:eastAsia="ja-JP"/>
        </w:rPr>
        <w:t xml:space="preserve"> no se haya comunicado una decisión relativa a la concesión de la protección dentro del plazo aplicable para comunicar una denegación, la Oficina de la Parte Contratante en cuestión lo notificará en consecuencia a la Oficina Internacional y se esforzará por comunicar esa decisión al titular del registro internacional en cuestión lo antes posible.</w:t>
      </w:r>
      <w:r w:rsidR="00C55594" w:rsidRPr="003D4FA2">
        <w:rPr>
          <w:rFonts w:eastAsia="Times New Roman"/>
          <w:szCs w:val="22"/>
          <w:lang w:val="es-ES" w:eastAsia="ja-JP"/>
        </w:rPr>
        <w:t xml:space="preserve">  </w:t>
      </w:r>
      <w:r w:rsidR="00341389" w:rsidRPr="00341389">
        <w:rPr>
          <w:rFonts w:eastAsia="Times New Roman"/>
          <w:color w:val="000000"/>
          <w:szCs w:val="22"/>
          <w:lang w:val="es-ES_tradnl" w:eastAsia="ja-JP"/>
        </w:rPr>
        <w:t>Cuando sea</w:t>
      </w:r>
      <w:r>
        <w:rPr>
          <w:rFonts w:eastAsia="Times New Roman"/>
          <w:color w:val="000000"/>
          <w:szCs w:val="22"/>
          <w:lang w:val="es-ES_tradnl" w:eastAsia="ja-JP"/>
        </w:rPr>
        <w:t xml:space="preserve"> aplicable </w:t>
      </w:r>
      <w:r w:rsidR="00341389" w:rsidRPr="00341389">
        <w:rPr>
          <w:rFonts w:eastAsia="Times New Roman"/>
          <w:color w:val="000000"/>
          <w:szCs w:val="22"/>
          <w:lang w:val="es-ES_tradnl" w:eastAsia="ja-JP"/>
        </w:rPr>
        <w:t>la Regl</w:t>
      </w:r>
      <w:r w:rsidR="00FF029C" w:rsidRPr="00FF029C">
        <w:rPr>
          <w:rFonts w:eastAsia="Times New Roman"/>
          <w:color w:val="000000"/>
          <w:szCs w:val="22"/>
          <w:lang w:val="es-ES_tradnl" w:eastAsia="ja-JP"/>
        </w:rPr>
        <w:t>a 1</w:t>
      </w:r>
      <w:r w:rsidR="00341389" w:rsidRPr="00341389">
        <w:rPr>
          <w:rFonts w:eastAsia="Times New Roman"/>
          <w:color w:val="000000"/>
          <w:szCs w:val="22"/>
          <w:lang w:val="es-ES_tradnl" w:eastAsia="ja-JP"/>
        </w:rPr>
        <w:t>8</w:t>
      </w:r>
      <w:r>
        <w:rPr>
          <w:rFonts w:eastAsia="Times New Roman"/>
          <w:color w:val="000000"/>
          <w:szCs w:val="22"/>
          <w:lang w:val="es-ES_tradnl" w:eastAsia="ja-JP"/>
        </w:rPr>
        <w:t>.1)c</w:t>
      </w:r>
      <w:proofErr w:type="gramStart"/>
      <w:r>
        <w:rPr>
          <w:rFonts w:eastAsia="Times New Roman"/>
          <w:color w:val="000000"/>
          <w:szCs w:val="22"/>
          <w:lang w:val="es-ES_tradnl" w:eastAsia="ja-JP"/>
        </w:rPr>
        <w:t>)</w:t>
      </w:r>
      <w:r w:rsidR="005A6B84">
        <w:rPr>
          <w:rFonts w:eastAsia="Times New Roman"/>
          <w:color w:val="000000"/>
          <w:szCs w:val="22"/>
          <w:lang w:val="es-ES_tradnl" w:eastAsia="ja-JP"/>
        </w:rPr>
        <w:t>ii</w:t>
      </w:r>
      <w:proofErr w:type="gramEnd"/>
      <w:r w:rsidR="005A6B84">
        <w:rPr>
          <w:rFonts w:eastAsia="Times New Roman"/>
          <w:color w:val="000000"/>
          <w:szCs w:val="22"/>
          <w:lang w:val="es-ES_tradnl" w:eastAsia="ja-JP"/>
        </w:rPr>
        <w:t>)</w:t>
      </w:r>
      <w:r w:rsidR="00341389" w:rsidRPr="00341389">
        <w:rPr>
          <w:rFonts w:eastAsia="Times New Roman"/>
          <w:color w:val="000000"/>
          <w:szCs w:val="22"/>
          <w:lang w:val="es-ES_tradnl" w:eastAsia="ja-JP"/>
        </w:rPr>
        <w:t xml:space="preserve">, los nuevos </w:t>
      </w:r>
      <w:r>
        <w:rPr>
          <w:rFonts w:eastAsia="Times New Roman"/>
          <w:color w:val="000000"/>
          <w:szCs w:val="22"/>
          <w:lang w:val="es-ES_tradnl" w:eastAsia="ja-JP"/>
        </w:rPr>
        <w:t xml:space="preserve">apartados d) y e) </w:t>
      </w:r>
      <w:r w:rsidR="00341389" w:rsidRPr="00341389">
        <w:rPr>
          <w:rFonts w:eastAsia="Times New Roman"/>
          <w:color w:val="000000"/>
          <w:szCs w:val="22"/>
          <w:lang w:val="es-ES_tradnl" w:eastAsia="ja-JP"/>
        </w:rPr>
        <w:t>de la Regl</w:t>
      </w:r>
      <w:r w:rsidR="00FF029C" w:rsidRPr="00FF029C">
        <w:rPr>
          <w:rFonts w:eastAsia="Times New Roman"/>
          <w:color w:val="000000"/>
          <w:szCs w:val="22"/>
          <w:lang w:val="es-ES_tradnl" w:eastAsia="ja-JP"/>
        </w:rPr>
        <w:t>a 1</w:t>
      </w:r>
      <w:r w:rsidR="00341389" w:rsidRPr="00341389">
        <w:rPr>
          <w:rFonts w:eastAsia="Times New Roman"/>
          <w:color w:val="000000"/>
          <w:szCs w:val="22"/>
          <w:lang w:val="es-ES_tradnl" w:eastAsia="ja-JP"/>
        </w:rPr>
        <w:t>8</w:t>
      </w:r>
      <w:r w:rsidR="00341389" w:rsidRPr="00341389">
        <w:rPr>
          <w:rFonts w:eastAsia="Times New Roman"/>
          <w:i/>
          <w:color w:val="000000"/>
          <w:szCs w:val="22"/>
          <w:lang w:val="es-ES_tradnl" w:eastAsia="ja-JP"/>
        </w:rPr>
        <w:t>bis</w:t>
      </w:r>
      <w:r w:rsidRPr="00A31EA2">
        <w:rPr>
          <w:rFonts w:eastAsia="Times New Roman"/>
          <w:color w:val="000000"/>
          <w:szCs w:val="22"/>
          <w:lang w:val="es-ES_tradnl" w:eastAsia="ja-JP"/>
        </w:rPr>
        <w:t>.1)</w:t>
      </w:r>
      <w:r w:rsidR="00341389" w:rsidRPr="00341389">
        <w:rPr>
          <w:rFonts w:eastAsia="Times New Roman"/>
          <w:color w:val="000000"/>
          <w:szCs w:val="22"/>
          <w:lang w:val="es-ES_tradnl" w:eastAsia="ja-JP"/>
        </w:rPr>
        <w:t xml:space="preserve"> disponen que la comunicación </w:t>
      </w:r>
      <w:r w:rsidR="00D15CE0">
        <w:rPr>
          <w:rFonts w:eastAsia="Times New Roman"/>
          <w:color w:val="000000"/>
          <w:szCs w:val="22"/>
          <w:lang w:val="es-ES_tradnl" w:eastAsia="ja-JP"/>
        </w:rPr>
        <w:t xml:space="preserve">a la Oficina Internacional </w:t>
      </w:r>
      <w:r w:rsidR="00341389" w:rsidRPr="00341389">
        <w:rPr>
          <w:rFonts w:eastAsia="Times New Roman"/>
          <w:color w:val="000000"/>
          <w:szCs w:val="22"/>
          <w:lang w:val="es-ES_tradnl" w:eastAsia="ja-JP"/>
        </w:rPr>
        <w:t xml:space="preserve">de una declaración de concesión de </w:t>
      </w:r>
      <w:r>
        <w:rPr>
          <w:rFonts w:eastAsia="Times New Roman"/>
          <w:color w:val="000000"/>
          <w:szCs w:val="22"/>
          <w:lang w:val="es-ES_tradnl" w:eastAsia="ja-JP"/>
        </w:rPr>
        <w:t xml:space="preserve">la </w:t>
      </w:r>
      <w:r w:rsidR="00341389" w:rsidRPr="00341389">
        <w:rPr>
          <w:rFonts w:eastAsia="Times New Roman"/>
          <w:color w:val="000000"/>
          <w:szCs w:val="22"/>
          <w:lang w:val="es-ES_tradnl" w:eastAsia="ja-JP"/>
        </w:rPr>
        <w:t xml:space="preserve">protección resultará obligatoria y que deberá indicarse la fecha en que surta efecto como concesión de </w:t>
      </w:r>
      <w:r w:rsidR="00663334">
        <w:rPr>
          <w:rFonts w:eastAsia="Times New Roman"/>
          <w:color w:val="000000"/>
          <w:szCs w:val="22"/>
          <w:lang w:val="es-ES_tradnl" w:eastAsia="ja-JP"/>
        </w:rPr>
        <w:t xml:space="preserve">la </w:t>
      </w:r>
      <w:r w:rsidR="00341389" w:rsidRPr="00341389">
        <w:rPr>
          <w:rFonts w:eastAsia="Times New Roman"/>
          <w:color w:val="000000"/>
          <w:szCs w:val="22"/>
          <w:lang w:val="es-ES_tradnl" w:eastAsia="ja-JP"/>
        </w:rPr>
        <w:t>protección en virtud de la legislación aplicable.</w:t>
      </w:r>
    </w:p>
    <w:p w:rsidR="003D4FA2" w:rsidRDefault="00B77C39" w:rsidP="00341389">
      <w:pPr>
        <w:pStyle w:val="ONUME"/>
        <w:rPr>
          <w:lang w:val="es-ES"/>
        </w:rPr>
      </w:pPr>
      <w:r>
        <w:rPr>
          <w:color w:val="000000"/>
          <w:lang w:val="es-ES_tradnl"/>
        </w:rPr>
        <w:t>El segundo cas</w:t>
      </w:r>
      <w:r w:rsidR="00341389" w:rsidRPr="00341389">
        <w:rPr>
          <w:color w:val="000000"/>
          <w:lang w:val="es-ES_tradnl"/>
        </w:rPr>
        <w:t>o tiene en cuenta la posibilidad de que el titular efectúe modificaciones en un dibujo o modelo industrial ante las oficinas de ciertas Partes Contratantes.</w:t>
      </w:r>
      <w:r w:rsidR="00EA4E5E" w:rsidRPr="003D4FA2">
        <w:rPr>
          <w:lang w:val="es-ES"/>
        </w:rPr>
        <w:t xml:space="preserve">  </w:t>
      </w:r>
      <w:r w:rsidR="00341389" w:rsidRPr="00341389">
        <w:rPr>
          <w:color w:val="000000"/>
          <w:lang w:val="es-ES_tradnl"/>
        </w:rPr>
        <w:t>Así pues, cuando se conceda la protección a un dibujo o</w:t>
      </w:r>
      <w:r w:rsidR="00C2029D">
        <w:rPr>
          <w:color w:val="000000"/>
          <w:lang w:val="es-ES_tradnl"/>
        </w:rPr>
        <w:t xml:space="preserve"> modelo industrial como consecuencia de</w:t>
      </w:r>
      <w:r w:rsidR="00341389" w:rsidRPr="00341389">
        <w:rPr>
          <w:color w:val="000000"/>
          <w:lang w:val="es-ES_tradnl"/>
        </w:rPr>
        <w:t xml:space="preserve"> las modificaciones que resulten de un procedimiento iniciado por el</w:t>
      </w:r>
      <w:r w:rsidR="00375D29">
        <w:rPr>
          <w:color w:val="000000"/>
          <w:lang w:val="es-ES_tradnl"/>
        </w:rPr>
        <w:t xml:space="preserve"> titular sin que exista </w:t>
      </w:r>
      <w:r w:rsidR="00341389" w:rsidRPr="00341389">
        <w:rPr>
          <w:color w:val="000000"/>
          <w:lang w:val="es-ES_tradnl"/>
        </w:rPr>
        <w:t xml:space="preserve">denegación previa </w:t>
      </w:r>
      <w:r w:rsidR="00EE4514">
        <w:rPr>
          <w:color w:val="000000"/>
          <w:lang w:val="es-ES_tradnl"/>
        </w:rPr>
        <w:t>emitida por</w:t>
      </w:r>
      <w:r w:rsidR="00341389" w:rsidRPr="00341389">
        <w:rPr>
          <w:color w:val="000000"/>
          <w:lang w:val="es-ES_tradnl"/>
        </w:rPr>
        <w:t xml:space="preserve"> la Oficina en cuestión, el nuevo a</w:t>
      </w:r>
      <w:r>
        <w:rPr>
          <w:color w:val="000000"/>
          <w:lang w:val="es-ES_tradnl"/>
        </w:rPr>
        <w:t>partado d) incluido en</w:t>
      </w:r>
      <w:r w:rsidR="00341389" w:rsidRPr="00341389">
        <w:rPr>
          <w:color w:val="000000"/>
          <w:lang w:val="es-ES_tradnl"/>
        </w:rPr>
        <w:t xml:space="preserve"> la Regl</w:t>
      </w:r>
      <w:r w:rsidR="00FF029C" w:rsidRPr="00FF029C">
        <w:rPr>
          <w:color w:val="000000"/>
          <w:lang w:val="es-ES_tradnl"/>
        </w:rPr>
        <w:t>a 1</w:t>
      </w:r>
      <w:r w:rsidR="00341389" w:rsidRPr="00341389">
        <w:rPr>
          <w:color w:val="000000"/>
          <w:lang w:val="es-ES_tradnl"/>
        </w:rPr>
        <w:t>8</w:t>
      </w:r>
      <w:r w:rsidR="00341389" w:rsidRPr="00341389">
        <w:rPr>
          <w:i/>
          <w:color w:val="000000"/>
          <w:lang w:val="es-ES_tradnl"/>
        </w:rPr>
        <w:t>bis</w:t>
      </w:r>
      <w:r>
        <w:rPr>
          <w:color w:val="000000"/>
          <w:lang w:val="es-ES_tradnl"/>
        </w:rPr>
        <w:t>.</w:t>
      </w:r>
      <w:r w:rsidRPr="00B77C39">
        <w:rPr>
          <w:color w:val="000000"/>
          <w:lang w:val="es-ES_tradnl"/>
        </w:rPr>
        <w:t>1)</w:t>
      </w:r>
      <w:r w:rsidR="009A352D">
        <w:rPr>
          <w:color w:val="000000"/>
          <w:lang w:val="es-ES_tradnl"/>
        </w:rPr>
        <w:t xml:space="preserve"> obliga a comunicar la</w:t>
      </w:r>
      <w:r w:rsidR="00341389" w:rsidRPr="00341389">
        <w:rPr>
          <w:color w:val="000000"/>
          <w:lang w:val="es-ES_tradnl"/>
        </w:rPr>
        <w:t xml:space="preserve"> declaración de concesión de la protección.</w:t>
      </w:r>
    </w:p>
    <w:p w:rsidR="003D4FA2" w:rsidRDefault="00593005" w:rsidP="00341389">
      <w:pPr>
        <w:pStyle w:val="Heading1"/>
        <w:spacing w:before="480"/>
        <w:rPr>
          <w:lang w:val="es-ES"/>
        </w:rPr>
      </w:pPr>
      <w:r>
        <w:rPr>
          <w:color w:val="000000"/>
          <w:lang w:val="es-ES_tradnl"/>
        </w:rPr>
        <w:t xml:space="preserve">DECLARACIÓN </w:t>
      </w:r>
      <w:r w:rsidR="00CF4E2A">
        <w:rPr>
          <w:color w:val="000000"/>
          <w:lang w:val="es-ES_tradnl"/>
        </w:rPr>
        <w:t xml:space="preserve">PARCIAL </w:t>
      </w:r>
      <w:r w:rsidR="00341389" w:rsidRPr="00591DFD">
        <w:rPr>
          <w:color w:val="000000"/>
          <w:lang w:val="es-ES_tradnl"/>
        </w:rPr>
        <w:t>DE CONCESIÓN DE LA PROTECCIÓN</w:t>
      </w:r>
    </w:p>
    <w:p w:rsidR="003D4FA2" w:rsidRDefault="003D4FA2" w:rsidP="00D10F82">
      <w:pPr>
        <w:rPr>
          <w:lang w:val="es-ES"/>
        </w:rPr>
      </w:pPr>
    </w:p>
    <w:p w:rsidR="003D4FA2" w:rsidRPr="00AE25E5" w:rsidRDefault="00E7271E" w:rsidP="00F12764">
      <w:pPr>
        <w:pStyle w:val="ONUME"/>
        <w:rPr>
          <w:lang w:val="es-ES"/>
        </w:rPr>
      </w:pPr>
      <w:r w:rsidRPr="00AE25E5">
        <w:rPr>
          <w:lang w:val="es-ES"/>
        </w:rPr>
        <w:t xml:space="preserve">Puede ocurrir que </w:t>
      </w:r>
      <w:r w:rsidR="00AE25E5" w:rsidRPr="00AE25E5">
        <w:rPr>
          <w:lang w:val="es-ES"/>
        </w:rPr>
        <w:t xml:space="preserve">el examen ante </w:t>
      </w:r>
      <w:r w:rsidR="00B77C39">
        <w:rPr>
          <w:lang w:val="es-ES"/>
        </w:rPr>
        <w:t>una Oficina de algunos dibujos o</w:t>
      </w:r>
      <w:r w:rsidR="00AE25E5" w:rsidRPr="00AE25E5">
        <w:rPr>
          <w:lang w:val="es-ES"/>
        </w:rPr>
        <w:t xml:space="preserve"> modelos incluidos en un mismo reg</w:t>
      </w:r>
      <w:r w:rsidR="00AE25E5">
        <w:rPr>
          <w:lang w:val="es-ES"/>
        </w:rPr>
        <w:t>istro internacional resulte</w:t>
      </w:r>
      <w:r w:rsidR="00AE25E5" w:rsidRPr="00AE25E5">
        <w:rPr>
          <w:lang w:val="es-ES"/>
        </w:rPr>
        <w:t xml:space="preserve"> relativamente rápido, mientras </w:t>
      </w:r>
      <w:r w:rsidR="00B77C39">
        <w:rPr>
          <w:lang w:val="es-ES"/>
        </w:rPr>
        <w:t>que el examen de otros dibujos o</w:t>
      </w:r>
      <w:r w:rsidR="00AE25E5" w:rsidRPr="00AE25E5">
        <w:rPr>
          <w:lang w:val="es-ES"/>
        </w:rPr>
        <w:t xml:space="preserve"> modelos podr</w:t>
      </w:r>
      <w:r w:rsidR="00AE25E5">
        <w:rPr>
          <w:lang w:val="es-ES"/>
        </w:rPr>
        <w:t xml:space="preserve">ía demorarse más. </w:t>
      </w:r>
      <w:r w:rsidRPr="00AE25E5">
        <w:rPr>
          <w:lang w:val="es-ES"/>
        </w:rPr>
        <w:t xml:space="preserve"> </w:t>
      </w:r>
      <w:r w:rsidR="0014538F" w:rsidRPr="0014538F">
        <w:rPr>
          <w:lang w:val="es-ES"/>
        </w:rPr>
        <w:t xml:space="preserve">Dado que la emisión lo antes posible de la declaración de concesión de </w:t>
      </w:r>
      <w:r w:rsidR="00663334">
        <w:rPr>
          <w:lang w:val="es-ES"/>
        </w:rPr>
        <w:t xml:space="preserve">la </w:t>
      </w:r>
      <w:r w:rsidR="0014538F" w:rsidRPr="0014538F">
        <w:rPr>
          <w:lang w:val="es-ES"/>
        </w:rPr>
        <w:t>protección beneficia t</w:t>
      </w:r>
      <w:r w:rsidR="00B77C39">
        <w:rPr>
          <w:lang w:val="es-ES"/>
        </w:rPr>
        <w:t xml:space="preserve">anto al titular </w:t>
      </w:r>
      <w:r w:rsidR="0014538F" w:rsidRPr="0014538F">
        <w:rPr>
          <w:lang w:val="es-ES"/>
        </w:rPr>
        <w:t>com</w:t>
      </w:r>
      <w:r w:rsidR="00B77C39">
        <w:rPr>
          <w:lang w:val="es-ES"/>
        </w:rPr>
        <w:t xml:space="preserve">o a terceras partes, </w:t>
      </w:r>
      <w:r w:rsidR="0014538F" w:rsidRPr="0014538F">
        <w:rPr>
          <w:lang w:val="es-ES"/>
        </w:rPr>
        <w:t>la Regl</w:t>
      </w:r>
      <w:r w:rsidR="00FF029C" w:rsidRPr="00FF029C">
        <w:rPr>
          <w:lang w:val="es-ES"/>
        </w:rPr>
        <w:t>a 1</w:t>
      </w:r>
      <w:r w:rsidR="0014538F" w:rsidRPr="0014538F">
        <w:rPr>
          <w:lang w:val="es-ES"/>
        </w:rPr>
        <w:t>8</w:t>
      </w:r>
      <w:r w:rsidR="0014538F" w:rsidRPr="0014538F">
        <w:rPr>
          <w:i/>
          <w:lang w:val="es-ES"/>
        </w:rPr>
        <w:t>bis</w:t>
      </w:r>
      <w:r w:rsidR="006B6079" w:rsidRPr="006B6079">
        <w:rPr>
          <w:lang w:val="es-ES"/>
        </w:rPr>
        <w:t>.1)</w:t>
      </w:r>
      <w:r w:rsidR="00B77C50">
        <w:rPr>
          <w:lang w:val="es-ES"/>
        </w:rPr>
        <w:t>a)</w:t>
      </w:r>
      <w:r w:rsidR="00B77C39">
        <w:rPr>
          <w:lang w:val="es-ES"/>
        </w:rPr>
        <w:t xml:space="preserve"> modificada </w:t>
      </w:r>
      <w:r w:rsidR="0014538F" w:rsidRPr="0014538F">
        <w:rPr>
          <w:lang w:val="es-ES"/>
        </w:rPr>
        <w:t xml:space="preserve">establece </w:t>
      </w:r>
      <w:r w:rsidR="00B77C39">
        <w:rPr>
          <w:lang w:val="es-ES"/>
        </w:rPr>
        <w:t xml:space="preserve">ahora </w:t>
      </w:r>
      <w:r w:rsidR="0014538F" w:rsidRPr="0014538F">
        <w:rPr>
          <w:lang w:val="es-ES"/>
        </w:rPr>
        <w:t xml:space="preserve">que la Oficina podrá enviar una declaración de concesión de </w:t>
      </w:r>
      <w:r w:rsidR="00663334">
        <w:rPr>
          <w:lang w:val="es-ES"/>
        </w:rPr>
        <w:t xml:space="preserve">la </w:t>
      </w:r>
      <w:r w:rsidR="00B77C39">
        <w:rPr>
          <w:lang w:val="es-ES"/>
        </w:rPr>
        <w:t>protección relativa</w:t>
      </w:r>
      <w:r w:rsidR="0014538F" w:rsidRPr="0014538F">
        <w:rPr>
          <w:lang w:val="es-ES"/>
        </w:rPr>
        <w:t xml:space="preserve"> única</w:t>
      </w:r>
      <w:r w:rsidR="00B77C39">
        <w:rPr>
          <w:lang w:val="es-ES"/>
        </w:rPr>
        <w:t>mente a algunos de los dibujos o</w:t>
      </w:r>
      <w:r w:rsidR="0014538F" w:rsidRPr="0014538F">
        <w:rPr>
          <w:lang w:val="es-ES"/>
        </w:rPr>
        <w:t xml:space="preserve"> modelos industrial</w:t>
      </w:r>
      <w:r w:rsidR="0014538F">
        <w:rPr>
          <w:lang w:val="es-ES"/>
        </w:rPr>
        <w:t>e</w:t>
      </w:r>
      <w:r w:rsidR="0014538F" w:rsidRPr="0014538F">
        <w:rPr>
          <w:lang w:val="es-ES"/>
        </w:rPr>
        <w:t>s que son objeto del registro internaciona</w:t>
      </w:r>
      <w:r w:rsidR="00B77C39">
        <w:rPr>
          <w:lang w:val="es-ES"/>
        </w:rPr>
        <w:t>l, aun cuando</w:t>
      </w:r>
      <w:r w:rsidR="0014538F" w:rsidRPr="0014538F">
        <w:rPr>
          <w:lang w:val="es-ES"/>
        </w:rPr>
        <w:t xml:space="preserve"> la Oficina no haya cursado previamente una notificaci</w:t>
      </w:r>
      <w:r w:rsidR="0014538F">
        <w:rPr>
          <w:lang w:val="es-ES"/>
        </w:rPr>
        <w:t xml:space="preserve">ón de denegación </w:t>
      </w:r>
      <w:r w:rsidR="00B77C39">
        <w:rPr>
          <w:lang w:val="es-ES"/>
        </w:rPr>
        <w:t>relacionada con dichos dibujos o</w:t>
      </w:r>
      <w:r w:rsidR="0014538F">
        <w:rPr>
          <w:lang w:val="es-ES"/>
        </w:rPr>
        <w:t xml:space="preserve"> modelos industriales</w:t>
      </w:r>
      <w:r w:rsidR="00F669C4" w:rsidRPr="003D3234">
        <w:rPr>
          <w:rStyle w:val="FootnoteReference"/>
        </w:rPr>
        <w:footnoteReference w:id="3"/>
      </w:r>
      <w:r w:rsidR="00B169B7" w:rsidRPr="0014538F">
        <w:rPr>
          <w:lang w:val="es-ES"/>
        </w:rPr>
        <w:t xml:space="preserve">.  </w:t>
      </w:r>
      <w:r w:rsidR="00AE25E5" w:rsidRPr="00AE25E5">
        <w:rPr>
          <w:lang w:val="es-ES"/>
        </w:rPr>
        <w:t xml:space="preserve">Según lo dispuesto en </w:t>
      </w:r>
      <w:r w:rsidR="00056892">
        <w:rPr>
          <w:lang w:val="es-ES"/>
        </w:rPr>
        <w:t xml:space="preserve">la </w:t>
      </w:r>
      <w:r w:rsidR="00056892" w:rsidRPr="00AE25E5">
        <w:rPr>
          <w:lang w:val="es-ES"/>
        </w:rPr>
        <w:t>nuev</w:t>
      </w:r>
      <w:r w:rsidR="00056892">
        <w:rPr>
          <w:lang w:val="es-ES"/>
        </w:rPr>
        <w:t>a</w:t>
      </w:r>
      <w:r w:rsidR="00056892" w:rsidRPr="00AE25E5">
        <w:rPr>
          <w:lang w:val="es-ES"/>
        </w:rPr>
        <w:t xml:space="preserve"> </w:t>
      </w:r>
      <w:r w:rsidR="00AE25E5" w:rsidRPr="00AE25E5">
        <w:rPr>
          <w:lang w:val="es-ES"/>
        </w:rPr>
        <w:t>Regl</w:t>
      </w:r>
      <w:r w:rsidR="00FF029C" w:rsidRPr="00FF029C">
        <w:rPr>
          <w:lang w:val="es-ES"/>
        </w:rPr>
        <w:t>a 1</w:t>
      </w:r>
      <w:r w:rsidR="00AE25E5" w:rsidRPr="00AE25E5">
        <w:rPr>
          <w:lang w:val="es-ES"/>
        </w:rPr>
        <w:t>8</w:t>
      </w:r>
      <w:r w:rsidR="00AE25E5" w:rsidRPr="00683F3B">
        <w:rPr>
          <w:i/>
          <w:lang w:val="es-ES"/>
        </w:rPr>
        <w:t>bis</w:t>
      </w:r>
      <w:r w:rsidR="00B77C39" w:rsidRPr="00B77C39">
        <w:rPr>
          <w:lang w:val="es-ES"/>
        </w:rPr>
        <w:t>.1)b</w:t>
      </w:r>
      <w:proofErr w:type="gramStart"/>
      <w:r w:rsidR="00B77C39" w:rsidRPr="00B77C39">
        <w:rPr>
          <w:lang w:val="es-ES"/>
        </w:rPr>
        <w:t>)</w:t>
      </w:r>
      <w:r w:rsidR="00056892">
        <w:rPr>
          <w:lang w:val="es-ES"/>
        </w:rPr>
        <w:t>iii</w:t>
      </w:r>
      <w:proofErr w:type="gramEnd"/>
      <w:r w:rsidR="00056892">
        <w:rPr>
          <w:lang w:val="es-ES"/>
        </w:rPr>
        <w:t>)</w:t>
      </w:r>
      <w:r w:rsidR="00AE25E5" w:rsidRPr="00B77C39">
        <w:rPr>
          <w:lang w:val="es-ES"/>
        </w:rPr>
        <w:t>,</w:t>
      </w:r>
      <w:r w:rsidR="00AE25E5" w:rsidRPr="00AE25E5">
        <w:rPr>
          <w:lang w:val="es-ES"/>
        </w:rPr>
        <w:t xml:space="preserve"> </w:t>
      </w:r>
      <w:r w:rsidR="00056892">
        <w:rPr>
          <w:lang w:val="es-ES"/>
        </w:rPr>
        <w:t>dichas</w:t>
      </w:r>
      <w:r w:rsidR="00AE25E5" w:rsidRPr="00AE25E5">
        <w:rPr>
          <w:lang w:val="es-ES"/>
        </w:rPr>
        <w:t xml:space="preserve"> declaraciones de concesión de </w:t>
      </w:r>
      <w:r w:rsidR="00663334">
        <w:rPr>
          <w:lang w:val="es-ES"/>
        </w:rPr>
        <w:t xml:space="preserve">la </w:t>
      </w:r>
      <w:r w:rsidR="00AE25E5" w:rsidRPr="00AE25E5">
        <w:rPr>
          <w:lang w:val="es-ES"/>
        </w:rPr>
        <w:t>protección comunicadas por la Oficina deber</w:t>
      </w:r>
      <w:r w:rsidR="00AE25E5">
        <w:rPr>
          <w:lang w:val="es-ES"/>
        </w:rPr>
        <w:t>á</w:t>
      </w:r>
      <w:r w:rsidR="00056892">
        <w:rPr>
          <w:lang w:val="es-ES"/>
        </w:rPr>
        <w:t>n</w:t>
      </w:r>
      <w:r w:rsidR="00AE25E5">
        <w:rPr>
          <w:lang w:val="es-ES"/>
        </w:rPr>
        <w:t xml:space="preserve"> indicar a qué dibujos y modelos industriales se refiere.</w:t>
      </w:r>
    </w:p>
    <w:p w:rsidR="0086093F" w:rsidRDefault="005C4FA2" w:rsidP="00F12764">
      <w:pPr>
        <w:pStyle w:val="ONUME"/>
        <w:rPr>
          <w:lang w:val="es-ES"/>
        </w:rPr>
      </w:pPr>
      <w:r w:rsidRPr="005C4FA2">
        <w:rPr>
          <w:lang w:val="es-ES"/>
        </w:rPr>
        <w:t>Tambi</w:t>
      </w:r>
      <w:r w:rsidR="0044788F">
        <w:rPr>
          <w:lang w:val="es-ES"/>
        </w:rPr>
        <w:t>én es posible</w:t>
      </w:r>
      <w:r w:rsidRPr="005C4FA2">
        <w:rPr>
          <w:lang w:val="es-ES"/>
        </w:rPr>
        <w:t xml:space="preserve"> que</w:t>
      </w:r>
      <w:r w:rsidR="0044788F">
        <w:rPr>
          <w:lang w:val="es-ES"/>
        </w:rPr>
        <w:t xml:space="preserve"> la </w:t>
      </w:r>
      <w:r w:rsidR="00B77C39">
        <w:rPr>
          <w:lang w:val="es-ES"/>
        </w:rPr>
        <w:t>fecha a partir de la cual surt</w:t>
      </w:r>
      <w:r w:rsidR="0044788F">
        <w:rPr>
          <w:lang w:val="es-ES"/>
        </w:rPr>
        <w:t>e efecto</w:t>
      </w:r>
      <w:r w:rsidRPr="005C4FA2">
        <w:rPr>
          <w:lang w:val="es-ES"/>
        </w:rPr>
        <w:t xml:space="preserve"> la concesión de </w:t>
      </w:r>
      <w:r w:rsidR="0044788F">
        <w:rPr>
          <w:lang w:val="es-ES"/>
        </w:rPr>
        <w:t xml:space="preserve">la </w:t>
      </w:r>
      <w:r w:rsidRPr="005C4FA2">
        <w:rPr>
          <w:lang w:val="es-ES"/>
        </w:rPr>
        <w:t>protecci</w:t>
      </w:r>
      <w:r w:rsidR="0044788F">
        <w:rPr>
          <w:lang w:val="es-ES"/>
        </w:rPr>
        <w:t>ón en virtud de</w:t>
      </w:r>
      <w:r w:rsidRPr="005C4FA2">
        <w:rPr>
          <w:lang w:val="es-ES"/>
        </w:rPr>
        <w:t xml:space="preserve"> la legislaci</w:t>
      </w:r>
      <w:r w:rsidR="0044788F">
        <w:rPr>
          <w:lang w:val="es-ES"/>
        </w:rPr>
        <w:t>ón vigente varíe con re</w:t>
      </w:r>
      <w:r w:rsidR="00B77C39">
        <w:rPr>
          <w:lang w:val="es-ES"/>
        </w:rPr>
        <w:t>specto a los distintos dibujos o</w:t>
      </w:r>
      <w:r w:rsidR="0044788F">
        <w:rPr>
          <w:lang w:val="es-ES"/>
        </w:rPr>
        <w:t xml:space="preserve"> modelos industriales que son objeto del registro internacional.  </w:t>
      </w:r>
      <w:r w:rsidR="0044788F" w:rsidRPr="0044788F">
        <w:rPr>
          <w:lang w:val="es-ES"/>
        </w:rPr>
        <w:t>Como se explica en el párraf</w:t>
      </w:r>
      <w:r w:rsidR="00FF029C" w:rsidRPr="00FF029C">
        <w:rPr>
          <w:lang w:val="es-ES"/>
        </w:rPr>
        <w:t>o 9</w:t>
      </w:r>
      <w:r w:rsidR="0044788F" w:rsidRPr="0044788F">
        <w:rPr>
          <w:lang w:val="es-ES"/>
        </w:rPr>
        <w:t>, es obligator</w:t>
      </w:r>
      <w:r w:rsidR="0044788F">
        <w:rPr>
          <w:lang w:val="es-ES"/>
        </w:rPr>
        <w:t xml:space="preserve">io especificar en cada declaración de concesión de </w:t>
      </w:r>
      <w:r w:rsidR="00663334">
        <w:rPr>
          <w:lang w:val="es-ES"/>
        </w:rPr>
        <w:t xml:space="preserve">la </w:t>
      </w:r>
      <w:r w:rsidR="0044788F">
        <w:rPr>
          <w:lang w:val="es-ES"/>
        </w:rPr>
        <w:t>protección la fecha de su entrada en vigor.</w:t>
      </w:r>
    </w:p>
    <w:p w:rsidR="0086093F" w:rsidRDefault="0086093F">
      <w:pPr>
        <w:rPr>
          <w:lang w:val="es-ES"/>
        </w:rPr>
      </w:pPr>
      <w:r>
        <w:rPr>
          <w:lang w:val="es-ES"/>
        </w:rPr>
        <w:br w:type="page"/>
      </w:r>
    </w:p>
    <w:p w:rsidR="003D4FA2" w:rsidRPr="00E740E3" w:rsidRDefault="003D4FA2" w:rsidP="00F12764">
      <w:pPr>
        <w:pStyle w:val="Heading1"/>
        <w:spacing w:before="480"/>
        <w:rPr>
          <w:lang w:val="es-ES"/>
        </w:rPr>
      </w:pPr>
      <w:r w:rsidRPr="00E740E3">
        <w:rPr>
          <w:lang w:val="es-ES"/>
        </w:rPr>
        <w:lastRenderedPageBreak/>
        <w:t>ENTRada en vigor</w:t>
      </w:r>
    </w:p>
    <w:p w:rsidR="003D4FA2" w:rsidRPr="00E740E3" w:rsidRDefault="003D4FA2" w:rsidP="00D10F82">
      <w:pPr>
        <w:rPr>
          <w:lang w:val="es-ES"/>
        </w:rPr>
      </w:pPr>
    </w:p>
    <w:p w:rsidR="0086093F" w:rsidRDefault="003D4FA2" w:rsidP="0086093F">
      <w:pPr>
        <w:pStyle w:val="ONUME"/>
        <w:numPr>
          <w:ilvl w:val="0"/>
          <w:numId w:val="0"/>
        </w:numPr>
        <w:rPr>
          <w:color w:val="000000"/>
          <w:lang w:val="es-ES_tradnl"/>
        </w:rPr>
      </w:pPr>
      <w:r w:rsidRPr="0086093F">
        <w:rPr>
          <w:color w:val="000000"/>
          <w:lang w:val="es-ES_tradnl"/>
        </w:rPr>
        <w:t>Todas las modificaciones mencionadas surtirán efecto e</w:t>
      </w:r>
      <w:r w:rsidR="00FF029C" w:rsidRPr="0086093F">
        <w:rPr>
          <w:color w:val="000000"/>
          <w:lang w:val="es-ES_tradnl"/>
        </w:rPr>
        <w:t>l 1</w:t>
      </w:r>
      <w:r w:rsidRPr="0086093F">
        <w:rPr>
          <w:color w:val="000000"/>
          <w:lang w:val="es-ES_tradnl"/>
        </w:rPr>
        <w:t xml:space="preserve"> de enero d</w:t>
      </w:r>
      <w:r w:rsidR="00FF029C" w:rsidRPr="0086093F">
        <w:rPr>
          <w:color w:val="000000"/>
          <w:lang w:val="es-ES_tradnl"/>
        </w:rPr>
        <w:t>e 2</w:t>
      </w:r>
      <w:r w:rsidRPr="0086093F">
        <w:rPr>
          <w:color w:val="000000"/>
          <w:lang w:val="es-ES_tradnl"/>
        </w:rPr>
        <w:t xml:space="preserve">015, fecha en que la Oficina Internacional estará lista para procesar declaraciones de concesión de </w:t>
      </w:r>
      <w:r w:rsidR="00663334" w:rsidRPr="0086093F">
        <w:rPr>
          <w:color w:val="000000"/>
          <w:lang w:val="es-ES_tradnl"/>
        </w:rPr>
        <w:t xml:space="preserve">la </w:t>
      </w:r>
      <w:r w:rsidRPr="0086093F">
        <w:rPr>
          <w:color w:val="000000"/>
          <w:lang w:val="es-ES_tradnl"/>
        </w:rPr>
        <w:t>protección y notificaciones de retirada de la denegación presentadas de conformidad con las modificaciones de las Regla</w:t>
      </w:r>
      <w:r w:rsidR="00FF029C" w:rsidRPr="0086093F">
        <w:rPr>
          <w:color w:val="000000"/>
          <w:lang w:val="es-ES_tradnl"/>
        </w:rPr>
        <w:t>s 1</w:t>
      </w:r>
      <w:r w:rsidR="008A7C04" w:rsidRPr="0086093F">
        <w:rPr>
          <w:color w:val="000000"/>
          <w:lang w:val="es-ES_tradnl"/>
        </w:rPr>
        <w:t>8.</w:t>
      </w:r>
      <w:r w:rsidR="00FF029C" w:rsidRPr="0086093F">
        <w:rPr>
          <w:color w:val="000000"/>
          <w:lang w:val="es-ES_tradnl"/>
        </w:rPr>
        <w:t>4</w:t>
      </w:r>
      <w:r w:rsidR="008A7C04" w:rsidRPr="0086093F">
        <w:rPr>
          <w:color w:val="000000"/>
          <w:lang w:val="es-ES_tradnl"/>
        </w:rPr>
        <w:t>)</w:t>
      </w:r>
      <w:r w:rsidRPr="0086093F">
        <w:rPr>
          <w:color w:val="000000"/>
          <w:lang w:val="es-ES_tradnl"/>
        </w:rPr>
        <w:t xml:space="preserve"> </w:t>
      </w:r>
      <w:r w:rsidR="00FF029C" w:rsidRPr="0086093F">
        <w:rPr>
          <w:color w:val="000000"/>
          <w:lang w:val="es-ES_tradnl"/>
        </w:rPr>
        <w:t>y 1</w:t>
      </w:r>
      <w:r w:rsidRPr="0086093F">
        <w:rPr>
          <w:color w:val="000000"/>
          <w:lang w:val="es-ES_tradnl"/>
        </w:rPr>
        <w:t>8</w:t>
      </w:r>
      <w:r w:rsidRPr="0086093F">
        <w:rPr>
          <w:i/>
          <w:color w:val="000000"/>
          <w:lang w:val="es-ES_tradnl"/>
        </w:rPr>
        <w:t>bis</w:t>
      </w:r>
      <w:r w:rsidR="008A7C04" w:rsidRPr="0086093F">
        <w:rPr>
          <w:color w:val="000000"/>
          <w:lang w:val="es-ES_tradnl"/>
        </w:rPr>
        <w:t>.</w:t>
      </w:r>
      <w:r w:rsidR="00FF029C" w:rsidRPr="0086093F">
        <w:rPr>
          <w:color w:val="000000"/>
          <w:lang w:val="es-ES_tradnl"/>
        </w:rPr>
        <w:t>1</w:t>
      </w:r>
      <w:r w:rsidR="008A7C04" w:rsidRPr="0086093F">
        <w:rPr>
          <w:color w:val="000000"/>
          <w:lang w:val="es-ES_tradnl"/>
        </w:rPr>
        <w:t>)</w:t>
      </w:r>
      <w:r w:rsidRPr="0086093F">
        <w:rPr>
          <w:color w:val="000000"/>
          <w:lang w:val="es-ES_tradnl"/>
        </w:rPr>
        <w:t xml:space="preserve"> </w:t>
      </w:r>
      <w:r w:rsidR="00FF029C" w:rsidRPr="0086093F">
        <w:rPr>
          <w:color w:val="000000"/>
          <w:lang w:val="es-ES_tradnl"/>
        </w:rPr>
        <w:t>y 2</w:t>
      </w:r>
      <w:r w:rsidR="008A7C04" w:rsidRPr="0086093F">
        <w:rPr>
          <w:color w:val="000000"/>
          <w:lang w:val="es-ES_tradnl"/>
        </w:rPr>
        <w:t>)</w:t>
      </w:r>
      <w:r w:rsidRPr="0086093F">
        <w:rPr>
          <w:color w:val="000000"/>
          <w:lang w:val="es-ES_tradnl"/>
        </w:rPr>
        <w:t>.</w:t>
      </w:r>
      <w:r w:rsidR="00B03421" w:rsidRPr="0086093F">
        <w:rPr>
          <w:lang w:val="es-ES"/>
        </w:rPr>
        <w:t xml:space="preserve"> </w:t>
      </w:r>
      <w:r w:rsidR="00F614C9" w:rsidRPr="0086093F">
        <w:rPr>
          <w:lang w:val="es-ES"/>
        </w:rPr>
        <w:t xml:space="preserve"> </w:t>
      </w:r>
      <w:r w:rsidRPr="0086093F">
        <w:rPr>
          <w:color w:val="000000"/>
          <w:lang w:val="es-ES_tradnl"/>
        </w:rPr>
        <w:t>Sin embargo, las Oficinas de las Partes Contratantes no están obligadas a aplicar las Reglas mencionadas a los registros internacionales publicados antes de</w:t>
      </w:r>
      <w:r w:rsidR="00FF029C" w:rsidRPr="0086093F">
        <w:rPr>
          <w:color w:val="000000"/>
          <w:lang w:val="es-ES_tradnl"/>
        </w:rPr>
        <w:t>l 1</w:t>
      </w:r>
      <w:r w:rsidRPr="0086093F">
        <w:rPr>
          <w:color w:val="000000"/>
          <w:lang w:val="es-ES_tradnl"/>
        </w:rPr>
        <w:t xml:space="preserve"> de enero d</w:t>
      </w:r>
      <w:r w:rsidR="00FF029C" w:rsidRPr="0086093F">
        <w:rPr>
          <w:color w:val="000000"/>
          <w:lang w:val="es-ES_tradnl"/>
        </w:rPr>
        <w:t>e 2</w:t>
      </w:r>
      <w:r w:rsidRPr="0086093F">
        <w:rPr>
          <w:color w:val="000000"/>
          <w:lang w:val="es-ES_tradnl"/>
        </w:rPr>
        <w:t>015.</w:t>
      </w:r>
    </w:p>
    <w:p w:rsidR="003D4FA2" w:rsidRDefault="003D4FA2" w:rsidP="00C7292C">
      <w:pPr>
        <w:pStyle w:val="Endofdocument-Annex"/>
        <w:rPr>
          <w:lang w:val="es-ES_tradnl"/>
        </w:rPr>
      </w:pPr>
    </w:p>
    <w:p w:rsidR="006304EF" w:rsidRDefault="00A471A3" w:rsidP="00C7292C">
      <w:pPr>
        <w:pStyle w:val="Endofdocument-Annex"/>
        <w:rPr>
          <w:lang w:val="es-ES_tradnl"/>
        </w:rPr>
      </w:pPr>
      <w:r>
        <w:rPr>
          <w:lang w:val="es-ES_tradnl"/>
        </w:rPr>
        <w:t>4</w:t>
      </w:r>
      <w:r w:rsidR="0086093F" w:rsidRPr="003D4FA2">
        <w:rPr>
          <w:lang w:val="es-ES_tradnl"/>
        </w:rPr>
        <w:t xml:space="preserve"> de </w:t>
      </w:r>
      <w:r w:rsidR="00445DE4">
        <w:rPr>
          <w:lang w:val="es-ES_tradnl"/>
        </w:rPr>
        <w:t>diciembre</w:t>
      </w:r>
      <w:r w:rsidR="0086093F" w:rsidRPr="003D4FA2">
        <w:rPr>
          <w:lang w:val="es-ES_tradnl"/>
        </w:rPr>
        <w:t xml:space="preserve"> d</w:t>
      </w:r>
      <w:r w:rsidR="0086093F" w:rsidRPr="00FF029C">
        <w:rPr>
          <w:lang w:val="es-ES_tradnl"/>
        </w:rPr>
        <w:t>e 2</w:t>
      </w:r>
      <w:r w:rsidR="0086093F" w:rsidRPr="003D4FA2">
        <w:rPr>
          <w:lang w:val="es-ES_tradnl"/>
        </w:rPr>
        <w:t>014</w:t>
      </w:r>
    </w:p>
    <w:p w:rsidR="006304EF" w:rsidRDefault="006304EF" w:rsidP="00C7292C">
      <w:pPr>
        <w:pStyle w:val="Endofdocument-Annex"/>
        <w:rPr>
          <w:lang w:val="es-ES_tradnl"/>
        </w:rPr>
      </w:pPr>
    </w:p>
    <w:p w:rsidR="00C7292C" w:rsidRDefault="00C7292C" w:rsidP="003D4FA2">
      <w:pPr>
        <w:pStyle w:val="ONUME"/>
        <w:numPr>
          <w:ilvl w:val="0"/>
          <w:numId w:val="0"/>
        </w:numPr>
        <w:ind w:left="5529"/>
        <w:rPr>
          <w:lang w:val="es-ES_tradnl"/>
        </w:rPr>
      </w:pPr>
    </w:p>
    <w:p w:rsidR="00C7292C" w:rsidRPr="003D4FA2" w:rsidRDefault="00C7292C" w:rsidP="003D4FA2">
      <w:pPr>
        <w:pStyle w:val="ONUME"/>
        <w:numPr>
          <w:ilvl w:val="0"/>
          <w:numId w:val="0"/>
        </w:numPr>
        <w:ind w:left="5529"/>
        <w:rPr>
          <w:lang w:val="es-ES"/>
        </w:rPr>
      </w:pPr>
    </w:p>
    <w:p w:rsidR="00C7292C" w:rsidRDefault="00C7292C" w:rsidP="002168A9">
      <w:pPr>
        <w:rPr>
          <w:lang w:val="es-ES"/>
        </w:rPr>
        <w:sectPr w:rsidR="00C7292C" w:rsidSect="00850DB1">
          <w:headerReference w:type="default" r:id="rId12"/>
          <w:pgSz w:w="11907" w:h="16840" w:code="9"/>
          <w:pgMar w:top="567" w:right="1417" w:bottom="1417" w:left="1417" w:header="709" w:footer="709" w:gutter="0"/>
          <w:pgNumType w:start="1"/>
          <w:cols w:space="720"/>
          <w:titlePg/>
          <w:docGrid w:linePitch="299"/>
        </w:sectPr>
      </w:pPr>
    </w:p>
    <w:p w:rsidR="006B6079" w:rsidRPr="005A6B84" w:rsidRDefault="006B6079" w:rsidP="006B6079">
      <w:pPr>
        <w:rPr>
          <w:lang w:val="es-ES"/>
        </w:rPr>
      </w:pPr>
    </w:p>
    <w:p w:rsidR="00E8027F" w:rsidRPr="00E8027F" w:rsidRDefault="00E8027F" w:rsidP="00E8027F">
      <w:pPr>
        <w:spacing w:line="260" w:lineRule="exact"/>
        <w:jc w:val="center"/>
        <w:outlineLvl w:val="0"/>
        <w:rPr>
          <w:b/>
          <w:lang w:val="es-ES"/>
        </w:rPr>
      </w:pPr>
      <w:r w:rsidRPr="00E8027F">
        <w:rPr>
          <w:b/>
          <w:color w:val="000000"/>
          <w:lang w:val="es-ES"/>
        </w:rPr>
        <w:t>Reglamento Común</w:t>
      </w:r>
    </w:p>
    <w:p w:rsidR="00E8027F" w:rsidRPr="00E8027F" w:rsidRDefault="00E8027F" w:rsidP="00E8027F">
      <w:pPr>
        <w:spacing w:line="260" w:lineRule="exact"/>
        <w:jc w:val="center"/>
        <w:rPr>
          <w:b/>
          <w:lang w:val="es-ES"/>
        </w:rPr>
      </w:pPr>
      <w:proofErr w:type="gramStart"/>
      <w:r w:rsidRPr="00E8027F">
        <w:rPr>
          <w:b/>
          <w:color w:val="000000"/>
          <w:lang w:val="es-ES"/>
        </w:rPr>
        <w:t>del</w:t>
      </w:r>
      <w:proofErr w:type="gramEnd"/>
      <w:r w:rsidRPr="00E8027F">
        <w:rPr>
          <w:b/>
          <w:color w:val="000000"/>
          <w:lang w:val="es-ES"/>
        </w:rPr>
        <w:t xml:space="preserve"> Acta de 1999 y el Acta de 1960</w:t>
      </w:r>
    </w:p>
    <w:p w:rsidR="00E8027F" w:rsidRPr="00E8027F" w:rsidRDefault="00E8027F" w:rsidP="00E8027F">
      <w:pPr>
        <w:spacing w:line="260" w:lineRule="exact"/>
        <w:jc w:val="center"/>
        <w:rPr>
          <w:b/>
          <w:lang w:val="es-ES"/>
        </w:rPr>
      </w:pPr>
      <w:proofErr w:type="gramStart"/>
      <w:r w:rsidRPr="00E8027F">
        <w:rPr>
          <w:b/>
          <w:color w:val="000000"/>
          <w:lang w:val="es-ES"/>
        </w:rPr>
        <w:t>del</w:t>
      </w:r>
      <w:proofErr w:type="gramEnd"/>
      <w:r w:rsidRPr="00E8027F">
        <w:rPr>
          <w:b/>
          <w:color w:val="000000"/>
          <w:lang w:val="es-ES"/>
        </w:rPr>
        <w:t xml:space="preserve"> Arreglo de La Haya</w:t>
      </w:r>
    </w:p>
    <w:p w:rsidR="00E8027F" w:rsidRPr="00E8027F" w:rsidRDefault="00E8027F" w:rsidP="00E8027F">
      <w:pPr>
        <w:spacing w:line="260" w:lineRule="exact"/>
        <w:rPr>
          <w:lang w:val="es-ES"/>
        </w:rPr>
      </w:pPr>
    </w:p>
    <w:p w:rsidR="00E8027F" w:rsidRPr="00E8027F" w:rsidRDefault="00E8027F" w:rsidP="00E8027F">
      <w:pPr>
        <w:spacing w:line="260" w:lineRule="exact"/>
        <w:jc w:val="center"/>
        <w:rPr>
          <w:lang w:val="es-ES"/>
        </w:rPr>
      </w:pPr>
      <w:r w:rsidRPr="00E8027F">
        <w:rPr>
          <w:lang w:val="es-ES"/>
        </w:rPr>
        <w:t>(</w:t>
      </w:r>
      <w:proofErr w:type="gramStart"/>
      <w:r w:rsidRPr="00E8027F">
        <w:rPr>
          <w:lang w:val="es-ES"/>
        </w:rPr>
        <w:t>texto</w:t>
      </w:r>
      <w:proofErr w:type="gramEnd"/>
      <w:r w:rsidRPr="00E8027F">
        <w:rPr>
          <w:lang w:val="es-ES"/>
        </w:rPr>
        <w:t xml:space="preserve"> en vigor el 1 de enero de 2015)</w:t>
      </w:r>
    </w:p>
    <w:p w:rsidR="00E8027F" w:rsidRPr="00E8027F" w:rsidRDefault="00E8027F" w:rsidP="00E8027F">
      <w:pPr>
        <w:spacing w:line="260" w:lineRule="exact"/>
        <w:rPr>
          <w:lang w:val="es-ES"/>
        </w:rPr>
      </w:pPr>
    </w:p>
    <w:p w:rsidR="00E8027F" w:rsidRPr="00E8027F" w:rsidRDefault="00E8027F" w:rsidP="00E8027F">
      <w:pPr>
        <w:spacing w:line="260" w:lineRule="exact"/>
        <w:rPr>
          <w:lang w:val="es-ES"/>
        </w:rPr>
      </w:pPr>
    </w:p>
    <w:p w:rsidR="00E8027F" w:rsidRPr="00E8027F" w:rsidRDefault="00E8027F" w:rsidP="00E8027F">
      <w:pPr>
        <w:jc w:val="center"/>
        <w:rPr>
          <w:i/>
          <w:lang w:val="es-ES"/>
        </w:rPr>
      </w:pPr>
      <w:r w:rsidRPr="00E8027F">
        <w:rPr>
          <w:i/>
          <w:color w:val="000000"/>
          <w:lang w:val="es-ES"/>
        </w:rPr>
        <w:t>Regla 18</w:t>
      </w:r>
    </w:p>
    <w:p w:rsidR="00E8027F" w:rsidRPr="00E8027F" w:rsidRDefault="00E8027F" w:rsidP="00E8027F">
      <w:pPr>
        <w:jc w:val="center"/>
        <w:rPr>
          <w:i/>
          <w:lang w:val="es-ES"/>
        </w:rPr>
      </w:pPr>
      <w:r w:rsidRPr="00E8027F">
        <w:rPr>
          <w:i/>
          <w:color w:val="000000"/>
          <w:lang w:val="es-ES"/>
        </w:rPr>
        <w:t>Notificación de denegaciones</w:t>
      </w:r>
    </w:p>
    <w:p w:rsidR="00E8027F" w:rsidRPr="00E8027F" w:rsidRDefault="00E8027F" w:rsidP="00E8027F">
      <w:pPr>
        <w:rPr>
          <w:lang w:val="es-ES"/>
        </w:rPr>
      </w:pPr>
    </w:p>
    <w:p w:rsidR="00445DE4" w:rsidRPr="00445DE4" w:rsidRDefault="00445DE4" w:rsidP="00445DE4">
      <w:pPr>
        <w:rPr>
          <w:lang w:val="es-ES"/>
        </w:rPr>
      </w:pPr>
      <w:r w:rsidRPr="00445DE4">
        <w:rPr>
          <w:lang w:val="es-ES"/>
        </w:rPr>
        <w:t>[…]</w:t>
      </w:r>
    </w:p>
    <w:p w:rsidR="00445DE4" w:rsidRPr="00445DE4" w:rsidRDefault="00445DE4" w:rsidP="00445DE4">
      <w:pPr>
        <w:rPr>
          <w:lang w:val="es-ES"/>
        </w:rPr>
      </w:pPr>
    </w:p>
    <w:p w:rsidR="00445DE4" w:rsidRPr="00445DE4" w:rsidRDefault="00445DE4" w:rsidP="00445DE4">
      <w:pPr>
        <w:ind w:firstLine="567"/>
        <w:rPr>
          <w:lang w:val="es-ES"/>
        </w:rPr>
      </w:pPr>
      <w:r w:rsidRPr="00445DE4">
        <w:rPr>
          <w:lang w:val="es-ES"/>
        </w:rPr>
        <w:t>4)</w:t>
      </w:r>
      <w:r w:rsidRPr="00445DE4">
        <w:rPr>
          <w:lang w:val="es-ES"/>
        </w:rPr>
        <w:tab/>
        <w:t>[</w:t>
      </w:r>
      <w:r w:rsidRPr="00445DE4">
        <w:rPr>
          <w:i/>
          <w:lang w:val="es-ES"/>
        </w:rPr>
        <w:t>Notificación de la retirada de una denegación</w:t>
      </w:r>
      <w:r w:rsidRPr="00445DE4">
        <w:rPr>
          <w:lang w:val="es-ES"/>
        </w:rPr>
        <w:t>]</w:t>
      </w:r>
      <w:r w:rsidR="00A471A3">
        <w:rPr>
          <w:lang w:val="es-ES"/>
        </w:rPr>
        <w:t>  </w:t>
      </w:r>
      <w:r w:rsidRPr="00445DE4">
        <w:rPr>
          <w:lang w:val="es-ES"/>
        </w:rPr>
        <w:t>a)</w:t>
      </w:r>
      <w:r w:rsidR="00A471A3">
        <w:rPr>
          <w:lang w:val="es-ES"/>
        </w:rPr>
        <w:t>  </w:t>
      </w:r>
      <w:r w:rsidRPr="00445DE4">
        <w:rPr>
          <w:lang w:val="es-ES"/>
        </w:rPr>
        <w:t>La notificación de toda retirada de una denegación se referirá a un solo registro internacional, irá fechada y estará firmada por la Oficina que la realice.</w:t>
      </w:r>
    </w:p>
    <w:p w:rsidR="00445DE4" w:rsidRPr="00445DE4" w:rsidRDefault="00445DE4" w:rsidP="00445DE4">
      <w:pPr>
        <w:ind w:firstLine="1134"/>
        <w:rPr>
          <w:lang w:val="es-ES"/>
        </w:rPr>
      </w:pPr>
      <w:r w:rsidRPr="00445DE4">
        <w:rPr>
          <w:lang w:val="es-ES"/>
        </w:rPr>
        <w:t>b)</w:t>
      </w:r>
      <w:r w:rsidRPr="00445DE4">
        <w:rPr>
          <w:lang w:val="es-ES"/>
        </w:rPr>
        <w:tab/>
        <w:t>En la notificación figurará o se indicará lo siguiente:</w:t>
      </w:r>
    </w:p>
    <w:p w:rsidR="00445DE4" w:rsidRPr="00445DE4" w:rsidRDefault="00445DE4" w:rsidP="00445DE4">
      <w:pPr>
        <w:ind w:firstLine="1701"/>
        <w:rPr>
          <w:lang w:val="es-ES"/>
        </w:rPr>
      </w:pPr>
      <w:r w:rsidRPr="00445DE4">
        <w:rPr>
          <w:lang w:val="es-ES"/>
        </w:rPr>
        <w:t>i)</w:t>
      </w:r>
      <w:r w:rsidRPr="00445DE4">
        <w:rPr>
          <w:lang w:val="es-ES"/>
        </w:rPr>
        <w:tab/>
        <w:t>la Oficina que realiza la notificación,</w:t>
      </w:r>
    </w:p>
    <w:p w:rsidR="00445DE4" w:rsidRPr="00445DE4" w:rsidRDefault="00445DE4" w:rsidP="00445DE4">
      <w:pPr>
        <w:ind w:firstLine="1701"/>
        <w:rPr>
          <w:lang w:val="es-ES"/>
        </w:rPr>
      </w:pPr>
      <w:r w:rsidRPr="00445DE4">
        <w:rPr>
          <w:lang w:val="es-ES"/>
        </w:rPr>
        <w:t>ii)</w:t>
      </w:r>
      <w:r w:rsidRPr="00445DE4">
        <w:rPr>
          <w:lang w:val="es-ES"/>
        </w:rPr>
        <w:tab/>
        <w:t>el número del registro internacional,</w:t>
      </w:r>
    </w:p>
    <w:p w:rsidR="00445DE4" w:rsidRPr="00445DE4" w:rsidRDefault="00445DE4" w:rsidP="00445DE4">
      <w:pPr>
        <w:ind w:firstLine="1701"/>
        <w:rPr>
          <w:i/>
          <w:iCs/>
          <w:lang w:val="es-ES"/>
        </w:rPr>
      </w:pPr>
      <w:r w:rsidRPr="00445DE4">
        <w:rPr>
          <w:lang w:val="es-ES"/>
        </w:rPr>
        <w:t>iii)</w:t>
      </w:r>
      <w:r w:rsidRPr="00445DE4">
        <w:rPr>
          <w:lang w:val="es-ES"/>
        </w:rPr>
        <w:tab/>
        <w:t>cuando la retirada no se refiera a todos los dibujos o modelos industriales contemplados en la denegación, aquellos a los que se ref</w:t>
      </w:r>
      <w:r w:rsidR="00A471A3">
        <w:rPr>
          <w:lang w:val="es-ES"/>
        </w:rPr>
        <w:t>iera o a los que no se refiere,</w:t>
      </w:r>
    </w:p>
    <w:p w:rsidR="00445DE4" w:rsidRPr="00445DE4" w:rsidRDefault="00445DE4" w:rsidP="00445DE4">
      <w:pPr>
        <w:ind w:firstLine="1701"/>
        <w:rPr>
          <w:lang w:val="es-ES"/>
        </w:rPr>
      </w:pPr>
      <w:r w:rsidRPr="00445DE4">
        <w:rPr>
          <w:lang w:val="es-ES"/>
        </w:rPr>
        <w:t>iv)</w:t>
      </w:r>
      <w:r w:rsidRPr="00445DE4">
        <w:rPr>
          <w:lang w:val="es-ES"/>
        </w:rPr>
        <w:tab/>
        <w:t>la fecha en que el registro internacional haya producido el mismo efecto que el derivado de la concesión de protección en virtud</w:t>
      </w:r>
      <w:r w:rsidR="00A471A3">
        <w:rPr>
          <w:lang w:val="es-ES"/>
        </w:rPr>
        <w:t xml:space="preserve"> de la legislación aplicable, y</w:t>
      </w:r>
    </w:p>
    <w:p w:rsidR="00445DE4" w:rsidRPr="00445DE4" w:rsidRDefault="00445DE4" w:rsidP="00445DE4">
      <w:pPr>
        <w:ind w:firstLine="1701"/>
        <w:rPr>
          <w:lang w:val="es-ES"/>
        </w:rPr>
      </w:pPr>
      <w:r w:rsidRPr="00445DE4">
        <w:rPr>
          <w:lang w:val="es-ES"/>
        </w:rPr>
        <w:t>v)</w:t>
      </w:r>
      <w:r w:rsidRPr="00445DE4">
        <w:rPr>
          <w:lang w:val="es-ES"/>
        </w:rPr>
        <w:tab/>
        <w:t>la fecha en que se haya retirado la denegación.</w:t>
      </w:r>
    </w:p>
    <w:p w:rsidR="00445DE4" w:rsidRPr="00445DE4" w:rsidRDefault="00445DE4" w:rsidP="00445DE4">
      <w:pPr>
        <w:ind w:firstLine="1134"/>
        <w:rPr>
          <w:lang w:val="es-ES"/>
        </w:rPr>
      </w:pPr>
      <w:r w:rsidRPr="00445DE4">
        <w:rPr>
          <w:lang w:val="es-ES"/>
        </w:rPr>
        <w:t>c)</w:t>
      </w:r>
      <w:r w:rsidRPr="00445DE4">
        <w:rPr>
          <w:lang w:val="es-ES"/>
        </w:rPr>
        <w:tab/>
        <w:t>Cuando el registro internacional haya sido modificado en un procedimiento ante la Oficina, en la notificación también figurarán o se indicarán todas las modificaciones.</w:t>
      </w:r>
    </w:p>
    <w:p w:rsidR="00445DE4" w:rsidRPr="00445DE4" w:rsidRDefault="00445DE4" w:rsidP="00445DE4">
      <w:pPr>
        <w:ind w:firstLine="1134"/>
        <w:rPr>
          <w:lang w:val="es-ES"/>
        </w:rPr>
      </w:pPr>
    </w:p>
    <w:p w:rsidR="00445DE4" w:rsidRPr="00E740E3" w:rsidRDefault="00445DE4" w:rsidP="00445DE4">
      <w:pPr>
        <w:ind w:firstLine="567"/>
        <w:rPr>
          <w:lang w:val="es-ES"/>
        </w:rPr>
      </w:pPr>
      <w:r w:rsidRPr="00E740E3">
        <w:rPr>
          <w:lang w:val="es-ES"/>
        </w:rPr>
        <w:t>[…]</w:t>
      </w:r>
    </w:p>
    <w:p w:rsidR="00E8027F" w:rsidRPr="00E8027F" w:rsidRDefault="00E8027F" w:rsidP="00E8027F">
      <w:pPr>
        <w:rPr>
          <w:lang w:val="es-ES"/>
        </w:rPr>
      </w:pPr>
    </w:p>
    <w:p w:rsidR="00E8027F" w:rsidRPr="00E8027F" w:rsidRDefault="00E8027F" w:rsidP="00E8027F">
      <w:pPr>
        <w:rPr>
          <w:lang w:val="es-ES"/>
        </w:rPr>
      </w:pPr>
    </w:p>
    <w:p w:rsidR="00445DE4" w:rsidRPr="00E740E3" w:rsidRDefault="00445DE4" w:rsidP="00445DE4">
      <w:pPr>
        <w:jc w:val="center"/>
        <w:rPr>
          <w:i/>
          <w:lang w:val="es-ES"/>
        </w:rPr>
      </w:pPr>
      <w:r w:rsidRPr="00E740E3">
        <w:rPr>
          <w:i/>
          <w:lang w:val="es-ES"/>
        </w:rPr>
        <w:t>Regla 18</w:t>
      </w:r>
      <w:r w:rsidRPr="00A471A3">
        <w:rPr>
          <w:i/>
          <w:lang w:val="es-ES"/>
        </w:rPr>
        <w:t>bis</w:t>
      </w:r>
    </w:p>
    <w:p w:rsidR="00445DE4" w:rsidRPr="00445DE4" w:rsidRDefault="00445DE4" w:rsidP="00445DE4">
      <w:pPr>
        <w:jc w:val="center"/>
        <w:rPr>
          <w:i/>
          <w:lang w:val="es-ES"/>
        </w:rPr>
      </w:pPr>
      <w:r w:rsidRPr="00445DE4">
        <w:rPr>
          <w:i/>
          <w:lang w:val="es-ES"/>
        </w:rPr>
        <w:t>Declaración de concesión de la protección</w:t>
      </w:r>
    </w:p>
    <w:p w:rsidR="00445DE4" w:rsidRPr="00445DE4" w:rsidRDefault="00445DE4" w:rsidP="00445DE4">
      <w:pPr>
        <w:rPr>
          <w:lang w:val="es-ES"/>
        </w:rPr>
      </w:pPr>
    </w:p>
    <w:p w:rsidR="00445DE4" w:rsidRPr="00445DE4" w:rsidRDefault="00445DE4" w:rsidP="00445DE4">
      <w:pPr>
        <w:ind w:firstLine="567"/>
        <w:rPr>
          <w:lang w:val="es-ES"/>
        </w:rPr>
      </w:pPr>
      <w:r w:rsidRPr="00445DE4">
        <w:rPr>
          <w:rStyle w:val="Emphasis"/>
          <w:szCs w:val="22"/>
          <w:lang w:val="es-ES"/>
        </w:rPr>
        <w:t>1)</w:t>
      </w:r>
      <w:r w:rsidRPr="00445DE4">
        <w:rPr>
          <w:rStyle w:val="Emphasis"/>
          <w:szCs w:val="22"/>
          <w:lang w:val="es-ES"/>
        </w:rPr>
        <w:tab/>
      </w:r>
      <w:r w:rsidRPr="00A471A3">
        <w:rPr>
          <w:rStyle w:val="Emphasis"/>
          <w:i w:val="0"/>
          <w:szCs w:val="22"/>
          <w:lang w:val="es-ES"/>
        </w:rPr>
        <w:t>[</w:t>
      </w:r>
      <w:r w:rsidRPr="00445DE4">
        <w:rPr>
          <w:rStyle w:val="Emphasis"/>
          <w:szCs w:val="22"/>
          <w:lang w:val="es-ES"/>
        </w:rPr>
        <w:t>Declaración de concesión de la protección cuando no se haya comunicado una notificación de denegación</w:t>
      </w:r>
      <w:r w:rsidRPr="00A471A3">
        <w:rPr>
          <w:rStyle w:val="Emphasis"/>
          <w:i w:val="0"/>
          <w:szCs w:val="22"/>
          <w:lang w:val="es-ES"/>
        </w:rPr>
        <w:t>]</w:t>
      </w:r>
      <w:r w:rsidRPr="00445DE4">
        <w:rPr>
          <w:lang w:val="es-ES"/>
        </w:rPr>
        <w:t>  a)  Toda Oficina que no haya comunicado una notificación de denegación podrá enviar a la Oficina Internacional, en el plazo contemplado en la Regla 18.1)a) o b), una declaración en el sentido de que se concede protección en relación con los dibujos o modelos industriales, o con algunos de los dibujos o modelos industriales, según proceda, objeto del registro internacional en la Parte Contratante de que se trate, en el entendimiento de que, si la Regla</w:t>
      </w:r>
      <w:r w:rsidR="00A471A3">
        <w:rPr>
          <w:lang w:val="es-ES"/>
        </w:rPr>
        <w:t> </w:t>
      </w:r>
      <w:r w:rsidRPr="00445DE4">
        <w:rPr>
          <w:lang w:val="es-ES"/>
        </w:rPr>
        <w:t>12.3) es aplicable, la concesión de la protección estará sujeta al pago de la segunda parte de la tas</w:t>
      </w:r>
      <w:r w:rsidR="00A471A3">
        <w:rPr>
          <w:lang w:val="es-ES"/>
        </w:rPr>
        <w:t>a de designación individual.</w:t>
      </w:r>
    </w:p>
    <w:p w:rsidR="00445DE4" w:rsidRPr="00445DE4" w:rsidRDefault="00445DE4" w:rsidP="00445DE4">
      <w:pPr>
        <w:ind w:firstLine="1134"/>
        <w:rPr>
          <w:lang w:val="es-ES"/>
        </w:rPr>
      </w:pPr>
      <w:r w:rsidRPr="00445DE4">
        <w:rPr>
          <w:lang w:val="es-ES"/>
        </w:rPr>
        <w:t>b)</w:t>
      </w:r>
      <w:r w:rsidRPr="00445DE4">
        <w:rPr>
          <w:lang w:val="es-ES"/>
        </w:rPr>
        <w:tab/>
        <w:t>En la declaración se indicarán:</w:t>
      </w:r>
    </w:p>
    <w:p w:rsidR="00445DE4" w:rsidRPr="00445DE4" w:rsidRDefault="00445DE4" w:rsidP="00445DE4">
      <w:pPr>
        <w:ind w:firstLine="1701"/>
        <w:rPr>
          <w:lang w:val="es-ES"/>
        </w:rPr>
      </w:pPr>
      <w:r w:rsidRPr="00445DE4">
        <w:rPr>
          <w:lang w:val="es-ES"/>
        </w:rPr>
        <w:t>i)</w:t>
      </w:r>
      <w:r w:rsidRPr="00445DE4">
        <w:rPr>
          <w:lang w:val="es-ES"/>
        </w:rPr>
        <w:tab/>
        <w:t>el nombre de la Oficina que haya efectuado la declaración,</w:t>
      </w:r>
    </w:p>
    <w:p w:rsidR="00445DE4" w:rsidRPr="00445DE4" w:rsidRDefault="00445DE4" w:rsidP="00445DE4">
      <w:pPr>
        <w:ind w:firstLine="1701"/>
        <w:rPr>
          <w:lang w:val="es-ES"/>
        </w:rPr>
      </w:pPr>
      <w:r w:rsidRPr="00445DE4">
        <w:rPr>
          <w:lang w:val="es-ES"/>
        </w:rPr>
        <w:t>ii)</w:t>
      </w:r>
      <w:r w:rsidRPr="00445DE4">
        <w:rPr>
          <w:lang w:val="es-ES"/>
        </w:rPr>
        <w:tab/>
        <w:t xml:space="preserve">el número del registro internacional, </w:t>
      </w:r>
    </w:p>
    <w:p w:rsidR="00445DE4" w:rsidRPr="00445DE4" w:rsidRDefault="00445DE4" w:rsidP="00445DE4">
      <w:pPr>
        <w:ind w:firstLine="1701"/>
        <w:rPr>
          <w:lang w:val="es-ES"/>
        </w:rPr>
      </w:pPr>
      <w:r w:rsidRPr="00445DE4">
        <w:rPr>
          <w:lang w:val="es-ES"/>
        </w:rPr>
        <w:t>iii)</w:t>
      </w:r>
      <w:r w:rsidRPr="00445DE4">
        <w:rPr>
          <w:lang w:val="es-ES"/>
        </w:rPr>
        <w:tab/>
        <w:t>si la declaración no guarda relación con todos los dibujos o modelos industriales que son objeto del registro internacional, aquellos con los que guarde relación,</w:t>
      </w:r>
    </w:p>
    <w:p w:rsidR="00445DE4" w:rsidRPr="00445DE4" w:rsidRDefault="00445DE4" w:rsidP="00445DE4">
      <w:pPr>
        <w:ind w:firstLine="1701"/>
        <w:rPr>
          <w:lang w:val="es-ES"/>
        </w:rPr>
      </w:pPr>
      <w:r w:rsidRPr="00445DE4">
        <w:rPr>
          <w:lang w:val="es-ES"/>
        </w:rPr>
        <w:t>iv)</w:t>
      </w:r>
      <w:r w:rsidRPr="00445DE4">
        <w:rPr>
          <w:lang w:val="es-ES"/>
        </w:rPr>
        <w:tab/>
        <w:t xml:space="preserve">la fecha en que el registro internacional haya producido o producirá el mismo efecto que el derivado de la concesión de protección en virtud de la legislación aplicable, </w:t>
      </w:r>
      <w:r w:rsidR="00A471A3">
        <w:rPr>
          <w:lang w:val="es-ES"/>
        </w:rPr>
        <w:t>y</w:t>
      </w:r>
    </w:p>
    <w:p w:rsidR="00445DE4" w:rsidRPr="00445DE4" w:rsidRDefault="00445DE4" w:rsidP="00445DE4">
      <w:pPr>
        <w:ind w:firstLine="1701"/>
        <w:rPr>
          <w:lang w:val="es-ES"/>
        </w:rPr>
      </w:pPr>
      <w:r w:rsidRPr="00445DE4">
        <w:rPr>
          <w:lang w:val="es-ES"/>
        </w:rPr>
        <w:t>v)</w:t>
      </w:r>
      <w:r w:rsidRPr="00445DE4">
        <w:rPr>
          <w:lang w:val="es-ES"/>
        </w:rPr>
        <w:tab/>
        <w:t>la fecha de la declaración.</w:t>
      </w:r>
    </w:p>
    <w:p w:rsidR="00445DE4" w:rsidRPr="00445DE4" w:rsidRDefault="00445DE4" w:rsidP="00445DE4">
      <w:pPr>
        <w:ind w:firstLine="1134"/>
        <w:rPr>
          <w:lang w:val="es-ES"/>
        </w:rPr>
      </w:pPr>
      <w:r w:rsidRPr="00445DE4">
        <w:rPr>
          <w:lang w:val="es-ES"/>
        </w:rPr>
        <w:t>c)</w:t>
      </w:r>
      <w:r w:rsidRPr="00445DE4">
        <w:rPr>
          <w:lang w:val="es-ES"/>
        </w:rPr>
        <w:tab/>
        <w:t>Cuando el registro internacional haya sido modificado en un procedimiento ante la Oficina, en la declaración también figurarán o se indicarán todas las modificaciones.</w:t>
      </w:r>
    </w:p>
    <w:p w:rsidR="00E8027F" w:rsidRPr="00E8027F" w:rsidRDefault="00E8027F" w:rsidP="00E8027F">
      <w:pPr>
        <w:ind w:firstLine="1134"/>
        <w:rPr>
          <w:lang w:val="es-ES"/>
        </w:rPr>
      </w:pPr>
    </w:p>
    <w:p w:rsidR="00FD5F61" w:rsidRPr="00FD5F61" w:rsidRDefault="00FD5F61" w:rsidP="00FD5F61">
      <w:pPr>
        <w:ind w:firstLine="1134"/>
        <w:rPr>
          <w:lang w:val="es-ES"/>
        </w:rPr>
      </w:pPr>
      <w:r w:rsidRPr="00FD5F61">
        <w:rPr>
          <w:lang w:val="es-ES"/>
        </w:rPr>
        <w:lastRenderedPageBreak/>
        <w:t>d)</w:t>
      </w:r>
      <w:r w:rsidRPr="00FD5F61">
        <w:rPr>
          <w:lang w:val="es-ES"/>
        </w:rPr>
        <w:tab/>
        <w:t>No obstante lo dispuesto en el apartado</w:t>
      </w:r>
      <w:r w:rsidR="00A471A3">
        <w:rPr>
          <w:lang w:val="es-ES"/>
        </w:rPr>
        <w:t> </w:t>
      </w:r>
      <w:r w:rsidRPr="00FD5F61">
        <w:rPr>
          <w:lang w:val="es-ES"/>
        </w:rPr>
        <w:t>a), cuando sean aplicables los incisos</w:t>
      </w:r>
      <w:r w:rsidR="00A471A3">
        <w:rPr>
          <w:lang w:val="es-ES"/>
        </w:rPr>
        <w:t> </w:t>
      </w:r>
      <w:r w:rsidRPr="00FD5F61">
        <w:rPr>
          <w:lang w:val="es-ES"/>
        </w:rPr>
        <w:t>i) o</w:t>
      </w:r>
      <w:r w:rsidR="00A471A3">
        <w:rPr>
          <w:lang w:val="es-ES"/>
        </w:rPr>
        <w:t> </w:t>
      </w:r>
      <w:r w:rsidRPr="00FD5F61">
        <w:rPr>
          <w:lang w:val="es-ES"/>
        </w:rPr>
        <w:t>ii) de la Regla</w:t>
      </w:r>
      <w:r w:rsidR="00A471A3">
        <w:rPr>
          <w:lang w:val="es-ES"/>
        </w:rPr>
        <w:t> </w:t>
      </w:r>
      <w:r w:rsidRPr="00FD5F61">
        <w:rPr>
          <w:lang w:val="es-ES"/>
        </w:rPr>
        <w:t>18.1)c), según proceda, o cuando la protección haya sido concedida a los dibujos o modelos industriales a raíz de las modificaciones introducidas mediante un procedimiento completado ante la Oficina, dicha Oficina deberá enviar a la Oficina Internacional la declaración que se menciona en el apartado</w:t>
      </w:r>
      <w:r w:rsidR="00A471A3">
        <w:rPr>
          <w:lang w:val="es-ES"/>
        </w:rPr>
        <w:t> </w:t>
      </w:r>
      <w:r w:rsidRPr="00FD5F61">
        <w:rPr>
          <w:lang w:val="es-ES"/>
        </w:rPr>
        <w:t>a).</w:t>
      </w:r>
    </w:p>
    <w:p w:rsidR="00FD5F61" w:rsidRPr="00FD5F61" w:rsidRDefault="00FD5F61" w:rsidP="00FD5F61">
      <w:pPr>
        <w:ind w:firstLine="1134"/>
        <w:rPr>
          <w:lang w:val="es-ES"/>
        </w:rPr>
      </w:pPr>
      <w:r w:rsidRPr="00FD5F61">
        <w:rPr>
          <w:lang w:val="es-ES"/>
        </w:rPr>
        <w:t>e)</w:t>
      </w:r>
      <w:r w:rsidRPr="00FD5F61">
        <w:rPr>
          <w:lang w:val="es-ES"/>
        </w:rPr>
        <w:tab/>
        <w:t>El plazo aplicable que se menciona en el apartado a) será el plazo permitido en virtud de los incisos</w:t>
      </w:r>
      <w:r w:rsidR="00A471A3">
        <w:rPr>
          <w:lang w:val="es-ES"/>
        </w:rPr>
        <w:t> </w:t>
      </w:r>
      <w:r w:rsidRPr="00FD5F61">
        <w:rPr>
          <w:lang w:val="es-ES"/>
        </w:rPr>
        <w:t>i) o</w:t>
      </w:r>
      <w:r w:rsidR="00A471A3">
        <w:rPr>
          <w:lang w:val="es-ES"/>
        </w:rPr>
        <w:t> </w:t>
      </w:r>
      <w:r w:rsidRPr="00FD5F61">
        <w:rPr>
          <w:lang w:val="es-ES"/>
        </w:rPr>
        <w:t>ii) de la Regla</w:t>
      </w:r>
      <w:r w:rsidR="00A471A3">
        <w:rPr>
          <w:lang w:val="es-ES"/>
        </w:rPr>
        <w:t> </w:t>
      </w:r>
      <w:r w:rsidRPr="00FD5F61">
        <w:rPr>
          <w:lang w:val="es-ES"/>
        </w:rPr>
        <w:t>18.1)c), según proceda, para producir el mismo efecto que el derivado de la concesión de protección en virtud de la legislación aplicable con respecto a la designación de una Parte Contratante que haya formulado una declaración en virtud de cualquiera de las Reglas mencionadas.</w:t>
      </w:r>
    </w:p>
    <w:p w:rsidR="00FD5F61" w:rsidRPr="00FD5F61" w:rsidRDefault="00FD5F61" w:rsidP="00FD5F61">
      <w:pPr>
        <w:rPr>
          <w:lang w:val="es-ES"/>
        </w:rPr>
      </w:pPr>
    </w:p>
    <w:p w:rsidR="00FD5F61" w:rsidRPr="00FD5F61" w:rsidRDefault="00FD5F61" w:rsidP="00FD5F61">
      <w:pPr>
        <w:ind w:firstLine="567"/>
        <w:rPr>
          <w:lang w:val="es-ES"/>
        </w:rPr>
      </w:pPr>
      <w:r w:rsidRPr="00FD5F61">
        <w:rPr>
          <w:lang w:val="es-ES"/>
        </w:rPr>
        <w:t>2)</w:t>
      </w:r>
      <w:r w:rsidRPr="00FD5F61">
        <w:rPr>
          <w:lang w:val="es-ES"/>
        </w:rPr>
        <w:tab/>
        <w:t>[</w:t>
      </w:r>
      <w:r w:rsidRPr="00FD5F61">
        <w:rPr>
          <w:i/>
          <w:lang w:val="es-ES"/>
        </w:rPr>
        <w:t>Declaración de concesión de la protección tras una denegación</w:t>
      </w:r>
      <w:r w:rsidRPr="00FD5F61">
        <w:rPr>
          <w:lang w:val="es-ES"/>
        </w:rPr>
        <w:t>]  </w:t>
      </w:r>
      <w:r w:rsidRPr="00FD5F61">
        <w:rPr>
          <w:rFonts w:eastAsia="MS Mincho"/>
          <w:lang w:val="es-ES"/>
        </w:rPr>
        <w:t>a)  </w:t>
      </w:r>
      <w:r w:rsidRPr="00FD5F61">
        <w:rPr>
          <w:lang w:val="es-ES"/>
        </w:rPr>
        <w:t>Toda Oficina que haya comunicado una notificación de denegación y que haya decidido retirar parcial o totalmente dicha denegación podrá, en lugar de notificar el retiro de la denegación conforme a la Regla</w:t>
      </w:r>
      <w:r w:rsidR="00A471A3">
        <w:rPr>
          <w:lang w:val="es-ES"/>
        </w:rPr>
        <w:t> </w:t>
      </w:r>
      <w:r w:rsidRPr="00FD5F61">
        <w:rPr>
          <w:lang w:val="es-ES"/>
        </w:rPr>
        <w:t>18.4)a), enviar a la Oficina Internacional una declaración en el sentido de que se concede protección a los dibujos o modelos industriales o a algunos de los dibujos o modelos industriales, según proceda, que sean objeto del registro internacional en la Parte Contratante interesada, en el entendimiento de que, si la Regla</w:t>
      </w:r>
      <w:r w:rsidR="00A471A3">
        <w:rPr>
          <w:lang w:val="es-ES"/>
        </w:rPr>
        <w:t> </w:t>
      </w:r>
      <w:r w:rsidRPr="00FD5F61">
        <w:rPr>
          <w:lang w:val="es-ES"/>
        </w:rPr>
        <w:t>12.3) es aplicable, la concesión de la protección estará sujeta al pago de la segunda parte de la tasa de designación individual.</w:t>
      </w:r>
    </w:p>
    <w:p w:rsidR="00FD5F61" w:rsidRPr="00FD5F61" w:rsidRDefault="00FD5F61" w:rsidP="00FD5F61">
      <w:pPr>
        <w:ind w:firstLine="1134"/>
        <w:rPr>
          <w:lang w:val="es-ES"/>
        </w:rPr>
      </w:pPr>
      <w:r w:rsidRPr="00FD5F61">
        <w:rPr>
          <w:lang w:val="es-ES"/>
        </w:rPr>
        <w:t>b)</w:t>
      </w:r>
      <w:r w:rsidRPr="00FD5F61">
        <w:rPr>
          <w:lang w:val="es-ES"/>
        </w:rPr>
        <w:tab/>
        <w:t>En la declaración se indicarán:</w:t>
      </w:r>
    </w:p>
    <w:p w:rsidR="00FD5F61" w:rsidRPr="00FD5F61" w:rsidRDefault="00FD5F61" w:rsidP="00FD5F61">
      <w:pPr>
        <w:ind w:firstLine="1701"/>
        <w:rPr>
          <w:lang w:val="es-ES"/>
        </w:rPr>
      </w:pPr>
      <w:r w:rsidRPr="00FD5F61">
        <w:rPr>
          <w:lang w:val="es-ES"/>
        </w:rPr>
        <w:t>i)</w:t>
      </w:r>
      <w:bookmarkStart w:id="0" w:name="_GoBack"/>
      <w:bookmarkEnd w:id="0"/>
      <w:r w:rsidRPr="00FD5F61">
        <w:rPr>
          <w:lang w:val="es-ES"/>
        </w:rPr>
        <w:tab/>
        <w:t>el nombre de la Oficina que realiza la notificación,</w:t>
      </w:r>
    </w:p>
    <w:p w:rsidR="00FD5F61" w:rsidRPr="00FD5F61" w:rsidRDefault="00FD5F61" w:rsidP="00FD5F61">
      <w:pPr>
        <w:ind w:firstLine="1701"/>
        <w:rPr>
          <w:lang w:val="es-ES"/>
        </w:rPr>
      </w:pPr>
      <w:r w:rsidRPr="00FD5F61">
        <w:rPr>
          <w:lang w:val="es-ES"/>
        </w:rPr>
        <w:t>ii)</w:t>
      </w:r>
      <w:r w:rsidRPr="00FD5F61">
        <w:rPr>
          <w:lang w:val="es-ES"/>
        </w:rPr>
        <w:tab/>
        <w:t>el número del registro internacional,</w:t>
      </w:r>
    </w:p>
    <w:p w:rsidR="00FD5F61" w:rsidRPr="00FD5F61" w:rsidRDefault="00FD5F61" w:rsidP="00FD5F61">
      <w:pPr>
        <w:ind w:firstLine="1701"/>
        <w:rPr>
          <w:lang w:val="es-ES"/>
        </w:rPr>
      </w:pPr>
      <w:r w:rsidRPr="00FD5F61">
        <w:rPr>
          <w:lang w:val="es-ES"/>
        </w:rPr>
        <w:t>iii)</w:t>
      </w:r>
      <w:r w:rsidRPr="00FD5F61">
        <w:rPr>
          <w:lang w:val="es-ES"/>
        </w:rPr>
        <w:tab/>
        <w:t xml:space="preserve">si la declaración no guarda relación con todos los dibujos o modelos industriales que son objeto del registro internacional, aquellos con los que guarde o </w:t>
      </w:r>
      <w:r w:rsidR="00A471A3">
        <w:rPr>
          <w:lang w:val="es-ES"/>
        </w:rPr>
        <w:t>no guarde relación,</w:t>
      </w:r>
    </w:p>
    <w:p w:rsidR="00FD5F61" w:rsidRPr="00FD5F61" w:rsidRDefault="00FD5F61" w:rsidP="00FD5F61">
      <w:pPr>
        <w:ind w:firstLine="1701"/>
        <w:rPr>
          <w:lang w:val="es-ES"/>
        </w:rPr>
      </w:pPr>
      <w:r w:rsidRPr="00FD5F61">
        <w:rPr>
          <w:lang w:val="es-ES"/>
        </w:rPr>
        <w:t>iv)</w:t>
      </w:r>
      <w:r w:rsidRPr="00FD5F61">
        <w:rPr>
          <w:lang w:val="es-ES"/>
        </w:rPr>
        <w:tab/>
        <w:t>la fecha en que el registro internacional haya producido el mismo efecto que la concesión de protección en virtud</w:t>
      </w:r>
      <w:r w:rsidR="00A471A3">
        <w:rPr>
          <w:lang w:val="es-ES"/>
        </w:rPr>
        <w:t xml:space="preserve"> de la legislación aplicable, y</w:t>
      </w:r>
    </w:p>
    <w:p w:rsidR="00FD5F61" w:rsidRPr="00FD5F61" w:rsidRDefault="00FD5F61" w:rsidP="00FD5F61">
      <w:pPr>
        <w:ind w:firstLine="1701"/>
        <w:rPr>
          <w:lang w:val="es-ES"/>
        </w:rPr>
      </w:pPr>
      <w:r w:rsidRPr="00FD5F61">
        <w:rPr>
          <w:lang w:val="es-ES"/>
        </w:rPr>
        <w:t>v)</w:t>
      </w:r>
      <w:r w:rsidRPr="00FD5F61">
        <w:rPr>
          <w:lang w:val="es-ES"/>
        </w:rPr>
        <w:tab/>
        <w:t>la fecha de la declaración.</w:t>
      </w:r>
    </w:p>
    <w:p w:rsidR="00FD5F61" w:rsidRPr="00FD5F61" w:rsidRDefault="00FD5F61" w:rsidP="00FD5F61">
      <w:pPr>
        <w:ind w:firstLine="1134"/>
        <w:rPr>
          <w:rFonts w:eastAsia="Times New Roman"/>
          <w:lang w:val="es-ES"/>
        </w:rPr>
      </w:pPr>
      <w:r w:rsidRPr="00FD5F61">
        <w:rPr>
          <w:rFonts w:eastAsia="Times New Roman"/>
          <w:lang w:val="es-ES"/>
        </w:rPr>
        <w:t>c)</w:t>
      </w:r>
      <w:r w:rsidRPr="00FD5F61">
        <w:rPr>
          <w:rFonts w:eastAsia="Times New Roman"/>
          <w:lang w:val="es-ES"/>
        </w:rPr>
        <w:tab/>
        <w:t>Cuando el registro internacional haya sido modificado en un procedimiento ante la Oficina, en la notificación también figurarán o se indicarán todas las modificaciones.</w:t>
      </w:r>
    </w:p>
    <w:p w:rsidR="00FD5F61" w:rsidRPr="00FD5F61" w:rsidRDefault="00FD5F61" w:rsidP="00FD5F61">
      <w:pPr>
        <w:rPr>
          <w:lang w:val="es-ES"/>
        </w:rPr>
      </w:pPr>
    </w:p>
    <w:p w:rsidR="00FD5F61" w:rsidRPr="00FD5F61" w:rsidRDefault="00FD5F61" w:rsidP="00FD5F61">
      <w:pPr>
        <w:ind w:firstLine="567"/>
        <w:rPr>
          <w:lang w:val="es-ES"/>
        </w:rPr>
      </w:pPr>
      <w:r w:rsidRPr="00FD5F61">
        <w:rPr>
          <w:lang w:val="es-ES"/>
        </w:rPr>
        <w:t>[…]</w:t>
      </w:r>
    </w:p>
    <w:p w:rsidR="00FD5F61" w:rsidRPr="00FD5F61" w:rsidRDefault="00FD5F61" w:rsidP="00FD5F61">
      <w:pPr>
        <w:rPr>
          <w:lang w:val="es-ES"/>
        </w:rPr>
      </w:pPr>
    </w:p>
    <w:p w:rsidR="00FD5F61" w:rsidRPr="00FD5F61" w:rsidRDefault="00FD5F61" w:rsidP="00FD5F61">
      <w:pPr>
        <w:rPr>
          <w:lang w:val="es-ES"/>
        </w:rPr>
      </w:pPr>
    </w:p>
    <w:p w:rsidR="00FD5F61" w:rsidRPr="00FD5F61" w:rsidRDefault="00FD5F61" w:rsidP="00FD5F61">
      <w:pPr>
        <w:spacing w:line="260" w:lineRule="exact"/>
        <w:rPr>
          <w:lang w:val="es-ES"/>
        </w:rPr>
      </w:pPr>
      <w:r w:rsidRPr="00FD5F61">
        <w:rPr>
          <w:lang w:val="es-ES"/>
        </w:rPr>
        <w:t>[...]</w:t>
      </w:r>
    </w:p>
    <w:p w:rsidR="00E8027F" w:rsidRPr="00E8027F" w:rsidRDefault="00E8027F" w:rsidP="00E8027F">
      <w:pPr>
        <w:spacing w:line="260" w:lineRule="exact"/>
        <w:rPr>
          <w:lang w:val="es-ES"/>
        </w:rPr>
      </w:pPr>
    </w:p>
    <w:p w:rsidR="00E8027F" w:rsidRPr="00E8027F" w:rsidRDefault="00E8027F" w:rsidP="00E8027F">
      <w:pPr>
        <w:spacing w:line="260" w:lineRule="exact"/>
        <w:rPr>
          <w:lang w:val="es-ES"/>
        </w:rPr>
      </w:pPr>
    </w:p>
    <w:p w:rsidR="00FD5F61" w:rsidRPr="00FD5F61" w:rsidRDefault="00FD5F61" w:rsidP="00FD5F61">
      <w:pPr>
        <w:spacing w:line="260" w:lineRule="exact"/>
        <w:jc w:val="center"/>
        <w:rPr>
          <w:lang w:val="es-ES"/>
        </w:rPr>
      </w:pPr>
      <w:r w:rsidRPr="00FD5F61">
        <w:rPr>
          <w:lang w:val="es-ES"/>
        </w:rPr>
        <w:t>TABLA DE TASAS</w:t>
      </w:r>
    </w:p>
    <w:p w:rsidR="00FD5F61" w:rsidRPr="00FD5F61" w:rsidRDefault="00FD5F61" w:rsidP="00FD5F61">
      <w:pPr>
        <w:spacing w:line="260" w:lineRule="exact"/>
        <w:jc w:val="center"/>
        <w:rPr>
          <w:lang w:val="es-ES"/>
        </w:rPr>
      </w:pPr>
    </w:p>
    <w:p w:rsidR="00FD5F61" w:rsidRPr="00FD5F61" w:rsidRDefault="00FD5F61" w:rsidP="00FD5F61">
      <w:pPr>
        <w:spacing w:line="260" w:lineRule="exact"/>
        <w:jc w:val="center"/>
        <w:rPr>
          <w:lang w:val="es-ES"/>
        </w:rPr>
      </w:pPr>
      <w:r w:rsidRPr="00FD5F61">
        <w:rPr>
          <w:lang w:val="es-ES"/>
        </w:rPr>
        <w:t>(</w:t>
      </w:r>
      <w:proofErr w:type="gramStart"/>
      <w:r w:rsidRPr="00FD5F61">
        <w:rPr>
          <w:lang w:val="es-ES"/>
        </w:rPr>
        <w:t>texto</w:t>
      </w:r>
      <w:proofErr w:type="gramEnd"/>
      <w:r w:rsidRPr="00FD5F61">
        <w:rPr>
          <w:lang w:val="es-ES"/>
        </w:rPr>
        <w:t xml:space="preserve"> en vigor el 1 de enero de 2015)</w:t>
      </w:r>
    </w:p>
    <w:p w:rsidR="00FD5F61" w:rsidRPr="00FD5F61" w:rsidRDefault="00FD5F61" w:rsidP="00FD5F61">
      <w:pPr>
        <w:rPr>
          <w:lang w:val="es-ES"/>
        </w:rPr>
      </w:pPr>
    </w:p>
    <w:p w:rsidR="00FD5F61" w:rsidRPr="00FD5F61" w:rsidRDefault="00FD5F61" w:rsidP="00FD5F61">
      <w:pPr>
        <w:rPr>
          <w:lang w:val="es-ES"/>
        </w:rPr>
      </w:pPr>
    </w:p>
    <w:p w:rsidR="00FD5F61" w:rsidRPr="00FD5F61" w:rsidRDefault="00FD5F61" w:rsidP="00FD5F61">
      <w:pPr>
        <w:rPr>
          <w:lang w:val="es-ES"/>
        </w:rPr>
      </w:pPr>
      <w:r w:rsidRPr="00FD5F61">
        <w:rPr>
          <w:lang w:val="es-ES"/>
        </w:rPr>
        <w:t>[…]</w:t>
      </w:r>
    </w:p>
    <w:p w:rsidR="00FD5F61" w:rsidRPr="00FD5F61" w:rsidRDefault="00FD5F61" w:rsidP="00FD5F61">
      <w:pPr>
        <w:rPr>
          <w:lang w:val="es-ES"/>
        </w:rPr>
      </w:pPr>
    </w:p>
    <w:p w:rsidR="00FD5F61" w:rsidRPr="00FD5F61" w:rsidRDefault="00FD5F61" w:rsidP="00FD5F61">
      <w:pPr>
        <w:rPr>
          <w:lang w:val="es-ES"/>
        </w:rPr>
      </w:pPr>
      <w:r w:rsidRPr="00FD5F61">
        <w:rPr>
          <w:lang w:val="es-ES"/>
        </w:rPr>
        <w:t>VII.</w:t>
      </w:r>
      <w:r w:rsidRPr="00FD5F61">
        <w:rPr>
          <w:lang w:val="es-ES"/>
        </w:rPr>
        <w:tab/>
      </w:r>
      <w:r w:rsidRPr="00FD5F61">
        <w:rPr>
          <w:i/>
          <w:lang w:val="es-ES"/>
        </w:rPr>
        <w:t>Servicios prestados por la Oficina Internacional</w:t>
      </w:r>
    </w:p>
    <w:p w:rsidR="00FD5F61" w:rsidRPr="00FD5F61" w:rsidRDefault="00FD5F61" w:rsidP="00FD5F61">
      <w:pPr>
        <w:rPr>
          <w:lang w:val="es-ES"/>
        </w:rPr>
      </w:pPr>
    </w:p>
    <w:p w:rsidR="00FD5F61" w:rsidRPr="00FD5F61" w:rsidRDefault="00FD5F61" w:rsidP="00FD5F61">
      <w:pPr>
        <w:ind w:left="567" w:hanging="567"/>
        <w:rPr>
          <w:lang w:val="es-ES"/>
        </w:rPr>
      </w:pPr>
      <w:r w:rsidRPr="00FD5F61">
        <w:rPr>
          <w:lang w:val="es-ES"/>
        </w:rPr>
        <w:t>24.</w:t>
      </w:r>
      <w:r w:rsidRPr="00FD5F61">
        <w:rPr>
          <w:lang w:val="es-ES"/>
        </w:rPr>
        <w:tab/>
        <w:t>La Oficina Internacional estará autorizada a cobrar una tasa, cuya cuantía fijará ella misma, por los servicios no previstos en la presente Tabla de tasas.</w:t>
      </w:r>
    </w:p>
    <w:p w:rsidR="00E8027F" w:rsidRPr="00E8027F" w:rsidRDefault="00E8027F" w:rsidP="00E8027F">
      <w:pPr>
        <w:rPr>
          <w:lang w:val="es-ES"/>
        </w:rPr>
      </w:pPr>
    </w:p>
    <w:p w:rsidR="006B6079" w:rsidRPr="00E8027F" w:rsidRDefault="006B6079" w:rsidP="00FD5F61">
      <w:pPr>
        <w:spacing w:line="260" w:lineRule="exact"/>
        <w:outlineLvl w:val="0"/>
        <w:rPr>
          <w:b/>
          <w:lang w:val="es-ES"/>
        </w:rPr>
      </w:pPr>
    </w:p>
    <w:p w:rsidR="000F5E56" w:rsidRPr="00576D64" w:rsidRDefault="002C1209" w:rsidP="00C7292C">
      <w:pPr>
        <w:pStyle w:val="Endofdocument-Annex"/>
        <w:rPr>
          <w:lang w:val="es-ES"/>
        </w:rPr>
      </w:pPr>
      <w:r w:rsidRPr="00576D64">
        <w:rPr>
          <w:lang w:val="es-ES"/>
        </w:rPr>
        <w:t>[</w:t>
      </w:r>
      <w:r w:rsidRPr="006304EF">
        <w:rPr>
          <w:lang w:val="es-ES"/>
        </w:rPr>
        <w:t>Fin</w:t>
      </w:r>
      <w:r w:rsidRPr="00576D64">
        <w:rPr>
          <w:lang w:val="es-ES"/>
        </w:rPr>
        <w:t xml:space="preserve"> del An</w:t>
      </w:r>
      <w:r w:rsidR="00892011" w:rsidRPr="00576D64">
        <w:rPr>
          <w:lang w:val="es-ES"/>
        </w:rPr>
        <w:t>ex</w:t>
      </w:r>
      <w:r w:rsidRPr="00576D64">
        <w:rPr>
          <w:lang w:val="es-ES"/>
        </w:rPr>
        <w:t>o</w:t>
      </w:r>
      <w:r w:rsidR="00892011" w:rsidRPr="00576D64">
        <w:rPr>
          <w:lang w:val="es-ES"/>
        </w:rPr>
        <w:t>]</w:t>
      </w:r>
    </w:p>
    <w:sectPr w:rsidR="000F5E56" w:rsidRPr="00576D64" w:rsidSect="00850DB1">
      <w:headerReference w:type="default" r:id="rId13"/>
      <w:headerReference w:type="first" r:id="rId14"/>
      <w:pgSz w:w="11907" w:h="16840" w:code="9"/>
      <w:pgMar w:top="567" w:right="1417" w:bottom="1417" w:left="1417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1DD" w:rsidRDefault="003831DD" w:rsidP="002168A9">
      <w:r>
        <w:separator/>
      </w:r>
    </w:p>
  </w:endnote>
  <w:endnote w:type="continuationSeparator" w:id="0">
    <w:p w:rsidR="003831DD" w:rsidRDefault="003831DD" w:rsidP="00216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1DD" w:rsidRDefault="003831DD" w:rsidP="002168A9">
      <w:r>
        <w:separator/>
      </w:r>
    </w:p>
  </w:footnote>
  <w:footnote w:type="continuationSeparator" w:id="0">
    <w:p w:rsidR="003831DD" w:rsidRDefault="003831DD" w:rsidP="002168A9">
      <w:r>
        <w:continuationSeparator/>
      </w:r>
    </w:p>
  </w:footnote>
  <w:footnote w:id="1">
    <w:p w:rsidR="00B07DB1" w:rsidRPr="0086093F" w:rsidRDefault="00B07DB1">
      <w:pPr>
        <w:pStyle w:val="FootnoteText"/>
        <w:rPr>
          <w:szCs w:val="18"/>
          <w:lang w:val="es-ES"/>
        </w:rPr>
      </w:pPr>
      <w:r w:rsidRPr="0086093F">
        <w:rPr>
          <w:rStyle w:val="FootnoteReference"/>
          <w:szCs w:val="18"/>
        </w:rPr>
        <w:footnoteRef/>
      </w:r>
      <w:r w:rsidR="0086093F">
        <w:rPr>
          <w:szCs w:val="18"/>
          <w:lang w:val="es-ES"/>
        </w:rPr>
        <w:tab/>
      </w:r>
      <w:r w:rsidRPr="0086093F">
        <w:rPr>
          <w:szCs w:val="18"/>
          <w:lang w:val="es-ES"/>
        </w:rPr>
        <w:t xml:space="preserve">En el momento de aparición del presente Aviso, Turquía y España han emitido una declaración </w:t>
      </w:r>
      <w:r w:rsidR="00AA34DC" w:rsidRPr="0086093F">
        <w:rPr>
          <w:szCs w:val="18"/>
          <w:lang w:val="es-ES"/>
        </w:rPr>
        <w:t>de conformidad con</w:t>
      </w:r>
      <w:r w:rsidRPr="0086093F">
        <w:rPr>
          <w:szCs w:val="18"/>
          <w:lang w:val="es-ES"/>
        </w:rPr>
        <w:t xml:space="preserve"> la Regla 18</w:t>
      </w:r>
      <w:r w:rsidR="00AB3184" w:rsidRPr="0086093F">
        <w:rPr>
          <w:szCs w:val="18"/>
          <w:lang w:val="es-ES"/>
        </w:rPr>
        <w:t>.1)c)</w:t>
      </w:r>
      <w:r w:rsidR="00AA34DC" w:rsidRPr="0086093F">
        <w:rPr>
          <w:szCs w:val="18"/>
          <w:lang w:val="es-ES"/>
        </w:rPr>
        <w:t>i)</w:t>
      </w:r>
      <w:r w:rsidRPr="0086093F">
        <w:rPr>
          <w:szCs w:val="18"/>
          <w:lang w:val="es-ES"/>
        </w:rPr>
        <w:t xml:space="preserve"> del Reglamento Común, y la República de Co</w:t>
      </w:r>
      <w:r w:rsidR="005914F0" w:rsidRPr="0086093F">
        <w:rPr>
          <w:szCs w:val="18"/>
          <w:lang w:val="es-ES"/>
        </w:rPr>
        <w:t>rea ha hecho lo propio</w:t>
      </w:r>
      <w:r w:rsidR="00A31EA2" w:rsidRPr="0086093F">
        <w:rPr>
          <w:szCs w:val="18"/>
          <w:lang w:val="es-ES"/>
        </w:rPr>
        <w:t xml:space="preserve"> </w:t>
      </w:r>
      <w:r w:rsidR="00AA34DC" w:rsidRPr="0086093F">
        <w:rPr>
          <w:szCs w:val="18"/>
          <w:lang w:val="es-ES"/>
        </w:rPr>
        <w:t>de conformidad con</w:t>
      </w:r>
      <w:r w:rsidRPr="0086093F">
        <w:rPr>
          <w:szCs w:val="18"/>
          <w:lang w:val="es-ES"/>
        </w:rPr>
        <w:t xml:space="preserve"> la Regla 18</w:t>
      </w:r>
      <w:r w:rsidR="00A31EA2" w:rsidRPr="0086093F">
        <w:rPr>
          <w:szCs w:val="18"/>
          <w:lang w:val="es-ES"/>
        </w:rPr>
        <w:t>.1)c</w:t>
      </w:r>
      <w:proofErr w:type="gramStart"/>
      <w:r w:rsidR="00A31EA2" w:rsidRPr="0086093F">
        <w:rPr>
          <w:szCs w:val="18"/>
          <w:lang w:val="es-ES"/>
        </w:rPr>
        <w:t>)</w:t>
      </w:r>
      <w:r w:rsidR="00AA34DC" w:rsidRPr="0086093F">
        <w:rPr>
          <w:szCs w:val="18"/>
          <w:lang w:val="es-ES"/>
        </w:rPr>
        <w:t>ii</w:t>
      </w:r>
      <w:proofErr w:type="gramEnd"/>
      <w:r w:rsidR="00AA34DC" w:rsidRPr="0086093F">
        <w:rPr>
          <w:szCs w:val="18"/>
          <w:lang w:val="es-ES"/>
        </w:rPr>
        <w:t>)</w:t>
      </w:r>
      <w:r w:rsidRPr="0086093F">
        <w:rPr>
          <w:szCs w:val="18"/>
          <w:lang w:val="es-ES"/>
        </w:rPr>
        <w:t>.</w:t>
      </w:r>
    </w:p>
  </w:footnote>
  <w:footnote w:id="2">
    <w:p w:rsidR="00DE4A66" w:rsidRPr="0086093F" w:rsidRDefault="00DE4A66">
      <w:pPr>
        <w:pStyle w:val="FootnoteText"/>
        <w:rPr>
          <w:szCs w:val="18"/>
          <w:lang w:val="es-ES"/>
        </w:rPr>
      </w:pPr>
      <w:r w:rsidRPr="0086093F">
        <w:rPr>
          <w:rStyle w:val="FootnoteReference"/>
          <w:szCs w:val="18"/>
        </w:rPr>
        <w:footnoteRef/>
      </w:r>
      <w:r w:rsidR="003D3234" w:rsidRPr="0086093F">
        <w:rPr>
          <w:szCs w:val="18"/>
          <w:lang w:val="es-ES"/>
        </w:rPr>
        <w:tab/>
      </w:r>
      <w:r w:rsidR="006D3139" w:rsidRPr="0086093F">
        <w:rPr>
          <w:rFonts w:eastAsia="Times New Roman"/>
          <w:szCs w:val="18"/>
          <w:lang w:val="es-ES" w:eastAsia="ja-JP"/>
        </w:rPr>
        <w:t>En función de la legislaci</w:t>
      </w:r>
      <w:r w:rsidR="00960DFA" w:rsidRPr="0086093F">
        <w:rPr>
          <w:rFonts w:eastAsia="Times New Roman"/>
          <w:szCs w:val="18"/>
          <w:lang w:val="es-ES" w:eastAsia="ja-JP"/>
        </w:rPr>
        <w:t>ón nacional o regional</w:t>
      </w:r>
      <w:r w:rsidR="006D3139" w:rsidRPr="0086093F">
        <w:rPr>
          <w:rFonts w:eastAsia="Times New Roman"/>
          <w:szCs w:val="18"/>
          <w:lang w:val="es-ES" w:eastAsia="ja-JP"/>
        </w:rPr>
        <w:t xml:space="preserve"> tal fecha podría ser, por ejemplo, la</w:t>
      </w:r>
      <w:r w:rsidR="00901680" w:rsidRPr="0086093F">
        <w:rPr>
          <w:rFonts w:eastAsia="Times New Roman"/>
          <w:szCs w:val="18"/>
          <w:lang w:val="es-ES" w:eastAsia="ja-JP"/>
        </w:rPr>
        <w:t xml:space="preserve"> prevista para</w:t>
      </w:r>
      <w:r w:rsidR="006D3139" w:rsidRPr="0086093F">
        <w:rPr>
          <w:rFonts w:eastAsia="Times New Roman"/>
          <w:szCs w:val="18"/>
          <w:lang w:val="es-ES" w:eastAsia="ja-JP"/>
        </w:rPr>
        <w:t xml:space="preserve"> la</w:t>
      </w:r>
      <w:r w:rsidR="00B77C39" w:rsidRPr="0086093F">
        <w:rPr>
          <w:rFonts w:eastAsia="Times New Roman"/>
          <w:szCs w:val="18"/>
          <w:lang w:val="es-ES" w:eastAsia="ja-JP"/>
        </w:rPr>
        <w:t xml:space="preserve"> nueva</w:t>
      </w:r>
      <w:r w:rsidR="006D3139" w:rsidRPr="0086093F">
        <w:rPr>
          <w:rFonts w:eastAsia="Times New Roman"/>
          <w:szCs w:val="18"/>
          <w:lang w:val="es-ES" w:eastAsia="ja-JP"/>
        </w:rPr>
        <w:t xml:space="preserve"> </w:t>
      </w:r>
      <w:r w:rsidR="00C2029D" w:rsidRPr="0086093F">
        <w:rPr>
          <w:rFonts w:eastAsia="Times New Roman"/>
          <w:szCs w:val="18"/>
          <w:lang w:val="es-ES" w:eastAsia="ja-JP"/>
        </w:rPr>
        <w:t>publicación</w:t>
      </w:r>
      <w:r w:rsidR="00901680" w:rsidRPr="0086093F">
        <w:rPr>
          <w:rFonts w:eastAsia="Times New Roman"/>
          <w:szCs w:val="18"/>
          <w:lang w:val="es-ES" w:eastAsia="ja-JP"/>
        </w:rPr>
        <w:t xml:space="preserve"> del registro internacional en el ámbito nacional</w:t>
      </w:r>
      <w:r w:rsidRPr="0086093F">
        <w:rPr>
          <w:rFonts w:eastAsia="Times New Roman"/>
          <w:szCs w:val="18"/>
          <w:lang w:val="es-ES" w:eastAsia="ja-JP"/>
        </w:rPr>
        <w:t>.</w:t>
      </w:r>
    </w:p>
  </w:footnote>
  <w:footnote w:id="3">
    <w:p w:rsidR="00F669C4" w:rsidRPr="0086093F" w:rsidRDefault="00F669C4">
      <w:pPr>
        <w:pStyle w:val="FootnoteText"/>
        <w:rPr>
          <w:szCs w:val="18"/>
          <w:lang w:val="es-ES"/>
        </w:rPr>
      </w:pPr>
      <w:r w:rsidRPr="0086093F">
        <w:rPr>
          <w:rStyle w:val="FootnoteReference"/>
          <w:szCs w:val="18"/>
        </w:rPr>
        <w:footnoteRef/>
      </w:r>
      <w:r w:rsidR="00B63094" w:rsidRPr="0086093F">
        <w:rPr>
          <w:szCs w:val="18"/>
          <w:lang w:val="es-ES"/>
        </w:rPr>
        <w:tab/>
      </w:r>
      <w:r w:rsidR="00EF460D" w:rsidRPr="0086093F">
        <w:rPr>
          <w:szCs w:val="18"/>
          <w:lang w:val="es-ES"/>
        </w:rPr>
        <w:t xml:space="preserve">Se </w:t>
      </w:r>
      <w:r w:rsidR="00A23D88" w:rsidRPr="0086093F">
        <w:rPr>
          <w:szCs w:val="18"/>
          <w:lang w:val="es-ES"/>
        </w:rPr>
        <w:t>recuerda que tanto la notificación de retirada de la denega</w:t>
      </w:r>
      <w:r w:rsidR="006B6079" w:rsidRPr="0086093F">
        <w:rPr>
          <w:szCs w:val="18"/>
          <w:lang w:val="es-ES"/>
        </w:rPr>
        <w:t xml:space="preserve">ción </w:t>
      </w:r>
      <w:r w:rsidR="00B77C50" w:rsidRPr="0086093F">
        <w:rPr>
          <w:szCs w:val="18"/>
          <w:lang w:val="es-ES"/>
        </w:rPr>
        <w:t xml:space="preserve">de conformidad con </w:t>
      </w:r>
      <w:r w:rsidR="00A23D88" w:rsidRPr="0086093F">
        <w:rPr>
          <w:szCs w:val="18"/>
          <w:lang w:val="es-ES"/>
        </w:rPr>
        <w:t>la Regla</w:t>
      </w:r>
      <w:r w:rsidR="002D234B" w:rsidRPr="0086093F">
        <w:rPr>
          <w:szCs w:val="18"/>
          <w:lang w:val="es-ES"/>
        </w:rPr>
        <w:t> </w:t>
      </w:r>
      <w:r w:rsidR="00A23D88" w:rsidRPr="0086093F">
        <w:rPr>
          <w:szCs w:val="18"/>
          <w:lang w:val="es-ES"/>
        </w:rPr>
        <w:t>18</w:t>
      </w:r>
      <w:r w:rsidR="006B6079" w:rsidRPr="0086093F">
        <w:rPr>
          <w:szCs w:val="18"/>
          <w:lang w:val="es-ES"/>
        </w:rPr>
        <w:t>.4)</w:t>
      </w:r>
      <w:r w:rsidR="00A23D88" w:rsidRPr="0086093F">
        <w:rPr>
          <w:szCs w:val="18"/>
          <w:lang w:val="es-ES"/>
        </w:rPr>
        <w:t xml:space="preserve"> como la declaración d</w:t>
      </w:r>
      <w:r w:rsidR="00663334" w:rsidRPr="0086093F">
        <w:rPr>
          <w:szCs w:val="18"/>
          <w:lang w:val="es-ES"/>
        </w:rPr>
        <w:t>e concesión de la</w:t>
      </w:r>
      <w:r w:rsidR="00A23D88" w:rsidRPr="0086093F">
        <w:rPr>
          <w:szCs w:val="18"/>
          <w:lang w:val="es-ES"/>
        </w:rPr>
        <w:t xml:space="preserve"> protección</w:t>
      </w:r>
      <w:r w:rsidR="00B77C39" w:rsidRPr="0086093F">
        <w:rPr>
          <w:szCs w:val="18"/>
          <w:lang w:val="es-ES"/>
        </w:rPr>
        <w:t>,</w:t>
      </w:r>
      <w:r w:rsidR="00A23D88" w:rsidRPr="0086093F">
        <w:rPr>
          <w:szCs w:val="18"/>
          <w:lang w:val="es-ES"/>
        </w:rPr>
        <w:t xml:space="preserve"> según lo dispue</w:t>
      </w:r>
      <w:r w:rsidR="006B6079" w:rsidRPr="0086093F">
        <w:rPr>
          <w:szCs w:val="18"/>
          <w:lang w:val="es-ES"/>
        </w:rPr>
        <w:t>sto en</w:t>
      </w:r>
      <w:r w:rsidR="00B77C39" w:rsidRPr="0086093F">
        <w:rPr>
          <w:szCs w:val="18"/>
          <w:lang w:val="es-ES"/>
        </w:rPr>
        <w:t xml:space="preserve"> la Regla</w:t>
      </w:r>
      <w:r w:rsidR="002D234B" w:rsidRPr="0086093F">
        <w:rPr>
          <w:szCs w:val="18"/>
          <w:lang w:val="es-ES"/>
        </w:rPr>
        <w:t> </w:t>
      </w:r>
      <w:r w:rsidR="00A23D88" w:rsidRPr="0086093F">
        <w:rPr>
          <w:szCs w:val="18"/>
          <w:lang w:val="es-ES"/>
        </w:rPr>
        <w:t>18</w:t>
      </w:r>
      <w:r w:rsidR="00A23D88" w:rsidRPr="0086093F">
        <w:rPr>
          <w:i/>
          <w:szCs w:val="18"/>
          <w:lang w:val="es-ES"/>
        </w:rPr>
        <w:t>bis</w:t>
      </w:r>
      <w:r w:rsidR="006B6079" w:rsidRPr="0086093F">
        <w:rPr>
          <w:szCs w:val="18"/>
          <w:lang w:val="es-ES"/>
        </w:rPr>
        <w:t>.2)</w:t>
      </w:r>
      <w:r w:rsidR="00B77C39" w:rsidRPr="0086093F">
        <w:rPr>
          <w:szCs w:val="18"/>
          <w:lang w:val="es-ES"/>
        </w:rPr>
        <w:t>,</w:t>
      </w:r>
      <w:r w:rsidR="00A23D88" w:rsidRPr="0086093F">
        <w:rPr>
          <w:szCs w:val="18"/>
          <w:lang w:val="es-ES"/>
        </w:rPr>
        <w:t xml:space="preserve"> deberán enviarse cuando se haya comunicado una notificación de denegación del dibujo o modelo en cuestión.  </w:t>
      </w:r>
      <w:r w:rsidR="00B77C50" w:rsidRPr="0086093F">
        <w:rPr>
          <w:szCs w:val="18"/>
          <w:lang w:val="es-ES"/>
        </w:rPr>
        <w:t>La</w:t>
      </w:r>
      <w:r w:rsidR="00A23D88" w:rsidRPr="0086093F">
        <w:rPr>
          <w:szCs w:val="18"/>
          <w:lang w:val="es-ES"/>
        </w:rPr>
        <w:t xml:space="preserve"> notificació</w:t>
      </w:r>
      <w:r w:rsidR="006B6079" w:rsidRPr="0086093F">
        <w:rPr>
          <w:szCs w:val="18"/>
          <w:lang w:val="es-ES"/>
        </w:rPr>
        <w:t xml:space="preserve">n </w:t>
      </w:r>
      <w:r w:rsidR="00B77C50" w:rsidRPr="0086093F">
        <w:rPr>
          <w:szCs w:val="18"/>
          <w:lang w:val="es-ES"/>
        </w:rPr>
        <w:t>de conformidad con</w:t>
      </w:r>
      <w:r w:rsidR="00A23D88" w:rsidRPr="0086093F">
        <w:rPr>
          <w:szCs w:val="18"/>
          <w:lang w:val="es-ES"/>
        </w:rPr>
        <w:t xml:space="preserve"> la Regla</w:t>
      </w:r>
      <w:r w:rsidR="00D61761" w:rsidRPr="0086093F">
        <w:rPr>
          <w:szCs w:val="18"/>
          <w:lang w:val="es-ES"/>
        </w:rPr>
        <w:t> </w:t>
      </w:r>
      <w:r w:rsidR="00A23D88" w:rsidRPr="0086093F">
        <w:rPr>
          <w:szCs w:val="18"/>
          <w:lang w:val="es-ES"/>
        </w:rPr>
        <w:t>18</w:t>
      </w:r>
      <w:r w:rsidR="006B6079" w:rsidRPr="0086093F">
        <w:rPr>
          <w:szCs w:val="18"/>
          <w:lang w:val="es-ES"/>
        </w:rPr>
        <w:t>.4)</w:t>
      </w:r>
      <w:r w:rsidR="00A23D88" w:rsidRPr="0086093F">
        <w:rPr>
          <w:szCs w:val="18"/>
          <w:lang w:val="es-ES"/>
        </w:rPr>
        <w:t xml:space="preserve"> o </w:t>
      </w:r>
      <w:r w:rsidR="006B6079" w:rsidRPr="0086093F">
        <w:rPr>
          <w:szCs w:val="18"/>
          <w:lang w:val="es-ES"/>
        </w:rPr>
        <w:t xml:space="preserve">la declaración </w:t>
      </w:r>
      <w:r w:rsidR="00B77C50" w:rsidRPr="0086093F">
        <w:rPr>
          <w:szCs w:val="18"/>
          <w:lang w:val="es-ES"/>
        </w:rPr>
        <w:t>de conformidad con</w:t>
      </w:r>
      <w:r w:rsidR="006B6079" w:rsidRPr="0086093F">
        <w:rPr>
          <w:szCs w:val="18"/>
          <w:lang w:val="es-ES"/>
        </w:rPr>
        <w:t xml:space="preserve"> </w:t>
      </w:r>
      <w:r w:rsidR="00A23D88" w:rsidRPr="0086093F">
        <w:rPr>
          <w:szCs w:val="18"/>
          <w:lang w:val="es-ES"/>
        </w:rPr>
        <w:t>la Regla</w:t>
      </w:r>
      <w:r w:rsidR="00D61761" w:rsidRPr="0086093F">
        <w:rPr>
          <w:szCs w:val="18"/>
          <w:lang w:val="es-ES"/>
        </w:rPr>
        <w:t> </w:t>
      </w:r>
      <w:r w:rsidR="00A23D88" w:rsidRPr="0086093F">
        <w:rPr>
          <w:szCs w:val="18"/>
          <w:lang w:val="es-ES"/>
        </w:rPr>
        <w:t>18</w:t>
      </w:r>
      <w:r w:rsidR="00A23D88" w:rsidRPr="0086093F">
        <w:rPr>
          <w:i/>
          <w:szCs w:val="18"/>
          <w:lang w:val="es-ES"/>
        </w:rPr>
        <w:t>bis</w:t>
      </w:r>
      <w:r w:rsidR="006B6079" w:rsidRPr="0086093F">
        <w:rPr>
          <w:szCs w:val="18"/>
          <w:lang w:val="es-ES"/>
        </w:rPr>
        <w:t>.2)</w:t>
      </w:r>
      <w:r w:rsidR="00B77C39" w:rsidRPr="0086093F">
        <w:rPr>
          <w:szCs w:val="18"/>
          <w:lang w:val="es-ES"/>
        </w:rPr>
        <w:t xml:space="preserve"> </w:t>
      </w:r>
      <w:r w:rsidR="00B77C50" w:rsidRPr="0086093F">
        <w:rPr>
          <w:szCs w:val="18"/>
          <w:lang w:val="es-ES"/>
        </w:rPr>
        <w:t xml:space="preserve">debe referirse </w:t>
      </w:r>
      <w:r w:rsidR="00E740E3" w:rsidRPr="0086093F">
        <w:rPr>
          <w:szCs w:val="18"/>
          <w:lang w:val="es-ES"/>
        </w:rPr>
        <w:t xml:space="preserve">únicamente </w:t>
      </w:r>
      <w:r w:rsidR="00B77C39" w:rsidRPr="0086093F">
        <w:rPr>
          <w:szCs w:val="18"/>
          <w:lang w:val="es-ES"/>
        </w:rPr>
        <w:t>a los dibujos o</w:t>
      </w:r>
      <w:r w:rsidR="00A23D88" w:rsidRPr="0086093F">
        <w:rPr>
          <w:szCs w:val="18"/>
          <w:lang w:val="es-ES"/>
        </w:rPr>
        <w:t xml:space="preserve"> modelos a los que atañe la denegación.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D77" w:rsidRDefault="00DA42C3" w:rsidP="00DD4C78">
    <w:pPr>
      <w:pStyle w:val="Header"/>
      <w:jc w:val="right"/>
      <w:rPr>
        <w:lang w:val="fr-CH"/>
      </w:rPr>
    </w:pPr>
    <w:proofErr w:type="spellStart"/>
    <w:proofErr w:type="gramStart"/>
    <w:r>
      <w:rPr>
        <w:lang w:val="fr-CH"/>
      </w:rPr>
      <w:t>página</w:t>
    </w:r>
    <w:proofErr w:type="spellEnd"/>
    <w:proofErr w:type="gramEnd"/>
    <w:r w:rsidR="00C90D77">
      <w:rPr>
        <w:lang w:val="fr-CH"/>
      </w:rPr>
      <w:t xml:space="preserve"> </w:t>
    </w:r>
    <w:r w:rsidR="00AA3375">
      <w:rPr>
        <w:lang w:val="fr-CH"/>
      </w:rPr>
      <w:fldChar w:fldCharType="begin"/>
    </w:r>
    <w:r w:rsidR="00AA3375">
      <w:rPr>
        <w:lang w:val="fr-CH"/>
      </w:rPr>
      <w:instrText xml:space="preserve"> PAGE  </w:instrText>
    </w:r>
    <w:r w:rsidR="00AA3375">
      <w:rPr>
        <w:lang w:val="fr-CH"/>
      </w:rPr>
      <w:fldChar w:fldCharType="separate"/>
    </w:r>
    <w:r w:rsidR="004352BA">
      <w:rPr>
        <w:noProof/>
        <w:lang w:val="fr-CH"/>
      </w:rPr>
      <w:t>2</w:t>
    </w:r>
    <w:r w:rsidR="00AA3375">
      <w:rPr>
        <w:lang w:val="fr-CH"/>
      </w:rPr>
      <w:fldChar w:fldCharType="end"/>
    </w:r>
  </w:p>
  <w:p w:rsidR="00C7292C" w:rsidRPr="00DD4C78" w:rsidRDefault="00C7292C" w:rsidP="00DD4C78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92C" w:rsidRDefault="00C7292C" w:rsidP="00DD4C78">
    <w:pPr>
      <w:pStyle w:val="Header"/>
      <w:jc w:val="right"/>
      <w:rPr>
        <w:lang w:val="fr-CH"/>
      </w:rPr>
    </w:pPr>
    <w:proofErr w:type="spellStart"/>
    <w:r>
      <w:rPr>
        <w:lang w:val="fr-CH"/>
      </w:rPr>
      <w:t>Anexo</w:t>
    </w:r>
    <w:proofErr w:type="spellEnd"/>
    <w:r>
      <w:rPr>
        <w:lang w:val="fr-CH"/>
      </w:rPr>
      <w:t xml:space="preserve">, </w:t>
    </w:r>
    <w:proofErr w:type="spellStart"/>
    <w:r>
      <w:rPr>
        <w:lang w:val="fr-CH"/>
      </w:rPr>
      <w:t>página</w:t>
    </w:r>
    <w:proofErr w:type="spellEnd"/>
    <w:r>
      <w:rPr>
        <w:lang w:val="fr-CH"/>
      </w:rPr>
      <w:t xml:space="preserve"> </w:t>
    </w:r>
    <w:r>
      <w:rPr>
        <w:lang w:val="fr-CH"/>
      </w:rPr>
      <w:fldChar w:fldCharType="begin"/>
    </w:r>
    <w:r>
      <w:rPr>
        <w:lang w:val="fr-CH"/>
      </w:rPr>
      <w:instrText xml:space="preserve"> PAGE  </w:instrText>
    </w:r>
    <w:r>
      <w:rPr>
        <w:lang w:val="fr-CH"/>
      </w:rPr>
      <w:fldChar w:fldCharType="separate"/>
    </w:r>
    <w:r w:rsidR="004352BA">
      <w:rPr>
        <w:noProof/>
        <w:lang w:val="fr-CH"/>
      </w:rPr>
      <w:t>2</w:t>
    </w:r>
    <w:r>
      <w:rPr>
        <w:lang w:val="fr-CH"/>
      </w:rPr>
      <w:fldChar w:fldCharType="end"/>
    </w:r>
  </w:p>
  <w:p w:rsidR="00C7292C" w:rsidRDefault="00C7292C" w:rsidP="00DD4C78">
    <w:pPr>
      <w:pStyle w:val="Header"/>
      <w:jc w:val="right"/>
      <w:rPr>
        <w:lang w:val="fr-CH"/>
      </w:rPr>
    </w:pPr>
  </w:p>
  <w:p w:rsidR="00C7292C" w:rsidRPr="00DD4C78" w:rsidRDefault="00C7292C" w:rsidP="00DD4C78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92C" w:rsidRDefault="00C7292C" w:rsidP="00C7292C">
    <w:pPr>
      <w:pStyle w:val="Header"/>
      <w:jc w:val="right"/>
      <w:rPr>
        <w:lang w:val="es-ES"/>
      </w:rPr>
    </w:pPr>
    <w:r>
      <w:rPr>
        <w:lang w:val="es-ES"/>
      </w:rPr>
      <w:t>ANEXO</w:t>
    </w:r>
  </w:p>
  <w:p w:rsidR="00C7292C" w:rsidRDefault="00C7292C" w:rsidP="00C7292C">
    <w:pPr>
      <w:pStyle w:val="Header"/>
      <w:jc w:val="right"/>
      <w:rPr>
        <w:lang w:val="es-ES"/>
      </w:rPr>
    </w:pPr>
  </w:p>
  <w:p w:rsidR="00C7292C" w:rsidRPr="00C7292C" w:rsidRDefault="00C7292C" w:rsidP="00C7292C">
    <w:pPr>
      <w:pStyle w:val="Header"/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6CD29E3"/>
    <w:multiLevelType w:val="multilevel"/>
    <w:tmpl w:val="185E2C0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ial" w:eastAsia="SimSun" w:hAnsi="Arial" w:cs="Arial"/>
        <w:i w:val="0"/>
      </w:rPr>
    </w:lvl>
    <w:lvl w:ilvl="1">
      <w:start w:val="1"/>
      <w:numFmt w:val="lowerLetter"/>
      <w:lvlText w:val="(%2)"/>
      <w:lvlJc w:val="left"/>
      <w:pPr>
        <w:tabs>
          <w:tab w:val="num" w:pos="504"/>
        </w:tabs>
        <w:ind w:left="-63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50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638"/>
        </w:tabs>
        <w:ind w:left="107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205"/>
        </w:tabs>
        <w:ind w:left="163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772"/>
        </w:tabs>
        <w:ind w:left="220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339"/>
        </w:tabs>
        <w:ind w:left="277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3905"/>
        </w:tabs>
        <w:ind w:left="333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472"/>
        </w:tabs>
        <w:ind w:left="390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"/>
    <w:docVar w:name="TermBaseURL" w:val="empty"/>
    <w:docVar w:name="TextBases" w:val="Copyright\Meetings|Copyright\Other|Copyright\Publications|Budget and Finance\Meetings|Budget and Finance\Other|Budget and Finance\Publications|IP in General\Academy|IP in General\Arbitration and Mediation|IP in General\Meetings|IP in General\Other|IP in General\Press Room|IP in General\Publications|IP in General\SpeechDG2014|Patents\Meetings|Patents\Other|Patents\Publications|Trademarks\Meetings|Trademarks\Other|Trademarks\Publications|Treaties\Model Laws|Treaties\Other Laws and Agreements|Treaties\WIPO-administered|WorkspaceSTS\EN-ES\Copyright\Meetings|WorkspaceSTS\EN-ES\Copyright\Other|WorkspaceSTS\EN-ES\Copyright\Publication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Administrative\Meetings|Administrative\Publications|WorkspaceSTS\EN-ES\Treaties\WIPO-administered|Administrative\Other"/>
    <w:docVar w:name="TextBaseURL" w:val="empty"/>
    <w:docVar w:name="UILng" w:val="en"/>
  </w:docVars>
  <w:rsids>
    <w:rsidRoot w:val="002168A9"/>
    <w:rsid w:val="0000273D"/>
    <w:rsid w:val="00015225"/>
    <w:rsid w:val="00017C9A"/>
    <w:rsid w:val="00026261"/>
    <w:rsid w:val="00030751"/>
    <w:rsid w:val="000345C5"/>
    <w:rsid w:val="00036611"/>
    <w:rsid w:val="00041546"/>
    <w:rsid w:val="00042705"/>
    <w:rsid w:val="00043C82"/>
    <w:rsid w:val="00056892"/>
    <w:rsid w:val="0006731E"/>
    <w:rsid w:val="00071467"/>
    <w:rsid w:val="00074623"/>
    <w:rsid w:val="00080D69"/>
    <w:rsid w:val="000A0FAF"/>
    <w:rsid w:val="000A4F19"/>
    <w:rsid w:val="000B48C9"/>
    <w:rsid w:val="000C0CAB"/>
    <w:rsid w:val="000C2080"/>
    <w:rsid w:val="000C6E8A"/>
    <w:rsid w:val="000D1CA5"/>
    <w:rsid w:val="000E2467"/>
    <w:rsid w:val="000E5C0C"/>
    <w:rsid w:val="000F2D75"/>
    <w:rsid w:val="000F4126"/>
    <w:rsid w:val="000F5E56"/>
    <w:rsid w:val="000F7703"/>
    <w:rsid w:val="0010296C"/>
    <w:rsid w:val="00107289"/>
    <w:rsid w:val="00110DBA"/>
    <w:rsid w:val="00110FA1"/>
    <w:rsid w:val="00115B93"/>
    <w:rsid w:val="001245D9"/>
    <w:rsid w:val="001246C8"/>
    <w:rsid w:val="001304A4"/>
    <w:rsid w:val="00133A8F"/>
    <w:rsid w:val="0013766B"/>
    <w:rsid w:val="00143A89"/>
    <w:rsid w:val="0014538F"/>
    <w:rsid w:val="00150C00"/>
    <w:rsid w:val="001512CE"/>
    <w:rsid w:val="00152B01"/>
    <w:rsid w:val="0015404E"/>
    <w:rsid w:val="00154A2D"/>
    <w:rsid w:val="001569C8"/>
    <w:rsid w:val="001631B6"/>
    <w:rsid w:val="00163BC1"/>
    <w:rsid w:val="00163CA4"/>
    <w:rsid w:val="00165D45"/>
    <w:rsid w:val="00166B6C"/>
    <w:rsid w:val="001738E5"/>
    <w:rsid w:val="00176719"/>
    <w:rsid w:val="00181D39"/>
    <w:rsid w:val="001871A9"/>
    <w:rsid w:val="001A4209"/>
    <w:rsid w:val="001A5C0B"/>
    <w:rsid w:val="001A6F45"/>
    <w:rsid w:val="001B4C91"/>
    <w:rsid w:val="001C033F"/>
    <w:rsid w:val="001C5CDA"/>
    <w:rsid w:val="001D0039"/>
    <w:rsid w:val="001D36A6"/>
    <w:rsid w:val="001D3CC9"/>
    <w:rsid w:val="001D3EC4"/>
    <w:rsid w:val="001D4C63"/>
    <w:rsid w:val="001E3B48"/>
    <w:rsid w:val="001E7099"/>
    <w:rsid w:val="001F3C11"/>
    <w:rsid w:val="001F5496"/>
    <w:rsid w:val="001F58A2"/>
    <w:rsid w:val="001F7ADA"/>
    <w:rsid w:val="00200899"/>
    <w:rsid w:val="00203C30"/>
    <w:rsid w:val="00203DD3"/>
    <w:rsid w:val="00210692"/>
    <w:rsid w:val="002134F2"/>
    <w:rsid w:val="00216724"/>
    <w:rsid w:val="002168A9"/>
    <w:rsid w:val="00220571"/>
    <w:rsid w:val="002249C0"/>
    <w:rsid w:val="00225AC4"/>
    <w:rsid w:val="00234B61"/>
    <w:rsid w:val="00235155"/>
    <w:rsid w:val="00241C69"/>
    <w:rsid w:val="00244316"/>
    <w:rsid w:val="00251D11"/>
    <w:rsid w:val="002555B2"/>
    <w:rsid w:val="0026366F"/>
    <w:rsid w:val="00270DAF"/>
    <w:rsid w:val="0028035E"/>
    <w:rsid w:val="00281E32"/>
    <w:rsid w:val="00283457"/>
    <w:rsid w:val="0029296C"/>
    <w:rsid w:val="002A43DD"/>
    <w:rsid w:val="002A76EF"/>
    <w:rsid w:val="002B7361"/>
    <w:rsid w:val="002C1209"/>
    <w:rsid w:val="002C1E35"/>
    <w:rsid w:val="002C5BF9"/>
    <w:rsid w:val="002C6DF9"/>
    <w:rsid w:val="002D1628"/>
    <w:rsid w:val="002D1725"/>
    <w:rsid w:val="002D234B"/>
    <w:rsid w:val="002D513C"/>
    <w:rsid w:val="002D7830"/>
    <w:rsid w:val="002E4B8B"/>
    <w:rsid w:val="002F774C"/>
    <w:rsid w:val="00302B3B"/>
    <w:rsid w:val="0030534A"/>
    <w:rsid w:val="0031191F"/>
    <w:rsid w:val="00316E3E"/>
    <w:rsid w:val="0031729A"/>
    <w:rsid w:val="003221D0"/>
    <w:rsid w:val="00326265"/>
    <w:rsid w:val="00330134"/>
    <w:rsid w:val="00333AC7"/>
    <w:rsid w:val="00341389"/>
    <w:rsid w:val="00347570"/>
    <w:rsid w:val="00347B8D"/>
    <w:rsid w:val="00356E31"/>
    <w:rsid w:val="003677FB"/>
    <w:rsid w:val="0036784E"/>
    <w:rsid w:val="00371190"/>
    <w:rsid w:val="00375D29"/>
    <w:rsid w:val="003826AA"/>
    <w:rsid w:val="00382ECD"/>
    <w:rsid w:val="003831DD"/>
    <w:rsid w:val="0039576D"/>
    <w:rsid w:val="003A4DC2"/>
    <w:rsid w:val="003A6BCF"/>
    <w:rsid w:val="003A7243"/>
    <w:rsid w:val="003A7DF3"/>
    <w:rsid w:val="003B2E08"/>
    <w:rsid w:val="003C469E"/>
    <w:rsid w:val="003C4F54"/>
    <w:rsid w:val="003C6B5E"/>
    <w:rsid w:val="003D3234"/>
    <w:rsid w:val="003D3BDF"/>
    <w:rsid w:val="003D4FA2"/>
    <w:rsid w:val="003D5C55"/>
    <w:rsid w:val="003E3898"/>
    <w:rsid w:val="003E3D42"/>
    <w:rsid w:val="003F0B48"/>
    <w:rsid w:val="003F3E35"/>
    <w:rsid w:val="003F7FAA"/>
    <w:rsid w:val="00400694"/>
    <w:rsid w:val="00401873"/>
    <w:rsid w:val="004027E1"/>
    <w:rsid w:val="00404B24"/>
    <w:rsid w:val="00412921"/>
    <w:rsid w:val="00415ED5"/>
    <w:rsid w:val="00425D5D"/>
    <w:rsid w:val="004302BA"/>
    <w:rsid w:val="00431024"/>
    <w:rsid w:val="00431118"/>
    <w:rsid w:val="004332F9"/>
    <w:rsid w:val="004352BA"/>
    <w:rsid w:val="0044207E"/>
    <w:rsid w:val="004449EA"/>
    <w:rsid w:val="00445888"/>
    <w:rsid w:val="00445DE4"/>
    <w:rsid w:val="0044711D"/>
    <w:rsid w:val="0044788F"/>
    <w:rsid w:val="00450E8D"/>
    <w:rsid w:val="00451C25"/>
    <w:rsid w:val="00451FB1"/>
    <w:rsid w:val="004574D8"/>
    <w:rsid w:val="004578C4"/>
    <w:rsid w:val="00457DB8"/>
    <w:rsid w:val="00470C9F"/>
    <w:rsid w:val="0049123B"/>
    <w:rsid w:val="00494394"/>
    <w:rsid w:val="00495E6A"/>
    <w:rsid w:val="004B33D6"/>
    <w:rsid w:val="004B33F7"/>
    <w:rsid w:val="004C01FF"/>
    <w:rsid w:val="004C18FB"/>
    <w:rsid w:val="004C78B1"/>
    <w:rsid w:val="004D6080"/>
    <w:rsid w:val="004D63CB"/>
    <w:rsid w:val="004E565E"/>
    <w:rsid w:val="004E69EE"/>
    <w:rsid w:val="005006CB"/>
    <w:rsid w:val="00503CD7"/>
    <w:rsid w:val="00506DC2"/>
    <w:rsid w:val="005075F4"/>
    <w:rsid w:val="005228AF"/>
    <w:rsid w:val="0053326A"/>
    <w:rsid w:val="0053597D"/>
    <w:rsid w:val="00536EC6"/>
    <w:rsid w:val="005400CB"/>
    <w:rsid w:val="005407B6"/>
    <w:rsid w:val="00542A24"/>
    <w:rsid w:val="00543333"/>
    <w:rsid w:val="005434CA"/>
    <w:rsid w:val="005446CC"/>
    <w:rsid w:val="00553BE7"/>
    <w:rsid w:val="0055638E"/>
    <w:rsid w:val="005574D5"/>
    <w:rsid w:val="00557C09"/>
    <w:rsid w:val="00571BD9"/>
    <w:rsid w:val="00571F30"/>
    <w:rsid w:val="00575E27"/>
    <w:rsid w:val="00576D64"/>
    <w:rsid w:val="00584D42"/>
    <w:rsid w:val="005914F0"/>
    <w:rsid w:val="00591DFD"/>
    <w:rsid w:val="00592133"/>
    <w:rsid w:val="00593005"/>
    <w:rsid w:val="0059589B"/>
    <w:rsid w:val="00596A6F"/>
    <w:rsid w:val="005A1223"/>
    <w:rsid w:val="005A15C3"/>
    <w:rsid w:val="005A58C8"/>
    <w:rsid w:val="005A6B84"/>
    <w:rsid w:val="005A6ECB"/>
    <w:rsid w:val="005B23A2"/>
    <w:rsid w:val="005B3324"/>
    <w:rsid w:val="005B39B3"/>
    <w:rsid w:val="005B4314"/>
    <w:rsid w:val="005C4FA2"/>
    <w:rsid w:val="005C696E"/>
    <w:rsid w:val="005C7F6A"/>
    <w:rsid w:val="005D2A3B"/>
    <w:rsid w:val="005D65CF"/>
    <w:rsid w:val="005D7EFA"/>
    <w:rsid w:val="005F257A"/>
    <w:rsid w:val="005F598E"/>
    <w:rsid w:val="005F5E17"/>
    <w:rsid w:val="005F7F6A"/>
    <w:rsid w:val="00602058"/>
    <w:rsid w:val="00610AB8"/>
    <w:rsid w:val="00613441"/>
    <w:rsid w:val="006173C9"/>
    <w:rsid w:val="00620314"/>
    <w:rsid w:val="00622DB8"/>
    <w:rsid w:val="0062388A"/>
    <w:rsid w:val="006304EF"/>
    <w:rsid w:val="006368D1"/>
    <w:rsid w:val="006378EB"/>
    <w:rsid w:val="006408F6"/>
    <w:rsid w:val="00650C46"/>
    <w:rsid w:val="006575D2"/>
    <w:rsid w:val="00661341"/>
    <w:rsid w:val="00661E11"/>
    <w:rsid w:val="00663334"/>
    <w:rsid w:val="00667A37"/>
    <w:rsid w:val="00672752"/>
    <w:rsid w:val="006734BA"/>
    <w:rsid w:val="006807FD"/>
    <w:rsid w:val="00681205"/>
    <w:rsid w:val="00683F3B"/>
    <w:rsid w:val="00690BA2"/>
    <w:rsid w:val="00692BB3"/>
    <w:rsid w:val="00695173"/>
    <w:rsid w:val="0069651B"/>
    <w:rsid w:val="00697D73"/>
    <w:rsid w:val="006A0A43"/>
    <w:rsid w:val="006A771E"/>
    <w:rsid w:val="006A7CC2"/>
    <w:rsid w:val="006B0C87"/>
    <w:rsid w:val="006B6079"/>
    <w:rsid w:val="006B62C4"/>
    <w:rsid w:val="006B6778"/>
    <w:rsid w:val="006B67D2"/>
    <w:rsid w:val="006B70AF"/>
    <w:rsid w:val="006C3744"/>
    <w:rsid w:val="006C6308"/>
    <w:rsid w:val="006C7574"/>
    <w:rsid w:val="006C7871"/>
    <w:rsid w:val="006D3139"/>
    <w:rsid w:val="006E06A9"/>
    <w:rsid w:val="006E3CA9"/>
    <w:rsid w:val="006F62A1"/>
    <w:rsid w:val="00700EAB"/>
    <w:rsid w:val="00707572"/>
    <w:rsid w:val="0070789F"/>
    <w:rsid w:val="007104B5"/>
    <w:rsid w:val="00714A2D"/>
    <w:rsid w:val="0072569C"/>
    <w:rsid w:val="007256CB"/>
    <w:rsid w:val="007344B4"/>
    <w:rsid w:val="007407E2"/>
    <w:rsid w:val="007451B7"/>
    <w:rsid w:val="007468C2"/>
    <w:rsid w:val="00754CC2"/>
    <w:rsid w:val="00761345"/>
    <w:rsid w:val="00766169"/>
    <w:rsid w:val="00770A3B"/>
    <w:rsid w:val="00770B68"/>
    <w:rsid w:val="0077782A"/>
    <w:rsid w:val="007860D5"/>
    <w:rsid w:val="0078727F"/>
    <w:rsid w:val="00793D3D"/>
    <w:rsid w:val="00797285"/>
    <w:rsid w:val="00797D4D"/>
    <w:rsid w:val="007B240C"/>
    <w:rsid w:val="007B7E1E"/>
    <w:rsid w:val="007C57CB"/>
    <w:rsid w:val="007D371E"/>
    <w:rsid w:val="007D53C7"/>
    <w:rsid w:val="007D5E31"/>
    <w:rsid w:val="007D5F0F"/>
    <w:rsid w:val="007D73D5"/>
    <w:rsid w:val="007E0D5A"/>
    <w:rsid w:val="007E4F45"/>
    <w:rsid w:val="007F2D6D"/>
    <w:rsid w:val="007F4E2E"/>
    <w:rsid w:val="00804DB7"/>
    <w:rsid w:val="00806B72"/>
    <w:rsid w:val="0081088F"/>
    <w:rsid w:val="00815542"/>
    <w:rsid w:val="00825C3D"/>
    <w:rsid w:val="00826AE5"/>
    <w:rsid w:val="0083034F"/>
    <w:rsid w:val="00830FF2"/>
    <w:rsid w:val="0083547D"/>
    <w:rsid w:val="00835CA6"/>
    <w:rsid w:val="00842DB2"/>
    <w:rsid w:val="0084646F"/>
    <w:rsid w:val="008500ED"/>
    <w:rsid w:val="00850DB1"/>
    <w:rsid w:val="0086093F"/>
    <w:rsid w:val="00862E1A"/>
    <w:rsid w:val="008648C0"/>
    <w:rsid w:val="00865DA2"/>
    <w:rsid w:val="008661E1"/>
    <w:rsid w:val="00866AA2"/>
    <w:rsid w:val="00870286"/>
    <w:rsid w:val="0087067A"/>
    <w:rsid w:val="00873F53"/>
    <w:rsid w:val="00882420"/>
    <w:rsid w:val="00892011"/>
    <w:rsid w:val="00893AF2"/>
    <w:rsid w:val="008978CF"/>
    <w:rsid w:val="008A4D23"/>
    <w:rsid w:val="008A7C04"/>
    <w:rsid w:val="008B17A6"/>
    <w:rsid w:val="008C1E20"/>
    <w:rsid w:val="008C3EA7"/>
    <w:rsid w:val="008D2834"/>
    <w:rsid w:val="008D564D"/>
    <w:rsid w:val="008D5D54"/>
    <w:rsid w:val="008D6847"/>
    <w:rsid w:val="008D7707"/>
    <w:rsid w:val="008E57B8"/>
    <w:rsid w:val="008F0153"/>
    <w:rsid w:val="008F373D"/>
    <w:rsid w:val="00901680"/>
    <w:rsid w:val="009029C1"/>
    <w:rsid w:val="009067A3"/>
    <w:rsid w:val="00906B39"/>
    <w:rsid w:val="00907D37"/>
    <w:rsid w:val="00910EFE"/>
    <w:rsid w:val="00913DE1"/>
    <w:rsid w:val="00914241"/>
    <w:rsid w:val="009147B2"/>
    <w:rsid w:val="0091714D"/>
    <w:rsid w:val="009174F7"/>
    <w:rsid w:val="00931B30"/>
    <w:rsid w:val="00933DA8"/>
    <w:rsid w:val="00933EA1"/>
    <w:rsid w:val="009411EE"/>
    <w:rsid w:val="00941F5F"/>
    <w:rsid w:val="009431BC"/>
    <w:rsid w:val="00951BA2"/>
    <w:rsid w:val="00953000"/>
    <w:rsid w:val="00960784"/>
    <w:rsid w:val="00960DFA"/>
    <w:rsid w:val="00961840"/>
    <w:rsid w:val="00961DB3"/>
    <w:rsid w:val="009633F8"/>
    <w:rsid w:val="00970EA0"/>
    <w:rsid w:val="00973B65"/>
    <w:rsid w:val="00974F9A"/>
    <w:rsid w:val="00975EE1"/>
    <w:rsid w:val="0097697E"/>
    <w:rsid w:val="009775E6"/>
    <w:rsid w:val="00980583"/>
    <w:rsid w:val="00984871"/>
    <w:rsid w:val="0099106A"/>
    <w:rsid w:val="00996A88"/>
    <w:rsid w:val="009A1335"/>
    <w:rsid w:val="009A2785"/>
    <w:rsid w:val="009A352D"/>
    <w:rsid w:val="009A54DF"/>
    <w:rsid w:val="009B5792"/>
    <w:rsid w:val="009B6A5E"/>
    <w:rsid w:val="009B741D"/>
    <w:rsid w:val="009B7483"/>
    <w:rsid w:val="009C3712"/>
    <w:rsid w:val="009C4434"/>
    <w:rsid w:val="009D4E66"/>
    <w:rsid w:val="009D5A57"/>
    <w:rsid w:val="009D6077"/>
    <w:rsid w:val="009E6DBE"/>
    <w:rsid w:val="009F03E7"/>
    <w:rsid w:val="009F0845"/>
    <w:rsid w:val="009F59BB"/>
    <w:rsid w:val="009F7A0A"/>
    <w:rsid w:val="00A01DA8"/>
    <w:rsid w:val="00A025B2"/>
    <w:rsid w:val="00A02B8A"/>
    <w:rsid w:val="00A05980"/>
    <w:rsid w:val="00A13AB2"/>
    <w:rsid w:val="00A145CC"/>
    <w:rsid w:val="00A2047E"/>
    <w:rsid w:val="00A23D88"/>
    <w:rsid w:val="00A31EA2"/>
    <w:rsid w:val="00A3267E"/>
    <w:rsid w:val="00A44C4A"/>
    <w:rsid w:val="00A471A3"/>
    <w:rsid w:val="00A4772A"/>
    <w:rsid w:val="00A50DA0"/>
    <w:rsid w:val="00A53135"/>
    <w:rsid w:val="00A56833"/>
    <w:rsid w:val="00A56BFB"/>
    <w:rsid w:val="00A62CCA"/>
    <w:rsid w:val="00A67184"/>
    <w:rsid w:val="00A8270E"/>
    <w:rsid w:val="00A86C10"/>
    <w:rsid w:val="00A87083"/>
    <w:rsid w:val="00A96DD7"/>
    <w:rsid w:val="00AA0A23"/>
    <w:rsid w:val="00AA2FEB"/>
    <w:rsid w:val="00AA3375"/>
    <w:rsid w:val="00AA34DC"/>
    <w:rsid w:val="00AB11DE"/>
    <w:rsid w:val="00AB3184"/>
    <w:rsid w:val="00AB41A8"/>
    <w:rsid w:val="00AB453A"/>
    <w:rsid w:val="00AE1A3A"/>
    <w:rsid w:val="00AE25E5"/>
    <w:rsid w:val="00AF077A"/>
    <w:rsid w:val="00AF0CA2"/>
    <w:rsid w:val="00AF3FB2"/>
    <w:rsid w:val="00AF5032"/>
    <w:rsid w:val="00B03421"/>
    <w:rsid w:val="00B041D9"/>
    <w:rsid w:val="00B04741"/>
    <w:rsid w:val="00B07DB1"/>
    <w:rsid w:val="00B105C9"/>
    <w:rsid w:val="00B133E8"/>
    <w:rsid w:val="00B153FF"/>
    <w:rsid w:val="00B169B7"/>
    <w:rsid w:val="00B404CB"/>
    <w:rsid w:val="00B4192A"/>
    <w:rsid w:val="00B44B85"/>
    <w:rsid w:val="00B453BC"/>
    <w:rsid w:val="00B52525"/>
    <w:rsid w:val="00B55218"/>
    <w:rsid w:val="00B566C4"/>
    <w:rsid w:val="00B63094"/>
    <w:rsid w:val="00B65EA3"/>
    <w:rsid w:val="00B705B5"/>
    <w:rsid w:val="00B71B88"/>
    <w:rsid w:val="00B7395D"/>
    <w:rsid w:val="00B753B4"/>
    <w:rsid w:val="00B77845"/>
    <w:rsid w:val="00B77C39"/>
    <w:rsid w:val="00B77C50"/>
    <w:rsid w:val="00B85380"/>
    <w:rsid w:val="00BA4500"/>
    <w:rsid w:val="00BA4968"/>
    <w:rsid w:val="00BA7B60"/>
    <w:rsid w:val="00BB4C78"/>
    <w:rsid w:val="00BB5E1E"/>
    <w:rsid w:val="00BB7F37"/>
    <w:rsid w:val="00BC52BE"/>
    <w:rsid w:val="00BC55ED"/>
    <w:rsid w:val="00BC69BD"/>
    <w:rsid w:val="00BD302C"/>
    <w:rsid w:val="00BF351A"/>
    <w:rsid w:val="00BF4B31"/>
    <w:rsid w:val="00BF545C"/>
    <w:rsid w:val="00C00B67"/>
    <w:rsid w:val="00C018E5"/>
    <w:rsid w:val="00C02830"/>
    <w:rsid w:val="00C06897"/>
    <w:rsid w:val="00C12EC6"/>
    <w:rsid w:val="00C2029D"/>
    <w:rsid w:val="00C26243"/>
    <w:rsid w:val="00C30864"/>
    <w:rsid w:val="00C319C2"/>
    <w:rsid w:val="00C434A5"/>
    <w:rsid w:val="00C4551E"/>
    <w:rsid w:val="00C52A41"/>
    <w:rsid w:val="00C534B1"/>
    <w:rsid w:val="00C554EC"/>
    <w:rsid w:val="00C55594"/>
    <w:rsid w:val="00C55C5A"/>
    <w:rsid w:val="00C572A4"/>
    <w:rsid w:val="00C61E71"/>
    <w:rsid w:val="00C63918"/>
    <w:rsid w:val="00C63CFC"/>
    <w:rsid w:val="00C70030"/>
    <w:rsid w:val="00C7036F"/>
    <w:rsid w:val="00C7292C"/>
    <w:rsid w:val="00C7637A"/>
    <w:rsid w:val="00C774DB"/>
    <w:rsid w:val="00C83012"/>
    <w:rsid w:val="00C85CBD"/>
    <w:rsid w:val="00C90D77"/>
    <w:rsid w:val="00CA2DF5"/>
    <w:rsid w:val="00CA6489"/>
    <w:rsid w:val="00CC07FB"/>
    <w:rsid w:val="00CD0945"/>
    <w:rsid w:val="00CD3874"/>
    <w:rsid w:val="00CD64CF"/>
    <w:rsid w:val="00CD6D5B"/>
    <w:rsid w:val="00CD794F"/>
    <w:rsid w:val="00CE247D"/>
    <w:rsid w:val="00CE47BE"/>
    <w:rsid w:val="00CF0069"/>
    <w:rsid w:val="00CF0FDF"/>
    <w:rsid w:val="00CF1913"/>
    <w:rsid w:val="00CF2815"/>
    <w:rsid w:val="00CF3D0E"/>
    <w:rsid w:val="00CF4E2A"/>
    <w:rsid w:val="00CF6CD1"/>
    <w:rsid w:val="00D00517"/>
    <w:rsid w:val="00D07207"/>
    <w:rsid w:val="00D10F82"/>
    <w:rsid w:val="00D15CE0"/>
    <w:rsid w:val="00D16C9F"/>
    <w:rsid w:val="00D1770F"/>
    <w:rsid w:val="00D22B49"/>
    <w:rsid w:val="00D233E7"/>
    <w:rsid w:val="00D3167B"/>
    <w:rsid w:val="00D42260"/>
    <w:rsid w:val="00D43A40"/>
    <w:rsid w:val="00D45CEB"/>
    <w:rsid w:val="00D51703"/>
    <w:rsid w:val="00D61761"/>
    <w:rsid w:val="00D62D21"/>
    <w:rsid w:val="00D64DBF"/>
    <w:rsid w:val="00D83431"/>
    <w:rsid w:val="00D836CC"/>
    <w:rsid w:val="00D8682F"/>
    <w:rsid w:val="00D911D8"/>
    <w:rsid w:val="00DA1B41"/>
    <w:rsid w:val="00DA3F78"/>
    <w:rsid w:val="00DA42C3"/>
    <w:rsid w:val="00DA47BD"/>
    <w:rsid w:val="00DA50E8"/>
    <w:rsid w:val="00DA6327"/>
    <w:rsid w:val="00DB421D"/>
    <w:rsid w:val="00DB7C33"/>
    <w:rsid w:val="00DC08F0"/>
    <w:rsid w:val="00DC1240"/>
    <w:rsid w:val="00DE12B7"/>
    <w:rsid w:val="00DE4A60"/>
    <w:rsid w:val="00DE4A66"/>
    <w:rsid w:val="00DF577A"/>
    <w:rsid w:val="00DF5BE5"/>
    <w:rsid w:val="00E07D93"/>
    <w:rsid w:val="00E166C4"/>
    <w:rsid w:val="00E21E38"/>
    <w:rsid w:val="00E316DB"/>
    <w:rsid w:val="00E34A23"/>
    <w:rsid w:val="00E36D65"/>
    <w:rsid w:val="00E445D0"/>
    <w:rsid w:val="00E51B4F"/>
    <w:rsid w:val="00E52A24"/>
    <w:rsid w:val="00E530E1"/>
    <w:rsid w:val="00E608C0"/>
    <w:rsid w:val="00E6451E"/>
    <w:rsid w:val="00E6491F"/>
    <w:rsid w:val="00E65E89"/>
    <w:rsid w:val="00E7271E"/>
    <w:rsid w:val="00E740E3"/>
    <w:rsid w:val="00E76973"/>
    <w:rsid w:val="00E8027F"/>
    <w:rsid w:val="00E81BDD"/>
    <w:rsid w:val="00E875DC"/>
    <w:rsid w:val="00E92CB3"/>
    <w:rsid w:val="00E936D5"/>
    <w:rsid w:val="00E949B0"/>
    <w:rsid w:val="00E957AC"/>
    <w:rsid w:val="00E96FD7"/>
    <w:rsid w:val="00EA1FB8"/>
    <w:rsid w:val="00EA4E5E"/>
    <w:rsid w:val="00EA58C9"/>
    <w:rsid w:val="00EB20CE"/>
    <w:rsid w:val="00EB4CFB"/>
    <w:rsid w:val="00EB7F00"/>
    <w:rsid w:val="00EC1790"/>
    <w:rsid w:val="00ED4EBB"/>
    <w:rsid w:val="00EE4514"/>
    <w:rsid w:val="00EE589B"/>
    <w:rsid w:val="00EE612C"/>
    <w:rsid w:val="00EF0C98"/>
    <w:rsid w:val="00EF0E0D"/>
    <w:rsid w:val="00EF1830"/>
    <w:rsid w:val="00EF3011"/>
    <w:rsid w:val="00EF460D"/>
    <w:rsid w:val="00EF58AE"/>
    <w:rsid w:val="00EF59CC"/>
    <w:rsid w:val="00EF713C"/>
    <w:rsid w:val="00F02361"/>
    <w:rsid w:val="00F12764"/>
    <w:rsid w:val="00F24558"/>
    <w:rsid w:val="00F2583F"/>
    <w:rsid w:val="00F436D1"/>
    <w:rsid w:val="00F459D4"/>
    <w:rsid w:val="00F45BD1"/>
    <w:rsid w:val="00F50564"/>
    <w:rsid w:val="00F614C9"/>
    <w:rsid w:val="00F65E54"/>
    <w:rsid w:val="00F669C4"/>
    <w:rsid w:val="00F66E1E"/>
    <w:rsid w:val="00F71852"/>
    <w:rsid w:val="00F74B88"/>
    <w:rsid w:val="00F754DA"/>
    <w:rsid w:val="00F91CC4"/>
    <w:rsid w:val="00F93D9D"/>
    <w:rsid w:val="00FA5727"/>
    <w:rsid w:val="00FB45A0"/>
    <w:rsid w:val="00FC0167"/>
    <w:rsid w:val="00FC02DC"/>
    <w:rsid w:val="00FC0484"/>
    <w:rsid w:val="00FC60BA"/>
    <w:rsid w:val="00FD4261"/>
    <w:rsid w:val="00FD4F31"/>
    <w:rsid w:val="00FD5F61"/>
    <w:rsid w:val="00FE1442"/>
    <w:rsid w:val="00FE51A6"/>
    <w:rsid w:val="00FE56B5"/>
    <w:rsid w:val="00FF029C"/>
    <w:rsid w:val="00FF030C"/>
    <w:rsid w:val="00FF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8A9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PageNumber">
    <w:name w:val="page number"/>
    <w:basedOn w:val="DefaultParagraphFont"/>
    <w:rsid w:val="002168A9"/>
  </w:style>
  <w:style w:type="character" w:styleId="Hyperlink">
    <w:name w:val="Hyperlink"/>
    <w:rsid w:val="002168A9"/>
    <w:rPr>
      <w:color w:val="0000FF"/>
      <w:u w:val="single"/>
    </w:rPr>
  </w:style>
  <w:style w:type="paragraph" w:customStyle="1" w:styleId="Endofdocument-Annex">
    <w:name w:val="[End of document - Annex]"/>
    <w:basedOn w:val="Normal"/>
    <w:rsid w:val="002168A9"/>
    <w:pPr>
      <w:ind w:left="5534"/>
    </w:pPr>
  </w:style>
  <w:style w:type="character" w:styleId="CommentReference">
    <w:name w:val="annotation reference"/>
    <w:rsid w:val="002168A9"/>
    <w:rPr>
      <w:sz w:val="16"/>
      <w:szCs w:val="16"/>
    </w:rPr>
  </w:style>
  <w:style w:type="character" w:customStyle="1" w:styleId="CommentTextChar">
    <w:name w:val="Comment Text Char"/>
    <w:link w:val="CommentText"/>
    <w:semiHidden/>
    <w:rsid w:val="002168A9"/>
    <w:rPr>
      <w:rFonts w:ascii="Arial" w:hAnsi="Arial" w:cs="Arial"/>
      <w:sz w:val="18"/>
      <w:lang w:val="en-GB"/>
    </w:rPr>
  </w:style>
  <w:style w:type="character" w:styleId="Emphasis">
    <w:name w:val="Emphasis"/>
    <w:qFormat/>
    <w:rsid w:val="002168A9"/>
    <w:rPr>
      <w:i/>
      <w:iCs/>
    </w:rPr>
  </w:style>
  <w:style w:type="paragraph" w:styleId="BalloonText">
    <w:name w:val="Balloon Text"/>
    <w:basedOn w:val="Normal"/>
    <w:link w:val="BalloonTextChar"/>
    <w:rsid w:val="002168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68A9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030751"/>
    <w:rPr>
      <w:vertAlign w:val="superscript"/>
    </w:rPr>
  </w:style>
  <w:style w:type="paragraph" w:styleId="ListParagraph">
    <w:name w:val="List Paragraph"/>
    <w:basedOn w:val="Normal"/>
    <w:uiPriority w:val="34"/>
    <w:qFormat/>
    <w:rsid w:val="00596A6F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55638E"/>
    <w:rPr>
      <w:rFonts w:ascii="Arial" w:eastAsia="SimSun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A56BFB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A56BFB"/>
    <w:rPr>
      <w:rFonts w:ascii="Arial" w:eastAsia="SimSun" w:hAnsi="Arial" w:cs="Arial"/>
      <w:b/>
      <w:bCs/>
      <w:sz w:val="18"/>
      <w:lang w:val="en-GB" w:eastAsia="zh-CN"/>
    </w:rPr>
  </w:style>
  <w:style w:type="character" w:styleId="FollowedHyperlink">
    <w:name w:val="FollowedHyperlink"/>
    <w:basedOn w:val="DefaultParagraphFont"/>
    <w:rsid w:val="00E875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8A9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PageNumber">
    <w:name w:val="page number"/>
    <w:basedOn w:val="DefaultParagraphFont"/>
    <w:rsid w:val="002168A9"/>
  </w:style>
  <w:style w:type="character" w:styleId="Hyperlink">
    <w:name w:val="Hyperlink"/>
    <w:rsid w:val="002168A9"/>
    <w:rPr>
      <w:color w:val="0000FF"/>
      <w:u w:val="single"/>
    </w:rPr>
  </w:style>
  <w:style w:type="paragraph" w:customStyle="1" w:styleId="Endofdocument-Annex">
    <w:name w:val="[End of document - Annex]"/>
    <w:basedOn w:val="Normal"/>
    <w:rsid w:val="002168A9"/>
    <w:pPr>
      <w:ind w:left="5534"/>
    </w:pPr>
  </w:style>
  <w:style w:type="character" w:styleId="CommentReference">
    <w:name w:val="annotation reference"/>
    <w:rsid w:val="002168A9"/>
    <w:rPr>
      <w:sz w:val="16"/>
      <w:szCs w:val="16"/>
    </w:rPr>
  </w:style>
  <w:style w:type="character" w:customStyle="1" w:styleId="CommentTextChar">
    <w:name w:val="Comment Text Char"/>
    <w:link w:val="CommentText"/>
    <w:semiHidden/>
    <w:rsid w:val="002168A9"/>
    <w:rPr>
      <w:rFonts w:ascii="Arial" w:hAnsi="Arial" w:cs="Arial"/>
      <w:sz w:val="18"/>
      <w:lang w:val="en-GB"/>
    </w:rPr>
  </w:style>
  <w:style w:type="character" w:styleId="Emphasis">
    <w:name w:val="Emphasis"/>
    <w:qFormat/>
    <w:rsid w:val="002168A9"/>
    <w:rPr>
      <w:i/>
      <w:iCs/>
    </w:rPr>
  </w:style>
  <w:style w:type="paragraph" w:styleId="BalloonText">
    <w:name w:val="Balloon Text"/>
    <w:basedOn w:val="Normal"/>
    <w:link w:val="BalloonTextChar"/>
    <w:rsid w:val="002168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68A9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030751"/>
    <w:rPr>
      <w:vertAlign w:val="superscript"/>
    </w:rPr>
  </w:style>
  <w:style w:type="paragraph" w:styleId="ListParagraph">
    <w:name w:val="List Paragraph"/>
    <w:basedOn w:val="Normal"/>
    <w:uiPriority w:val="34"/>
    <w:qFormat/>
    <w:rsid w:val="00596A6F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55638E"/>
    <w:rPr>
      <w:rFonts w:ascii="Arial" w:eastAsia="SimSun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A56BFB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A56BFB"/>
    <w:rPr>
      <w:rFonts w:ascii="Arial" w:eastAsia="SimSun" w:hAnsi="Arial" w:cs="Arial"/>
      <w:b/>
      <w:bCs/>
      <w:sz w:val="18"/>
      <w:lang w:val="en-GB" w:eastAsia="zh-CN"/>
    </w:rPr>
  </w:style>
  <w:style w:type="character" w:styleId="FollowedHyperlink">
    <w:name w:val="FollowedHyperlink"/>
    <w:basedOn w:val="DefaultParagraphFont"/>
    <w:rsid w:val="00E875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6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po.int/meetings/es/details.jsp?meeting_id=3204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wipo.int/meetings/es/doc_details.jsp?doc_id=281046,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9E093-D02E-4742-AD26-3279B220B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2254</Words>
  <Characters>11903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Aviso Nº 5/2014</vt:lpstr>
    </vt:vector>
  </TitlesOfParts>
  <Company>World Intellectual Property Organization</Company>
  <LinksUpToDate>false</LinksUpToDate>
  <CharactersWithSpaces>14129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Nº 5/2014</dc:title>
  <dc:subject>Arreglo de La Haya</dc:subject>
  <dc:creator>MORILLO</dc:creator>
  <dc:description>AMC
24/11/2014</dc:description>
  <cp:lastModifiedBy>CLEAVELEY-MAILLARD Amber</cp:lastModifiedBy>
  <cp:revision>14</cp:revision>
  <cp:lastPrinted>2014-12-04T10:09:00Z</cp:lastPrinted>
  <dcterms:created xsi:type="dcterms:W3CDTF">2014-12-01T14:55:00Z</dcterms:created>
  <dcterms:modified xsi:type="dcterms:W3CDTF">2014-12-04T10:09:00Z</dcterms:modified>
</cp:coreProperties>
</file>