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7796C" w:rsidRPr="00CE00D7" w14:paraId="0C4D2A18" w14:textId="77777777" w:rsidTr="00CC5016">
        <w:tc>
          <w:tcPr>
            <w:tcW w:w="4513" w:type="dxa"/>
            <w:tcBorders>
              <w:bottom w:val="single" w:sz="4" w:space="0" w:color="auto"/>
            </w:tcBorders>
            <w:tcMar>
              <w:bottom w:w="170" w:type="dxa"/>
            </w:tcMar>
          </w:tcPr>
          <w:p w14:paraId="1C3F15BC" w14:textId="77777777" w:rsidR="00EC4E49" w:rsidRPr="00EB4183" w:rsidRDefault="00EC4E49" w:rsidP="00916EE2">
            <w:pPr>
              <w:rPr>
                <w:lang w:val="es-ES_tradnl"/>
              </w:rPr>
            </w:pPr>
          </w:p>
        </w:tc>
        <w:tc>
          <w:tcPr>
            <w:tcW w:w="4337" w:type="dxa"/>
            <w:tcBorders>
              <w:bottom w:val="single" w:sz="4" w:space="0" w:color="auto"/>
            </w:tcBorders>
            <w:tcMar>
              <w:left w:w="0" w:type="dxa"/>
              <w:right w:w="0" w:type="dxa"/>
            </w:tcMar>
          </w:tcPr>
          <w:p w14:paraId="3B31892A" w14:textId="64FD52CF" w:rsidR="00EC4E49" w:rsidRPr="00CE00D7" w:rsidRDefault="002439F7" w:rsidP="00916EE2">
            <w:pPr>
              <w:rPr>
                <w:lang w:val="es-ES_tradnl"/>
              </w:rPr>
            </w:pPr>
            <w:r w:rsidRPr="00CE00D7">
              <w:rPr>
                <w:noProof/>
                <w:lang w:eastAsia="en-US"/>
              </w:rPr>
              <w:drawing>
                <wp:inline distT="0" distB="0" distL="0" distR="0" wp14:anchorId="655EC98E" wp14:editId="00673E2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667EF1D" w14:textId="77777777" w:rsidR="00EC4E49" w:rsidRPr="00CE00D7" w:rsidRDefault="00EC4E49" w:rsidP="00916EE2">
            <w:pPr>
              <w:jc w:val="right"/>
              <w:rPr>
                <w:lang w:val="es-ES_tradnl"/>
              </w:rPr>
            </w:pPr>
          </w:p>
        </w:tc>
      </w:tr>
      <w:tr w:rsidR="00C7796C" w:rsidRPr="00CE00D7" w14:paraId="50AF338B" w14:textId="77777777" w:rsidTr="00916EE2">
        <w:trPr>
          <w:trHeight w:hRule="exact" w:val="170"/>
        </w:trPr>
        <w:tc>
          <w:tcPr>
            <w:tcW w:w="9356" w:type="dxa"/>
            <w:gridSpan w:val="3"/>
            <w:noWrap/>
            <w:tcMar>
              <w:left w:w="0" w:type="dxa"/>
              <w:right w:w="0" w:type="dxa"/>
            </w:tcMar>
            <w:vAlign w:val="bottom"/>
          </w:tcPr>
          <w:p w14:paraId="07548642" w14:textId="77777777" w:rsidR="008B2CC1" w:rsidRPr="00CE00D7" w:rsidRDefault="008B2CC1" w:rsidP="00916EE2">
            <w:pPr>
              <w:jc w:val="right"/>
              <w:rPr>
                <w:rFonts w:ascii="Arial Black" w:hAnsi="Arial Black"/>
                <w:caps/>
                <w:sz w:val="15"/>
                <w:lang w:val="es-ES_tradnl"/>
              </w:rPr>
            </w:pPr>
            <w:bookmarkStart w:id="0" w:name="Original"/>
            <w:bookmarkEnd w:id="0"/>
          </w:p>
        </w:tc>
      </w:tr>
      <w:tr w:rsidR="00C7796C" w:rsidRPr="00CE00D7" w14:paraId="7239568D" w14:textId="77777777" w:rsidTr="00916EE2">
        <w:trPr>
          <w:trHeight w:hRule="exact" w:val="198"/>
        </w:trPr>
        <w:tc>
          <w:tcPr>
            <w:tcW w:w="9356" w:type="dxa"/>
            <w:gridSpan w:val="3"/>
            <w:tcMar>
              <w:left w:w="0" w:type="dxa"/>
              <w:right w:w="0" w:type="dxa"/>
            </w:tcMar>
            <w:vAlign w:val="bottom"/>
          </w:tcPr>
          <w:p w14:paraId="50502F52" w14:textId="0ED94987" w:rsidR="00492F44" w:rsidRPr="00CE00D7" w:rsidRDefault="002439F7" w:rsidP="007D75ED">
            <w:pPr>
              <w:jc w:val="right"/>
              <w:rPr>
                <w:rFonts w:ascii="Arial Black" w:hAnsi="Arial Black"/>
                <w:caps/>
                <w:sz w:val="15"/>
                <w:lang w:val="es-ES_tradnl"/>
              </w:rPr>
            </w:pPr>
            <w:r w:rsidRPr="00CE00D7">
              <w:rPr>
                <w:rFonts w:ascii="Arial Black" w:hAnsi="Arial Black"/>
                <w:caps/>
                <w:sz w:val="15"/>
                <w:lang w:val="es-ES_tradnl"/>
              </w:rPr>
              <w:t>Aviso N.º</w:t>
            </w:r>
            <w:r w:rsidR="00CC5016" w:rsidRPr="00CE00D7">
              <w:rPr>
                <w:rFonts w:ascii="Arial Black" w:hAnsi="Arial Black"/>
                <w:caps/>
                <w:sz w:val="15"/>
                <w:lang w:val="es-ES_tradnl"/>
              </w:rPr>
              <w:t xml:space="preserve"> </w:t>
            </w:r>
            <w:r w:rsidR="00CE00D7" w:rsidRPr="00CE00D7">
              <w:rPr>
                <w:rFonts w:ascii="Arial Black" w:hAnsi="Arial Black"/>
                <w:caps/>
                <w:sz w:val="15"/>
                <w:lang w:val="es-ES_tradnl"/>
              </w:rPr>
              <w:t>35</w:t>
            </w:r>
            <w:r w:rsidR="00CC5016" w:rsidRPr="00CE00D7">
              <w:rPr>
                <w:rFonts w:ascii="Arial Black" w:hAnsi="Arial Black"/>
                <w:caps/>
                <w:sz w:val="15"/>
                <w:lang w:val="es-ES_tradnl"/>
              </w:rPr>
              <w:t>/20</w:t>
            </w:r>
            <w:r w:rsidR="00EC26A8" w:rsidRPr="00CE00D7">
              <w:rPr>
                <w:rFonts w:ascii="Arial Black" w:hAnsi="Arial Black"/>
                <w:caps/>
                <w:sz w:val="15"/>
                <w:lang w:val="es-ES_tradnl"/>
              </w:rPr>
              <w:t>20</w:t>
            </w:r>
          </w:p>
          <w:p w14:paraId="3787DD16" w14:textId="653228B2" w:rsidR="008B2CC1" w:rsidRPr="00CE00D7" w:rsidRDefault="001D6357" w:rsidP="002303FA">
            <w:pPr>
              <w:ind w:right="75"/>
              <w:jc w:val="right"/>
              <w:rPr>
                <w:rFonts w:ascii="Arial Black" w:hAnsi="Arial Black"/>
                <w:caps/>
                <w:sz w:val="15"/>
                <w:lang w:val="es-ES_tradnl"/>
              </w:rPr>
            </w:pPr>
            <w:r w:rsidRPr="00CE00D7">
              <w:rPr>
                <w:rFonts w:ascii="Arial Black" w:hAnsi="Arial Black"/>
                <w:caps/>
                <w:sz w:val="15"/>
                <w:lang w:val="es-ES_tradnl"/>
              </w:rPr>
              <w:t xml:space="preserve"> </w:t>
            </w:r>
            <w:bookmarkStart w:id="1" w:name="Date"/>
            <w:bookmarkEnd w:id="1"/>
          </w:p>
        </w:tc>
      </w:tr>
    </w:tbl>
    <w:p w14:paraId="031D5946" w14:textId="1343BA37" w:rsidR="00492F44" w:rsidRPr="00CE00D7" w:rsidRDefault="002439F7" w:rsidP="00F10E66">
      <w:pPr>
        <w:autoSpaceDE w:val="0"/>
        <w:autoSpaceDN w:val="0"/>
        <w:adjustRightInd w:val="0"/>
        <w:spacing w:before="1200"/>
        <w:rPr>
          <w:b/>
          <w:bCs/>
          <w:sz w:val="28"/>
          <w:szCs w:val="28"/>
          <w:lang w:val="es-ES_tradnl"/>
        </w:rPr>
      </w:pPr>
      <w:r w:rsidRPr="00CE00D7">
        <w:rPr>
          <w:b/>
          <w:bCs/>
          <w:sz w:val="28"/>
          <w:szCs w:val="28"/>
          <w:lang w:val="es-ES_tradnl"/>
        </w:rPr>
        <w:t xml:space="preserve">Arreglo de La Haya </w:t>
      </w:r>
      <w:r w:rsidR="007B4EAA" w:rsidRPr="00CE00D7">
        <w:rPr>
          <w:b/>
          <w:bCs/>
          <w:sz w:val="28"/>
          <w:szCs w:val="28"/>
          <w:lang w:val="es-ES_tradnl"/>
        </w:rPr>
        <w:t>R</w:t>
      </w:r>
      <w:r w:rsidRPr="00CE00D7">
        <w:rPr>
          <w:b/>
          <w:bCs/>
          <w:sz w:val="28"/>
          <w:szCs w:val="28"/>
          <w:lang w:val="es-ES_tradnl"/>
        </w:rPr>
        <w:t xml:space="preserve">elativo al </w:t>
      </w:r>
      <w:r w:rsidR="007B4EAA" w:rsidRPr="00CE00D7">
        <w:rPr>
          <w:b/>
          <w:bCs/>
          <w:sz w:val="28"/>
          <w:szCs w:val="28"/>
          <w:lang w:val="es-ES_tradnl"/>
        </w:rPr>
        <w:t>R</w:t>
      </w:r>
      <w:r w:rsidRPr="00CE00D7">
        <w:rPr>
          <w:b/>
          <w:bCs/>
          <w:sz w:val="28"/>
          <w:szCs w:val="28"/>
          <w:lang w:val="es-ES_tradnl"/>
        </w:rPr>
        <w:t xml:space="preserve">egistro </w:t>
      </w:r>
      <w:r w:rsidR="007B4EAA" w:rsidRPr="00CE00D7">
        <w:rPr>
          <w:b/>
          <w:bCs/>
          <w:sz w:val="28"/>
          <w:szCs w:val="28"/>
          <w:lang w:val="es-ES_tradnl"/>
        </w:rPr>
        <w:t>I</w:t>
      </w:r>
      <w:r w:rsidRPr="00CE00D7">
        <w:rPr>
          <w:b/>
          <w:bCs/>
          <w:sz w:val="28"/>
          <w:szCs w:val="28"/>
          <w:lang w:val="es-ES_tradnl"/>
        </w:rPr>
        <w:t xml:space="preserve">nternacional de </w:t>
      </w:r>
      <w:r w:rsidR="007B4EAA" w:rsidRPr="00CE00D7">
        <w:rPr>
          <w:b/>
          <w:bCs/>
          <w:sz w:val="28"/>
          <w:szCs w:val="28"/>
          <w:lang w:val="es-ES_tradnl"/>
        </w:rPr>
        <w:t>D</w:t>
      </w:r>
      <w:r w:rsidRPr="00CE00D7">
        <w:rPr>
          <w:b/>
          <w:bCs/>
          <w:sz w:val="28"/>
          <w:szCs w:val="28"/>
          <w:lang w:val="es-ES_tradnl"/>
        </w:rPr>
        <w:t xml:space="preserve">ibujos y </w:t>
      </w:r>
      <w:r w:rsidR="007B4EAA" w:rsidRPr="00CE00D7">
        <w:rPr>
          <w:b/>
          <w:bCs/>
          <w:sz w:val="28"/>
          <w:szCs w:val="28"/>
          <w:lang w:val="es-ES_tradnl"/>
        </w:rPr>
        <w:t>M</w:t>
      </w:r>
      <w:r w:rsidRPr="00CE00D7">
        <w:rPr>
          <w:b/>
          <w:bCs/>
          <w:sz w:val="28"/>
          <w:szCs w:val="28"/>
          <w:lang w:val="es-ES_tradnl"/>
        </w:rPr>
        <w:t xml:space="preserve">odelos </w:t>
      </w:r>
      <w:r w:rsidR="007B4EAA" w:rsidRPr="00CE00D7">
        <w:rPr>
          <w:b/>
          <w:bCs/>
          <w:sz w:val="28"/>
          <w:szCs w:val="28"/>
          <w:lang w:val="es-ES_tradnl"/>
        </w:rPr>
        <w:t>I</w:t>
      </w:r>
      <w:r w:rsidRPr="00CE00D7">
        <w:rPr>
          <w:b/>
          <w:bCs/>
          <w:sz w:val="28"/>
          <w:szCs w:val="28"/>
          <w:lang w:val="es-ES_tradnl"/>
        </w:rPr>
        <w:t>ndustriales</w:t>
      </w:r>
    </w:p>
    <w:p w14:paraId="675688A2" w14:textId="3F680542" w:rsidR="00492F44" w:rsidRPr="00CE00D7" w:rsidRDefault="002C0543" w:rsidP="002C0543">
      <w:pPr>
        <w:autoSpaceDE w:val="0"/>
        <w:autoSpaceDN w:val="0"/>
        <w:adjustRightInd w:val="0"/>
        <w:spacing w:before="720" w:after="240"/>
        <w:rPr>
          <w:b/>
          <w:bCs/>
          <w:sz w:val="24"/>
          <w:szCs w:val="24"/>
          <w:lang w:val="es-ES_tradnl"/>
        </w:rPr>
      </w:pPr>
      <w:bookmarkStart w:id="2" w:name="_GoBack"/>
      <w:r w:rsidRPr="00CE00D7">
        <w:rPr>
          <w:rFonts w:eastAsia="Arial"/>
          <w:b/>
          <w:bCs/>
          <w:sz w:val="24"/>
          <w:szCs w:val="24"/>
          <w:lang w:val="es-ES_tradnl"/>
        </w:rPr>
        <w:t>Modifica</w:t>
      </w:r>
      <w:r w:rsidR="000738EC" w:rsidRPr="00CE00D7">
        <w:rPr>
          <w:rFonts w:eastAsia="Arial"/>
          <w:b/>
          <w:bCs/>
          <w:sz w:val="24"/>
          <w:szCs w:val="24"/>
          <w:lang w:val="es-ES_tradnl"/>
        </w:rPr>
        <w:t xml:space="preserve">ciones </w:t>
      </w:r>
      <w:r w:rsidR="000B7AD1" w:rsidRPr="00CE00D7">
        <w:rPr>
          <w:rFonts w:eastAsia="Arial"/>
          <w:b/>
          <w:bCs/>
          <w:sz w:val="24"/>
          <w:szCs w:val="24"/>
          <w:lang w:val="es-ES_tradnl"/>
        </w:rPr>
        <w:t>d</w:t>
      </w:r>
      <w:r w:rsidR="000738EC" w:rsidRPr="00CE00D7">
        <w:rPr>
          <w:rFonts w:eastAsia="Arial"/>
          <w:b/>
          <w:bCs/>
          <w:sz w:val="24"/>
          <w:szCs w:val="24"/>
          <w:lang w:val="es-ES_tradnl"/>
        </w:rPr>
        <w:t xml:space="preserve">e la tasa de designación: </w:t>
      </w:r>
      <w:r w:rsidR="007B4EAA" w:rsidRPr="00CE00D7">
        <w:rPr>
          <w:rFonts w:eastAsia="Arial"/>
          <w:b/>
          <w:bCs/>
          <w:sz w:val="24"/>
          <w:szCs w:val="24"/>
          <w:lang w:val="es-ES_tradnl"/>
        </w:rPr>
        <w:t xml:space="preserve"> </w:t>
      </w:r>
      <w:r w:rsidR="000738EC" w:rsidRPr="00CE00D7">
        <w:rPr>
          <w:b/>
          <w:bCs/>
          <w:sz w:val="24"/>
          <w:szCs w:val="24"/>
          <w:lang w:val="es-ES_tradnl"/>
        </w:rPr>
        <w:t>Repú</w:t>
      </w:r>
      <w:r w:rsidRPr="00CE00D7">
        <w:rPr>
          <w:b/>
          <w:bCs/>
          <w:sz w:val="24"/>
          <w:szCs w:val="24"/>
          <w:lang w:val="es-ES_tradnl"/>
        </w:rPr>
        <w:t>blic</w:t>
      </w:r>
      <w:r w:rsidR="000738EC" w:rsidRPr="00CE00D7">
        <w:rPr>
          <w:b/>
          <w:bCs/>
          <w:sz w:val="24"/>
          <w:szCs w:val="24"/>
          <w:lang w:val="es-ES_tradnl"/>
        </w:rPr>
        <w:t>a de Corea</w:t>
      </w:r>
    </w:p>
    <w:bookmarkEnd w:id="2"/>
    <w:p w14:paraId="65B7813F" w14:textId="2564BF7E" w:rsidR="00492F44" w:rsidRPr="00CE00D7" w:rsidRDefault="00492F44" w:rsidP="00492F44">
      <w:pPr>
        <w:pStyle w:val="ONUME"/>
        <w:rPr>
          <w:lang w:val="es-ES_tradnl"/>
        </w:rPr>
      </w:pPr>
      <w:r w:rsidRPr="00CE00D7">
        <w:rPr>
          <w:lang w:val="es-ES_tradnl"/>
        </w:rPr>
        <w:t xml:space="preserve">Cabe recordar que, en el momento de su adhesión al Acta de Ginebra del Arreglo de La Haya </w:t>
      </w:r>
      <w:r w:rsidR="008E58E1" w:rsidRPr="00CE00D7">
        <w:rPr>
          <w:lang w:val="es-ES_tradnl"/>
        </w:rPr>
        <w:t>R</w:t>
      </w:r>
      <w:r w:rsidRPr="00CE00D7">
        <w:rPr>
          <w:lang w:val="es-ES_tradnl"/>
        </w:rPr>
        <w:t xml:space="preserve">elativo al </w:t>
      </w:r>
      <w:r w:rsidR="008E58E1" w:rsidRPr="00CE00D7">
        <w:rPr>
          <w:lang w:val="es-ES_tradnl"/>
        </w:rPr>
        <w:t>R</w:t>
      </w:r>
      <w:r w:rsidRPr="00CE00D7">
        <w:rPr>
          <w:lang w:val="es-ES_tradnl"/>
        </w:rPr>
        <w:t xml:space="preserve">egistro </w:t>
      </w:r>
      <w:r w:rsidR="008E58E1" w:rsidRPr="00CE00D7">
        <w:rPr>
          <w:lang w:val="es-ES_tradnl"/>
        </w:rPr>
        <w:t>I</w:t>
      </w:r>
      <w:r w:rsidRPr="00CE00D7">
        <w:rPr>
          <w:lang w:val="es-ES_tradnl"/>
        </w:rPr>
        <w:t xml:space="preserve">nternacional de </w:t>
      </w:r>
      <w:r w:rsidR="008E58E1" w:rsidRPr="00CE00D7">
        <w:rPr>
          <w:lang w:val="es-ES_tradnl"/>
        </w:rPr>
        <w:t>D</w:t>
      </w:r>
      <w:r w:rsidRPr="00CE00D7">
        <w:rPr>
          <w:lang w:val="es-ES_tradnl"/>
        </w:rPr>
        <w:t xml:space="preserve">ibujos y </w:t>
      </w:r>
      <w:r w:rsidR="008E58E1" w:rsidRPr="00CE00D7">
        <w:rPr>
          <w:lang w:val="es-ES_tradnl"/>
        </w:rPr>
        <w:t>M</w:t>
      </w:r>
      <w:r w:rsidRPr="00CE00D7">
        <w:rPr>
          <w:lang w:val="es-ES_tradnl"/>
        </w:rPr>
        <w:t xml:space="preserve">odelos </w:t>
      </w:r>
      <w:r w:rsidR="008E58E1" w:rsidRPr="00CE00D7">
        <w:rPr>
          <w:lang w:val="es-ES_tradnl"/>
        </w:rPr>
        <w:t>I</w:t>
      </w:r>
      <w:r w:rsidRPr="00CE00D7">
        <w:rPr>
          <w:lang w:val="es-ES_tradnl"/>
        </w:rPr>
        <w:t>ndustriales (</w:t>
      </w:r>
      <w:r w:rsidR="001B6FF9" w:rsidRPr="00CE00D7">
        <w:rPr>
          <w:lang w:val="es-ES_tradnl"/>
        </w:rPr>
        <w:t>“</w:t>
      </w:r>
      <w:r w:rsidRPr="00CE00D7">
        <w:rPr>
          <w:lang w:val="es-ES_tradnl"/>
        </w:rPr>
        <w:t>Acta de 1999</w:t>
      </w:r>
      <w:r w:rsidR="001B6FF9" w:rsidRPr="00CE00D7">
        <w:rPr>
          <w:lang w:val="es-ES_tradnl"/>
        </w:rPr>
        <w:t>”</w:t>
      </w:r>
      <w:r w:rsidRPr="00CE00D7">
        <w:rPr>
          <w:lang w:val="es-ES_tradnl"/>
        </w:rPr>
        <w:t xml:space="preserve">), el Gobierno de la República de Corea </w:t>
      </w:r>
      <w:r w:rsidR="001B6FF9" w:rsidRPr="00CE00D7">
        <w:rPr>
          <w:lang w:val="es-ES_tradnl"/>
        </w:rPr>
        <w:t>realizó</w:t>
      </w:r>
      <w:r w:rsidRPr="00CE00D7">
        <w:rPr>
          <w:lang w:val="es-ES_tradnl"/>
        </w:rPr>
        <w:t xml:space="preserve"> una declaración en virtud del Artículo 7</w:t>
      </w:r>
      <w:r w:rsidR="001B6FF9" w:rsidRPr="00CE00D7">
        <w:rPr>
          <w:lang w:val="es-ES_tradnl"/>
        </w:rPr>
        <w:t>.</w:t>
      </w:r>
      <w:r w:rsidRPr="00CE00D7">
        <w:rPr>
          <w:lang w:val="es-ES_tradnl"/>
        </w:rPr>
        <w:t xml:space="preserve">2) del Acta de 1999 y una declaración en virtud de la Regla </w:t>
      </w:r>
      <w:proofErr w:type="gramStart"/>
      <w:r w:rsidRPr="00CE00D7">
        <w:rPr>
          <w:lang w:val="es-ES_tradnl"/>
        </w:rPr>
        <w:t>12.</w:t>
      </w:r>
      <w:r w:rsidR="001B6FF9" w:rsidRPr="00CE00D7">
        <w:rPr>
          <w:lang w:val="es-ES_tradnl"/>
        </w:rPr>
        <w:t>1)c</w:t>
      </w:r>
      <w:proofErr w:type="gramEnd"/>
      <w:r w:rsidR="001B6FF9" w:rsidRPr="00CE00D7">
        <w:rPr>
          <w:lang w:val="es-ES_tradnl"/>
        </w:rPr>
        <w:t>)</w:t>
      </w:r>
      <w:r w:rsidRPr="00CE00D7">
        <w:rPr>
          <w:lang w:val="es-ES_tradnl"/>
        </w:rPr>
        <w:t>i) del Reglamento Común del Acta de</w:t>
      </w:r>
      <w:r w:rsidR="00005820" w:rsidRPr="00CE00D7">
        <w:rPr>
          <w:lang w:val="es-ES_tradnl"/>
        </w:rPr>
        <w:t> </w:t>
      </w:r>
      <w:r w:rsidRPr="00CE00D7">
        <w:rPr>
          <w:lang w:val="es-ES_tradnl"/>
        </w:rPr>
        <w:t>1999 y del Acta de 1960 del Arreglo de La Haya (</w:t>
      </w:r>
      <w:r w:rsidR="001B6FF9" w:rsidRPr="00CE00D7">
        <w:rPr>
          <w:lang w:val="es-ES_tradnl"/>
        </w:rPr>
        <w:t>“</w:t>
      </w:r>
      <w:r w:rsidRPr="00CE00D7">
        <w:rPr>
          <w:lang w:val="es-ES_tradnl"/>
        </w:rPr>
        <w:t>Reglamento Común</w:t>
      </w:r>
      <w:r w:rsidR="001B6FF9" w:rsidRPr="00CE00D7">
        <w:rPr>
          <w:lang w:val="es-ES_tradnl"/>
        </w:rPr>
        <w:t>”</w:t>
      </w:r>
      <w:r w:rsidRPr="00CE00D7">
        <w:rPr>
          <w:lang w:val="es-ES_tradnl"/>
        </w:rPr>
        <w:t>).</w:t>
      </w:r>
    </w:p>
    <w:p w14:paraId="5AA558AD" w14:textId="3091C22F" w:rsidR="00492F44" w:rsidRPr="00CE00D7" w:rsidRDefault="00492F44" w:rsidP="00EB4183">
      <w:pPr>
        <w:pStyle w:val="ONUME"/>
        <w:spacing w:after="240"/>
        <w:rPr>
          <w:lang w:val="es-ES_tradnl"/>
        </w:rPr>
      </w:pPr>
      <w:r w:rsidRPr="00CE00D7">
        <w:rPr>
          <w:lang w:val="es-ES_tradnl"/>
        </w:rPr>
        <w:t xml:space="preserve">De conformidad con esas dos declaraciones, el nivel tres de la tasa de designación estándar se aplica a las solicitudes internacionales relativas a productos comprendidos en las clases 2, 5 o 19 de la </w:t>
      </w:r>
      <w:r w:rsidR="007067DE" w:rsidRPr="00CE00D7">
        <w:rPr>
          <w:lang w:val="es-ES_tradnl"/>
        </w:rPr>
        <w:t>C</w:t>
      </w:r>
      <w:proofErr w:type="spellStart"/>
      <w:r w:rsidR="007067DE" w:rsidRPr="00CE00D7">
        <w:rPr>
          <w:color w:val="3B3B3B"/>
          <w:lang w:val="es-ES"/>
        </w:rPr>
        <w:t>lasificación</w:t>
      </w:r>
      <w:proofErr w:type="spellEnd"/>
      <w:r w:rsidR="00F82164" w:rsidRPr="00CE00D7">
        <w:rPr>
          <w:color w:val="3B3B3B"/>
          <w:lang w:val="es-ES"/>
        </w:rPr>
        <w:t xml:space="preserve"> Internacional para </w:t>
      </w:r>
      <w:r w:rsidR="007067DE" w:rsidRPr="00CE00D7">
        <w:rPr>
          <w:color w:val="3B3B3B"/>
          <w:lang w:val="es-ES"/>
        </w:rPr>
        <w:t xml:space="preserve">los </w:t>
      </w:r>
      <w:r w:rsidR="00F82164" w:rsidRPr="00CE00D7">
        <w:rPr>
          <w:color w:val="3B3B3B"/>
          <w:lang w:val="es-ES"/>
        </w:rPr>
        <w:t>Dibujos y M</w:t>
      </w:r>
      <w:r w:rsidR="007067DE" w:rsidRPr="00CE00D7">
        <w:rPr>
          <w:color w:val="3B3B3B"/>
          <w:lang w:val="es-ES"/>
        </w:rPr>
        <w:t xml:space="preserve">odelos </w:t>
      </w:r>
      <w:r w:rsidR="00F82164" w:rsidRPr="00CE00D7">
        <w:rPr>
          <w:color w:val="3B3B3B"/>
          <w:lang w:val="es-ES"/>
        </w:rPr>
        <w:t>I</w:t>
      </w:r>
      <w:r w:rsidR="007067DE" w:rsidRPr="00CE00D7">
        <w:rPr>
          <w:color w:val="3B3B3B"/>
          <w:lang w:val="es-ES"/>
        </w:rPr>
        <w:t>ndustriales (“</w:t>
      </w:r>
      <w:r w:rsidRPr="00CE00D7">
        <w:rPr>
          <w:lang w:val="es-ES_tradnl"/>
        </w:rPr>
        <w:t>Clasificación</w:t>
      </w:r>
      <w:r w:rsidR="007067DE" w:rsidRPr="00CE00D7">
        <w:rPr>
          <w:lang w:val="es-ES_tradnl"/>
        </w:rPr>
        <w:t> </w:t>
      </w:r>
      <w:r w:rsidRPr="00CE00D7">
        <w:rPr>
          <w:lang w:val="es-ES_tradnl"/>
        </w:rPr>
        <w:t>de</w:t>
      </w:r>
      <w:r w:rsidR="007067DE" w:rsidRPr="00CE00D7">
        <w:rPr>
          <w:lang w:val="es-ES_tradnl"/>
        </w:rPr>
        <w:t> </w:t>
      </w:r>
      <w:proofErr w:type="spellStart"/>
      <w:r w:rsidRPr="00CE00D7">
        <w:rPr>
          <w:lang w:val="es-ES_tradnl"/>
        </w:rPr>
        <w:t>Locarno</w:t>
      </w:r>
      <w:proofErr w:type="spellEnd"/>
      <w:r w:rsidR="007067DE" w:rsidRPr="00CE00D7">
        <w:rPr>
          <w:lang w:val="es-ES_tradnl"/>
        </w:rPr>
        <w:t>”)</w:t>
      </w:r>
      <w:r w:rsidRPr="00CE00D7">
        <w:rPr>
          <w:lang w:val="es-ES_tradnl"/>
        </w:rPr>
        <w:t>, mientras que la tasa de designación individual se aplica a las solicitudes internacionales relativas a productos comprendidos en cualquier otra clase y a la renovación de los registros internacionales resultantes de dichas solicitudes</w:t>
      </w:r>
      <w:r w:rsidR="000B44A2" w:rsidRPr="00CE00D7">
        <w:rPr>
          <w:rStyle w:val="FootnoteReference"/>
          <w:lang w:val="es-ES_tradnl"/>
        </w:rPr>
        <w:footnoteReference w:id="2"/>
      </w:r>
      <w:r w:rsidRPr="00CE00D7">
        <w:rPr>
          <w:lang w:val="es-ES_tradnl"/>
        </w:rPr>
        <w:t>.</w:t>
      </w:r>
    </w:p>
    <w:p w14:paraId="21FD79FF" w14:textId="5E553210" w:rsidR="00492F44" w:rsidRPr="00CE00D7" w:rsidRDefault="00492F44" w:rsidP="00EB4183">
      <w:pPr>
        <w:pStyle w:val="ONUME"/>
        <w:spacing w:after="240"/>
        <w:rPr>
          <w:lang w:val="es-ES_tradnl"/>
        </w:rPr>
      </w:pPr>
      <w:r w:rsidRPr="00CE00D7">
        <w:rPr>
          <w:lang w:val="es-ES_tradnl"/>
        </w:rPr>
        <w:t xml:space="preserve">El Gobierno de la República de Corea ha notificado al </w:t>
      </w:r>
      <w:r w:rsidR="00C661FF" w:rsidRPr="00CE00D7">
        <w:rPr>
          <w:lang w:val="es-ES_tradnl"/>
        </w:rPr>
        <w:t>D</w:t>
      </w:r>
      <w:r w:rsidRPr="00CE00D7">
        <w:rPr>
          <w:lang w:val="es-ES_tradnl"/>
        </w:rPr>
        <w:t xml:space="preserve">irector </w:t>
      </w:r>
      <w:r w:rsidR="00C661FF" w:rsidRPr="00CE00D7">
        <w:rPr>
          <w:lang w:val="es-ES_tradnl"/>
        </w:rPr>
        <w:t>G</w:t>
      </w:r>
      <w:r w:rsidRPr="00CE00D7">
        <w:rPr>
          <w:lang w:val="es-ES_tradnl"/>
        </w:rPr>
        <w:t>eneral de la Organización Mundial de la Propiedad Intelectual (OMPI) las nuevas declaraciones que modifican el alcance de las dos declaraciones mencionadas, especificando que:</w:t>
      </w:r>
    </w:p>
    <w:p w14:paraId="26E13379" w14:textId="7EE9C553" w:rsidR="00492F44" w:rsidRPr="00CE00D7" w:rsidRDefault="00492F44" w:rsidP="008E58E1">
      <w:pPr>
        <w:pStyle w:val="ONUME"/>
        <w:numPr>
          <w:ilvl w:val="0"/>
          <w:numId w:val="12"/>
        </w:numPr>
        <w:spacing w:after="240"/>
        <w:ind w:left="540" w:firstLine="0"/>
        <w:rPr>
          <w:lang w:val="es-ES_tradnl"/>
        </w:rPr>
      </w:pPr>
      <w:r w:rsidRPr="00CE00D7">
        <w:rPr>
          <w:lang w:val="es-ES_tradnl"/>
        </w:rPr>
        <w:t xml:space="preserve">el nivel tres de la tasa de designación estándar se aplicará a las solicitudes internacionales relativas a productos comprendidos en las clases 1, 2, 3, 5, 9, 11 o 19 de la Clasificación de </w:t>
      </w:r>
      <w:proofErr w:type="spellStart"/>
      <w:proofErr w:type="gramStart"/>
      <w:r w:rsidRPr="00CE00D7">
        <w:rPr>
          <w:lang w:val="es-ES_tradnl"/>
        </w:rPr>
        <w:t>Locarno</w:t>
      </w:r>
      <w:proofErr w:type="spellEnd"/>
      <w:r w:rsidRPr="00CE00D7">
        <w:rPr>
          <w:lang w:val="es-ES_tradnl"/>
        </w:rPr>
        <w:t xml:space="preserve">; </w:t>
      </w:r>
      <w:r w:rsidR="00604D80" w:rsidRPr="00CE00D7">
        <w:rPr>
          <w:lang w:val="es-ES_tradnl"/>
        </w:rPr>
        <w:t xml:space="preserve"> </w:t>
      </w:r>
      <w:r w:rsidRPr="00CE00D7">
        <w:rPr>
          <w:lang w:val="es-ES_tradnl"/>
        </w:rPr>
        <w:t>y</w:t>
      </w:r>
      <w:proofErr w:type="gramEnd"/>
    </w:p>
    <w:p w14:paraId="62EA9784" w14:textId="729E3EAA" w:rsidR="00492F44" w:rsidRPr="00CE00D7" w:rsidRDefault="00492F44" w:rsidP="008E58E1">
      <w:pPr>
        <w:pStyle w:val="ONUME"/>
        <w:numPr>
          <w:ilvl w:val="0"/>
          <w:numId w:val="12"/>
        </w:numPr>
        <w:ind w:left="540" w:firstLine="0"/>
        <w:rPr>
          <w:lang w:val="es-ES_tradnl"/>
        </w:rPr>
      </w:pPr>
      <w:r w:rsidRPr="00CE00D7">
        <w:rPr>
          <w:lang w:val="es-ES_tradnl"/>
        </w:rPr>
        <w:t xml:space="preserve">la tasa de designación individual se aplicará a las solicitudes internacionales relativas a productos comprendidos en cualquier otra clase y a la renovación de </w:t>
      </w:r>
      <w:r w:rsidR="001B6FF9" w:rsidRPr="00CE00D7">
        <w:rPr>
          <w:lang w:val="es-ES_tradnl"/>
        </w:rPr>
        <w:t>los</w:t>
      </w:r>
      <w:r w:rsidRPr="00CE00D7">
        <w:rPr>
          <w:lang w:val="es-ES_tradnl"/>
        </w:rPr>
        <w:t xml:space="preserve"> registro</w:t>
      </w:r>
      <w:r w:rsidR="001B6FF9" w:rsidRPr="00CE00D7">
        <w:rPr>
          <w:lang w:val="es-ES_tradnl"/>
        </w:rPr>
        <w:t>s</w:t>
      </w:r>
      <w:r w:rsidRPr="00CE00D7">
        <w:rPr>
          <w:lang w:val="es-ES_tradnl"/>
        </w:rPr>
        <w:t xml:space="preserve"> internacional</w:t>
      </w:r>
      <w:r w:rsidR="001B6FF9" w:rsidRPr="00CE00D7">
        <w:rPr>
          <w:lang w:val="es-ES_tradnl"/>
        </w:rPr>
        <w:t>es</w:t>
      </w:r>
      <w:r w:rsidRPr="00CE00D7">
        <w:rPr>
          <w:lang w:val="es-ES_tradnl"/>
        </w:rPr>
        <w:t xml:space="preserve"> resultante de dicha</w:t>
      </w:r>
      <w:r w:rsidR="001B6FF9" w:rsidRPr="00CE00D7">
        <w:rPr>
          <w:lang w:val="es-ES_tradnl"/>
        </w:rPr>
        <w:t>s</w:t>
      </w:r>
      <w:r w:rsidRPr="00CE00D7">
        <w:rPr>
          <w:lang w:val="es-ES_tradnl"/>
        </w:rPr>
        <w:t xml:space="preserve"> solicitud</w:t>
      </w:r>
      <w:r w:rsidR="001B6FF9" w:rsidRPr="00CE00D7">
        <w:rPr>
          <w:lang w:val="es-ES_tradnl"/>
        </w:rPr>
        <w:t>es</w:t>
      </w:r>
      <w:r w:rsidRPr="00CE00D7">
        <w:rPr>
          <w:lang w:val="es-ES_tradnl"/>
        </w:rPr>
        <w:t>.</w:t>
      </w:r>
    </w:p>
    <w:p w14:paraId="54B0D13C" w14:textId="77777777" w:rsidR="00492F44" w:rsidRPr="00CE00D7" w:rsidRDefault="002C0543" w:rsidP="008E58E1">
      <w:pPr>
        <w:ind w:left="540"/>
        <w:rPr>
          <w:lang w:val="es-ES_tradnl"/>
        </w:rPr>
      </w:pPr>
      <w:r w:rsidRPr="00CE00D7">
        <w:rPr>
          <w:lang w:val="es-ES_tradnl"/>
        </w:rPr>
        <w:br w:type="page"/>
      </w:r>
    </w:p>
    <w:p w14:paraId="293F5D19" w14:textId="393877AD" w:rsidR="002C0543" w:rsidRPr="00CE00D7" w:rsidRDefault="00492F44" w:rsidP="00EB4183">
      <w:pPr>
        <w:pStyle w:val="ONUME"/>
        <w:spacing w:after="240"/>
        <w:rPr>
          <w:rFonts w:eastAsia="Arial"/>
          <w:szCs w:val="22"/>
          <w:lang w:val="es-ES_tradnl"/>
        </w:rPr>
      </w:pPr>
      <w:r w:rsidRPr="00CE00D7">
        <w:rPr>
          <w:rFonts w:eastAsia="Arial"/>
          <w:szCs w:val="22"/>
          <w:lang w:val="es-ES_tradnl"/>
        </w:rPr>
        <w:lastRenderedPageBreak/>
        <w:t xml:space="preserve">Con respecto a la declaración modificada </w:t>
      </w:r>
      <w:r w:rsidR="001B6FF9" w:rsidRPr="00CE00D7">
        <w:rPr>
          <w:rFonts w:eastAsia="Arial"/>
          <w:szCs w:val="22"/>
          <w:lang w:val="es-ES_tradnl"/>
        </w:rPr>
        <w:t>en virtud d</w:t>
      </w:r>
      <w:r w:rsidRPr="00CE00D7">
        <w:rPr>
          <w:rFonts w:eastAsia="Arial"/>
          <w:szCs w:val="22"/>
          <w:lang w:val="es-ES_tradnl"/>
        </w:rPr>
        <w:t xml:space="preserve">el Artículo 7.2) del Acta de 1999, de conformidad con lo dispuesto en el Artículo </w:t>
      </w:r>
      <w:proofErr w:type="gramStart"/>
      <w:r w:rsidRPr="00CE00D7">
        <w:rPr>
          <w:rFonts w:eastAsia="Arial"/>
          <w:szCs w:val="22"/>
          <w:lang w:val="es-ES_tradnl"/>
        </w:rPr>
        <w:t>28.2)b</w:t>
      </w:r>
      <w:proofErr w:type="gramEnd"/>
      <w:r w:rsidRPr="00CE00D7">
        <w:rPr>
          <w:rFonts w:eastAsia="Arial"/>
          <w:szCs w:val="22"/>
          <w:lang w:val="es-ES_tradnl"/>
        </w:rPr>
        <w:t xml:space="preserve">) del Reglamento Común, el director general de la OMPI ha fijado, tras consultar con la Oficina Surcoreana de Propiedad Intelectual (KIPO), los siguientes nuevos importes, en francos suizos, de la tasa de designación individual </w:t>
      </w:r>
      <w:r w:rsidR="008E58E1" w:rsidRPr="00CE00D7">
        <w:rPr>
          <w:lang w:val="es-419"/>
        </w:rPr>
        <w:t>pagadera con</w:t>
      </w:r>
      <w:r w:rsidRPr="00CE00D7">
        <w:rPr>
          <w:rFonts w:eastAsia="Arial"/>
          <w:szCs w:val="22"/>
          <w:lang w:val="es-ES_tradnl"/>
        </w:rPr>
        <w:t xml:space="preserve"> respecto </w:t>
      </w:r>
      <w:r w:rsidR="00BA4E1A" w:rsidRPr="00CE00D7">
        <w:rPr>
          <w:rFonts w:eastAsia="Arial"/>
          <w:szCs w:val="22"/>
          <w:lang w:val="es-ES_tradnl"/>
        </w:rPr>
        <w:t>a</w:t>
      </w:r>
      <w:r w:rsidRPr="00CE00D7">
        <w:rPr>
          <w:rFonts w:eastAsia="Arial"/>
          <w:szCs w:val="22"/>
          <w:lang w:val="es-ES_tradnl"/>
        </w:rPr>
        <w:t xml:space="preserve"> la República de Corea:</w:t>
      </w:r>
    </w:p>
    <w:tbl>
      <w:tblPr>
        <w:tblW w:w="8677" w:type="dxa"/>
        <w:tblInd w:w="107" w:type="dxa"/>
        <w:tblLayout w:type="fixed"/>
        <w:tblCellMar>
          <w:left w:w="0" w:type="dxa"/>
          <w:right w:w="0" w:type="dxa"/>
        </w:tblCellMar>
        <w:tblLook w:val="01E0" w:firstRow="1" w:lastRow="1" w:firstColumn="1" w:lastColumn="1" w:noHBand="0" w:noVBand="0"/>
      </w:tblPr>
      <w:tblGrid>
        <w:gridCol w:w="3308"/>
        <w:gridCol w:w="2959"/>
        <w:gridCol w:w="2410"/>
      </w:tblGrid>
      <w:tr w:rsidR="002C0543" w:rsidRPr="00CE00D7" w14:paraId="1E623BD0" w14:textId="77777777" w:rsidTr="00E6440A">
        <w:trPr>
          <w:trHeight w:hRule="exact" w:val="680"/>
        </w:trPr>
        <w:tc>
          <w:tcPr>
            <w:tcW w:w="6267" w:type="dxa"/>
            <w:gridSpan w:val="2"/>
            <w:tcBorders>
              <w:top w:val="single" w:sz="4" w:space="0" w:color="000000"/>
              <w:left w:val="single" w:sz="4" w:space="0" w:color="000000"/>
              <w:bottom w:val="single" w:sz="4" w:space="0" w:color="000000"/>
              <w:right w:val="single" w:sz="4" w:space="0" w:color="000000"/>
            </w:tcBorders>
            <w:vAlign w:val="center"/>
          </w:tcPr>
          <w:p w14:paraId="7EE3588D" w14:textId="64A50BFA" w:rsidR="002C0543" w:rsidRPr="00CE00D7" w:rsidRDefault="00492F44" w:rsidP="00492F44">
            <w:pPr>
              <w:ind w:left="102" w:right="-20"/>
              <w:jc w:val="center"/>
              <w:rPr>
                <w:rFonts w:eastAsia="Arial"/>
                <w:b/>
                <w:bCs/>
                <w:lang w:val="es-ES_tradnl"/>
              </w:rPr>
            </w:pPr>
            <w:r w:rsidRPr="00CE00D7">
              <w:rPr>
                <w:rFonts w:eastAsia="Arial"/>
                <w:b/>
                <w:bCs/>
                <w:lang w:val="es-ES_tradnl"/>
              </w:rPr>
              <w:t>Tasa de designación individual</w:t>
            </w:r>
          </w:p>
        </w:tc>
        <w:tc>
          <w:tcPr>
            <w:tcW w:w="2410" w:type="dxa"/>
            <w:tcBorders>
              <w:top w:val="single" w:sz="4" w:space="0" w:color="000000"/>
              <w:left w:val="single" w:sz="4" w:space="0" w:color="000000"/>
              <w:bottom w:val="single" w:sz="4" w:space="0" w:color="000000"/>
              <w:right w:val="single" w:sz="4" w:space="0" w:color="000000"/>
            </w:tcBorders>
            <w:vAlign w:val="center"/>
          </w:tcPr>
          <w:p w14:paraId="278CD97C" w14:textId="4DC60DE2" w:rsidR="00492F44" w:rsidRPr="00CE00D7" w:rsidRDefault="00492F44" w:rsidP="00492F44">
            <w:pPr>
              <w:jc w:val="center"/>
              <w:rPr>
                <w:b/>
                <w:lang w:val="es-ES_tradnl"/>
              </w:rPr>
            </w:pPr>
            <w:r w:rsidRPr="00CE00D7">
              <w:rPr>
                <w:b/>
                <w:lang w:val="es-ES_tradnl"/>
              </w:rPr>
              <w:t>Importe</w:t>
            </w:r>
          </w:p>
          <w:p w14:paraId="2859F6EA" w14:textId="57FC14A8" w:rsidR="002C0543" w:rsidRPr="00CE00D7" w:rsidRDefault="00492F44" w:rsidP="00492F44">
            <w:pPr>
              <w:ind w:left="40"/>
              <w:jc w:val="center"/>
              <w:rPr>
                <w:rFonts w:eastAsia="Arial"/>
                <w:i/>
                <w:lang w:val="es-ES_tradnl"/>
              </w:rPr>
            </w:pPr>
            <w:r w:rsidRPr="00CE00D7">
              <w:rPr>
                <w:rFonts w:eastAsia="Arial"/>
                <w:i/>
                <w:lang w:val="es-ES_tradnl"/>
              </w:rPr>
              <w:t>(en francos suizos)</w:t>
            </w:r>
          </w:p>
        </w:tc>
      </w:tr>
      <w:tr w:rsidR="002C0543" w:rsidRPr="00CE00D7" w14:paraId="582EB4A7" w14:textId="77777777" w:rsidTr="00E6440A">
        <w:trPr>
          <w:trHeight w:hRule="exact" w:val="575"/>
        </w:trPr>
        <w:tc>
          <w:tcPr>
            <w:tcW w:w="3308" w:type="dxa"/>
            <w:tcBorders>
              <w:top w:val="single" w:sz="4" w:space="0" w:color="000000"/>
              <w:left w:val="single" w:sz="4" w:space="0" w:color="000000"/>
              <w:bottom w:val="single" w:sz="4" w:space="0" w:color="000000"/>
              <w:right w:val="single" w:sz="4" w:space="0" w:color="000000"/>
            </w:tcBorders>
            <w:vAlign w:val="center"/>
          </w:tcPr>
          <w:p w14:paraId="399D5502" w14:textId="5374A78F" w:rsidR="002C0543" w:rsidRPr="00CE00D7" w:rsidRDefault="00492F44" w:rsidP="00492F44">
            <w:pPr>
              <w:ind w:left="182" w:right="102"/>
              <w:rPr>
                <w:rFonts w:eastAsia="Arial"/>
                <w:lang w:val="es-ES_tradnl"/>
              </w:rPr>
            </w:pPr>
            <w:r w:rsidRPr="00CE00D7">
              <w:rPr>
                <w:rFonts w:eastAsia="Arial"/>
                <w:lang w:val="es-ES_tradnl"/>
              </w:rPr>
              <w:t>Solicitud internacional</w:t>
            </w:r>
          </w:p>
        </w:tc>
        <w:tc>
          <w:tcPr>
            <w:tcW w:w="2959" w:type="dxa"/>
            <w:tcBorders>
              <w:top w:val="single" w:sz="4" w:space="0" w:color="000000"/>
              <w:left w:val="single" w:sz="4" w:space="0" w:color="000000"/>
              <w:bottom w:val="single" w:sz="4" w:space="0" w:color="000000"/>
              <w:right w:val="single" w:sz="4" w:space="0" w:color="000000"/>
            </w:tcBorders>
            <w:vAlign w:val="center"/>
          </w:tcPr>
          <w:p w14:paraId="63D2FB47" w14:textId="4006C179" w:rsidR="002C0543" w:rsidRPr="00CE00D7" w:rsidRDefault="00492F44" w:rsidP="00492F44">
            <w:pPr>
              <w:pStyle w:val="BodyText"/>
              <w:tabs>
                <w:tab w:val="left" w:pos="141"/>
                <w:tab w:val="left" w:pos="567"/>
                <w:tab w:val="right" w:pos="8222"/>
              </w:tabs>
              <w:spacing w:after="0"/>
              <w:ind w:left="141"/>
              <w:rPr>
                <w:lang w:val="es-ES_tradnl"/>
              </w:rPr>
            </w:pPr>
            <w:r w:rsidRPr="00CE00D7">
              <w:rPr>
                <w:lang w:val="es-ES_tradnl"/>
              </w:rPr>
              <w:t>por cada dibujo o modelo industrial</w:t>
            </w:r>
          </w:p>
        </w:tc>
        <w:tc>
          <w:tcPr>
            <w:tcW w:w="2410" w:type="dxa"/>
            <w:tcBorders>
              <w:top w:val="single" w:sz="4" w:space="0" w:color="000000"/>
              <w:left w:val="single" w:sz="4" w:space="0" w:color="000000"/>
              <w:bottom w:val="single" w:sz="4" w:space="0" w:color="000000"/>
              <w:right w:val="single" w:sz="4" w:space="0" w:color="000000"/>
            </w:tcBorders>
            <w:vAlign w:val="center"/>
          </w:tcPr>
          <w:p w14:paraId="2FFEAC8F" w14:textId="77777777" w:rsidR="002C0543" w:rsidRPr="00CE00D7" w:rsidRDefault="002C0543" w:rsidP="00E6440A">
            <w:pPr>
              <w:tabs>
                <w:tab w:val="right" w:pos="1406"/>
              </w:tabs>
              <w:ind w:right="-4"/>
              <w:rPr>
                <w:rFonts w:eastAsia="Arial"/>
                <w:lang w:val="es-ES_tradnl"/>
              </w:rPr>
            </w:pPr>
            <w:r w:rsidRPr="00CE00D7">
              <w:rPr>
                <w:rFonts w:eastAsia="Arial"/>
                <w:lang w:val="es-ES_tradnl"/>
              </w:rPr>
              <w:tab/>
              <w:t>184</w:t>
            </w:r>
          </w:p>
        </w:tc>
      </w:tr>
      <w:tr w:rsidR="002C0543" w:rsidRPr="00CE00D7" w14:paraId="029E7C14" w14:textId="77777777" w:rsidTr="00E6440A">
        <w:trPr>
          <w:trHeight w:hRule="exact" w:val="569"/>
        </w:trPr>
        <w:tc>
          <w:tcPr>
            <w:tcW w:w="3308" w:type="dxa"/>
            <w:vMerge w:val="restart"/>
            <w:tcBorders>
              <w:top w:val="single" w:sz="4" w:space="0" w:color="000000"/>
              <w:left w:val="single" w:sz="4" w:space="0" w:color="000000"/>
              <w:right w:val="single" w:sz="4" w:space="0" w:color="000000"/>
            </w:tcBorders>
            <w:vAlign w:val="center"/>
          </w:tcPr>
          <w:p w14:paraId="12D5482E" w14:textId="786622E6" w:rsidR="002C0543" w:rsidRPr="00CE00D7" w:rsidRDefault="00492F44" w:rsidP="00492F44">
            <w:pPr>
              <w:pStyle w:val="BodyText"/>
              <w:tabs>
                <w:tab w:val="left" w:pos="1531"/>
                <w:tab w:val="left" w:pos="2098"/>
                <w:tab w:val="right" w:pos="8222"/>
              </w:tabs>
              <w:spacing w:after="0"/>
              <w:ind w:left="181"/>
              <w:rPr>
                <w:lang w:val="es-ES_tradnl"/>
              </w:rPr>
            </w:pPr>
            <w:r w:rsidRPr="00CE00D7">
              <w:rPr>
                <w:lang w:val="es-ES_tradnl"/>
              </w:rPr>
              <w:t>Tasa de renovación (por cada dibujo o modelo)</w:t>
            </w:r>
          </w:p>
        </w:tc>
        <w:tc>
          <w:tcPr>
            <w:tcW w:w="2959" w:type="dxa"/>
            <w:tcBorders>
              <w:top w:val="single" w:sz="4" w:space="0" w:color="000000"/>
              <w:left w:val="single" w:sz="4" w:space="0" w:color="000000"/>
              <w:bottom w:val="single" w:sz="4" w:space="0" w:color="000000"/>
              <w:right w:val="single" w:sz="4" w:space="0" w:color="000000"/>
            </w:tcBorders>
            <w:vAlign w:val="center"/>
          </w:tcPr>
          <w:p w14:paraId="1B3EDA90" w14:textId="4B4DB957" w:rsidR="002C0543" w:rsidRPr="00CE00D7" w:rsidRDefault="00492F44" w:rsidP="00492F44">
            <w:pPr>
              <w:spacing w:before="3" w:line="260" w:lineRule="exact"/>
              <w:ind w:left="181"/>
              <w:rPr>
                <w:rFonts w:eastAsia="Arial"/>
                <w:spacing w:val="-1"/>
                <w:szCs w:val="22"/>
                <w:lang w:val="es-ES_tradnl"/>
              </w:rPr>
            </w:pPr>
            <w:r w:rsidRPr="00CE00D7">
              <w:rPr>
                <w:rFonts w:eastAsia="Arial"/>
                <w:spacing w:val="-1"/>
                <w:szCs w:val="22"/>
                <w:lang w:val="es-ES_tradnl"/>
              </w:rPr>
              <w:t>por la primera renovación</w:t>
            </w:r>
          </w:p>
        </w:tc>
        <w:tc>
          <w:tcPr>
            <w:tcW w:w="2410" w:type="dxa"/>
            <w:tcBorders>
              <w:top w:val="single" w:sz="4" w:space="0" w:color="000000"/>
              <w:left w:val="single" w:sz="4" w:space="0" w:color="000000"/>
              <w:bottom w:val="single" w:sz="4" w:space="0" w:color="000000"/>
              <w:right w:val="single" w:sz="4" w:space="0" w:color="000000"/>
            </w:tcBorders>
            <w:vAlign w:val="center"/>
          </w:tcPr>
          <w:p w14:paraId="55539596" w14:textId="77777777" w:rsidR="002C0543" w:rsidRPr="00CE00D7" w:rsidRDefault="002C0543" w:rsidP="00E6440A">
            <w:pPr>
              <w:tabs>
                <w:tab w:val="right" w:pos="1406"/>
              </w:tabs>
              <w:ind w:left="40"/>
              <w:rPr>
                <w:rFonts w:eastAsia="Arial"/>
                <w:spacing w:val="-1"/>
                <w:szCs w:val="22"/>
                <w:lang w:val="es-ES_tradnl"/>
              </w:rPr>
            </w:pPr>
            <w:r w:rsidRPr="00CE00D7">
              <w:rPr>
                <w:rFonts w:eastAsia="Arial"/>
                <w:spacing w:val="-1"/>
                <w:szCs w:val="22"/>
                <w:lang w:val="es-ES_tradnl"/>
              </w:rPr>
              <w:tab/>
              <w:t>296</w:t>
            </w:r>
          </w:p>
        </w:tc>
      </w:tr>
      <w:tr w:rsidR="002C0543" w:rsidRPr="00CE00D7" w14:paraId="2A057B9A" w14:textId="77777777" w:rsidTr="00E6440A">
        <w:trPr>
          <w:trHeight w:hRule="exact" w:val="575"/>
        </w:trPr>
        <w:tc>
          <w:tcPr>
            <w:tcW w:w="3308" w:type="dxa"/>
            <w:vMerge/>
            <w:tcBorders>
              <w:left w:val="single" w:sz="4" w:space="0" w:color="000000"/>
              <w:right w:val="single" w:sz="4" w:space="0" w:color="000000"/>
            </w:tcBorders>
            <w:vAlign w:val="center"/>
          </w:tcPr>
          <w:p w14:paraId="150AC3EA" w14:textId="77777777" w:rsidR="002C0543" w:rsidRPr="00CE00D7" w:rsidRDefault="002C0543" w:rsidP="00E6440A">
            <w:pPr>
              <w:pStyle w:val="BodyText"/>
              <w:tabs>
                <w:tab w:val="left" w:pos="1531"/>
                <w:tab w:val="left" w:pos="2098"/>
                <w:tab w:val="right" w:pos="8222"/>
              </w:tabs>
              <w:spacing w:after="0"/>
              <w:ind w:left="181"/>
              <w:rPr>
                <w:lang w:val="es-ES_tradnl"/>
              </w:rPr>
            </w:pPr>
          </w:p>
        </w:tc>
        <w:tc>
          <w:tcPr>
            <w:tcW w:w="2959" w:type="dxa"/>
            <w:tcBorders>
              <w:top w:val="single" w:sz="4" w:space="0" w:color="000000"/>
              <w:left w:val="single" w:sz="4" w:space="0" w:color="000000"/>
              <w:bottom w:val="single" w:sz="4" w:space="0" w:color="000000"/>
              <w:right w:val="single" w:sz="4" w:space="0" w:color="000000"/>
            </w:tcBorders>
            <w:vAlign w:val="center"/>
          </w:tcPr>
          <w:p w14:paraId="590AA7C6" w14:textId="3FD11DD3" w:rsidR="002C0543" w:rsidRPr="00CE00D7" w:rsidRDefault="00492F44" w:rsidP="00492F44">
            <w:pPr>
              <w:spacing w:before="3" w:line="260" w:lineRule="exact"/>
              <w:ind w:left="181"/>
              <w:rPr>
                <w:rFonts w:eastAsia="Arial"/>
                <w:spacing w:val="-1"/>
                <w:szCs w:val="22"/>
                <w:lang w:val="es-ES_tradnl"/>
              </w:rPr>
            </w:pPr>
            <w:r w:rsidRPr="00CE00D7">
              <w:rPr>
                <w:rFonts w:eastAsia="Arial"/>
                <w:spacing w:val="-1"/>
                <w:szCs w:val="22"/>
                <w:lang w:val="es-ES_tradnl"/>
              </w:rPr>
              <w:t>por la segunda renovación</w:t>
            </w:r>
          </w:p>
        </w:tc>
        <w:tc>
          <w:tcPr>
            <w:tcW w:w="2410" w:type="dxa"/>
            <w:tcBorders>
              <w:top w:val="single" w:sz="4" w:space="0" w:color="000000"/>
              <w:left w:val="single" w:sz="4" w:space="0" w:color="000000"/>
              <w:bottom w:val="single" w:sz="4" w:space="0" w:color="000000"/>
              <w:right w:val="single" w:sz="4" w:space="0" w:color="000000"/>
            </w:tcBorders>
            <w:vAlign w:val="center"/>
          </w:tcPr>
          <w:p w14:paraId="08D33784" w14:textId="77777777" w:rsidR="002C0543" w:rsidRPr="00CE00D7" w:rsidRDefault="002C0543" w:rsidP="00E6440A">
            <w:pPr>
              <w:tabs>
                <w:tab w:val="right" w:pos="1406"/>
              </w:tabs>
              <w:rPr>
                <w:rFonts w:eastAsia="Arial"/>
                <w:szCs w:val="22"/>
                <w:lang w:val="es-ES_tradnl"/>
              </w:rPr>
            </w:pPr>
            <w:r w:rsidRPr="00CE00D7">
              <w:rPr>
                <w:rFonts w:eastAsia="Arial"/>
                <w:szCs w:val="22"/>
                <w:lang w:val="es-ES_tradnl"/>
              </w:rPr>
              <w:tab/>
              <w:t>699</w:t>
            </w:r>
          </w:p>
        </w:tc>
      </w:tr>
      <w:tr w:rsidR="002C0543" w:rsidRPr="00CE00D7" w14:paraId="3F8A4CF7" w14:textId="77777777" w:rsidTr="00E6440A">
        <w:trPr>
          <w:trHeight w:hRule="exact" w:val="557"/>
        </w:trPr>
        <w:tc>
          <w:tcPr>
            <w:tcW w:w="3308" w:type="dxa"/>
            <w:vMerge/>
            <w:tcBorders>
              <w:left w:val="single" w:sz="4" w:space="0" w:color="000000"/>
              <w:bottom w:val="single" w:sz="4" w:space="0" w:color="000000"/>
              <w:right w:val="single" w:sz="4" w:space="0" w:color="000000"/>
            </w:tcBorders>
            <w:vAlign w:val="center"/>
          </w:tcPr>
          <w:p w14:paraId="2F6382B6" w14:textId="77777777" w:rsidR="002C0543" w:rsidRPr="00CE00D7" w:rsidRDefault="002C0543" w:rsidP="00E6440A">
            <w:pPr>
              <w:pStyle w:val="BodyText"/>
              <w:tabs>
                <w:tab w:val="left" w:pos="1531"/>
                <w:tab w:val="left" w:pos="2098"/>
                <w:tab w:val="right" w:pos="8222"/>
              </w:tabs>
              <w:spacing w:after="0"/>
              <w:ind w:left="181"/>
              <w:rPr>
                <w:lang w:val="es-ES_tradnl"/>
              </w:rPr>
            </w:pPr>
          </w:p>
        </w:tc>
        <w:tc>
          <w:tcPr>
            <w:tcW w:w="2959" w:type="dxa"/>
            <w:tcBorders>
              <w:top w:val="single" w:sz="4" w:space="0" w:color="000000"/>
              <w:left w:val="single" w:sz="4" w:space="0" w:color="000000"/>
              <w:bottom w:val="single" w:sz="4" w:space="0" w:color="000000"/>
              <w:right w:val="single" w:sz="4" w:space="0" w:color="000000"/>
            </w:tcBorders>
            <w:vAlign w:val="center"/>
          </w:tcPr>
          <w:p w14:paraId="179A49B3" w14:textId="2986C102" w:rsidR="002C0543" w:rsidRPr="00CE00D7" w:rsidRDefault="00492F44" w:rsidP="00492F44">
            <w:pPr>
              <w:spacing w:before="3" w:line="260" w:lineRule="exact"/>
              <w:ind w:left="181"/>
              <w:rPr>
                <w:rFonts w:eastAsia="Arial"/>
                <w:spacing w:val="-1"/>
                <w:szCs w:val="22"/>
                <w:lang w:val="es-ES_tradnl"/>
              </w:rPr>
            </w:pPr>
            <w:r w:rsidRPr="00CE00D7">
              <w:rPr>
                <w:rFonts w:eastAsia="Arial"/>
                <w:spacing w:val="-1"/>
                <w:szCs w:val="22"/>
                <w:lang w:val="es-ES_tradnl"/>
              </w:rPr>
              <w:t>por la tercera renovación</w:t>
            </w:r>
          </w:p>
        </w:tc>
        <w:tc>
          <w:tcPr>
            <w:tcW w:w="2410" w:type="dxa"/>
            <w:tcBorders>
              <w:top w:val="single" w:sz="4" w:space="0" w:color="000000"/>
              <w:left w:val="single" w:sz="4" w:space="0" w:color="000000"/>
              <w:bottom w:val="single" w:sz="4" w:space="0" w:color="000000"/>
              <w:right w:val="single" w:sz="4" w:space="0" w:color="000000"/>
            </w:tcBorders>
            <w:vAlign w:val="center"/>
          </w:tcPr>
          <w:p w14:paraId="150A19BE" w14:textId="77777777" w:rsidR="002C0543" w:rsidRPr="00CE00D7" w:rsidRDefault="002C0543" w:rsidP="00E6440A">
            <w:pPr>
              <w:tabs>
                <w:tab w:val="right" w:pos="1406"/>
              </w:tabs>
              <w:ind w:right="-20"/>
              <w:rPr>
                <w:rFonts w:eastAsia="Arial"/>
                <w:spacing w:val="-1"/>
                <w:szCs w:val="22"/>
                <w:lang w:val="es-ES_tradnl"/>
              </w:rPr>
            </w:pPr>
            <w:r w:rsidRPr="00CE00D7">
              <w:rPr>
                <w:rFonts w:eastAsia="Arial"/>
                <w:spacing w:val="-1"/>
                <w:szCs w:val="22"/>
                <w:lang w:val="es-ES_tradnl"/>
              </w:rPr>
              <w:tab/>
              <w:t>806</w:t>
            </w:r>
          </w:p>
        </w:tc>
      </w:tr>
    </w:tbl>
    <w:p w14:paraId="69B61763" w14:textId="056E7798" w:rsidR="007F0784" w:rsidRPr="00CE00D7" w:rsidRDefault="00011259" w:rsidP="007F0784">
      <w:pPr>
        <w:pStyle w:val="ONUME"/>
        <w:spacing w:before="240" w:after="0"/>
        <w:rPr>
          <w:lang w:val="es-ES_tradnl"/>
        </w:rPr>
      </w:pPr>
      <w:r w:rsidRPr="00CE00D7">
        <w:rPr>
          <w:lang w:val="es-ES_tradnl"/>
        </w:rPr>
        <w:t xml:space="preserve">De conformidad con el Artículo </w:t>
      </w:r>
      <w:proofErr w:type="gramStart"/>
      <w:r w:rsidRPr="00CE00D7">
        <w:rPr>
          <w:lang w:val="es-ES_tradnl"/>
        </w:rPr>
        <w:t>30.1)ii</w:t>
      </w:r>
      <w:proofErr w:type="gramEnd"/>
      <w:r w:rsidRPr="00CE00D7">
        <w:rPr>
          <w:lang w:val="es-ES_tradnl"/>
        </w:rPr>
        <w:t>)</w:t>
      </w:r>
      <w:r w:rsidR="001B6FF9" w:rsidRPr="00CE00D7">
        <w:rPr>
          <w:lang w:val="es-ES_tradnl"/>
        </w:rPr>
        <w:t xml:space="preserve"> del Acta de 1999 y la Regla </w:t>
      </w:r>
      <w:r w:rsidRPr="00CE00D7">
        <w:rPr>
          <w:lang w:val="es-ES_tradnl"/>
        </w:rPr>
        <w:t>12.1)c)ii) del Reglamento Común, y con arreglo a la declaración recibida, las modificaciones mencionadas, incluidos los nuevos importes de la tasa de designación individual, entrarán en vigor el</w:t>
      </w:r>
      <w:r w:rsidR="00C661FF" w:rsidRPr="00CE00D7">
        <w:rPr>
          <w:lang w:val="es-ES_tradnl"/>
        </w:rPr>
        <w:t> </w:t>
      </w:r>
    </w:p>
    <w:p w14:paraId="0DA87072" w14:textId="5B125790" w:rsidR="00492F44" w:rsidRPr="00CE00D7" w:rsidRDefault="00011259" w:rsidP="007F0784">
      <w:pPr>
        <w:pStyle w:val="ONUME"/>
        <w:numPr>
          <w:ilvl w:val="0"/>
          <w:numId w:val="0"/>
        </w:numPr>
        <w:spacing w:after="240"/>
        <w:rPr>
          <w:lang w:val="es-ES_tradnl"/>
        </w:rPr>
      </w:pPr>
      <w:r w:rsidRPr="00CE00D7">
        <w:rPr>
          <w:lang w:val="es-ES_tradnl"/>
        </w:rPr>
        <w:t>1 de diciembre de 2020.</w:t>
      </w:r>
      <w:r w:rsidR="000738EC" w:rsidRPr="00CE00D7">
        <w:rPr>
          <w:lang w:val="es-ES_tradnl"/>
        </w:rPr>
        <w:t xml:space="preserve"> </w:t>
      </w:r>
      <w:r w:rsidR="00604D80" w:rsidRPr="00CE00D7">
        <w:rPr>
          <w:lang w:val="es-ES_tradnl"/>
        </w:rPr>
        <w:t xml:space="preserve"> </w:t>
      </w:r>
      <w:r w:rsidRPr="00CE00D7">
        <w:rPr>
          <w:lang w:val="es-ES_tradnl"/>
        </w:rPr>
        <w:t>A este respecto, cabe señalar asimismo que los cambios</w:t>
      </w:r>
      <w:r w:rsidR="001B6FF9" w:rsidRPr="00CE00D7">
        <w:rPr>
          <w:lang w:val="es-ES_tradnl"/>
        </w:rPr>
        <w:t xml:space="preserve"> </w:t>
      </w:r>
      <w:r w:rsidRPr="00CE00D7">
        <w:rPr>
          <w:lang w:val="es-ES_tradnl"/>
        </w:rPr>
        <w:t>se aplicarán cuando la República de Corea sea designada en una solicitud internacional cuya fecha de registro internacional coincida con la fecha mencionada o sea posterior a ella</w:t>
      </w:r>
      <w:r w:rsidR="001B6FF9" w:rsidRPr="00CE00D7">
        <w:rPr>
          <w:lang w:val="es-ES_tradnl"/>
        </w:rPr>
        <w:t>, de conformidad con el Artículo 10.2) del Acta de 1999</w:t>
      </w:r>
      <w:r w:rsidRPr="00CE00D7">
        <w:rPr>
          <w:lang w:val="es-ES_tradnl"/>
        </w:rPr>
        <w:t>.</w:t>
      </w:r>
    </w:p>
    <w:p w14:paraId="066F5FAF" w14:textId="393F6F1A" w:rsidR="00492F44" w:rsidRPr="00CE00D7" w:rsidRDefault="00011259" w:rsidP="00011259">
      <w:pPr>
        <w:pStyle w:val="ONUME"/>
        <w:rPr>
          <w:lang w:val="es-ES_tradnl"/>
        </w:rPr>
      </w:pPr>
      <w:r w:rsidRPr="00CE00D7">
        <w:rPr>
          <w:lang w:val="es-ES_tradnl"/>
        </w:rPr>
        <w:t>Por último, como consecuencia de esas modificaci</w:t>
      </w:r>
      <w:r w:rsidR="000C31BD" w:rsidRPr="00CE00D7">
        <w:rPr>
          <w:lang w:val="es-ES_tradnl"/>
        </w:rPr>
        <w:t>ones, el plazo de denegación de </w:t>
      </w:r>
      <w:r w:rsidRPr="00CE00D7">
        <w:rPr>
          <w:lang w:val="es-ES_tradnl"/>
        </w:rPr>
        <w:t>12</w:t>
      </w:r>
      <w:r w:rsidR="000C31BD" w:rsidRPr="00CE00D7">
        <w:rPr>
          <w:lang w:val="es-ES_tradnl"/>
        </w:rPr>
        <w:t> </w:t>
      </w:r>
      <w:r w:rsidRPr="00CE00D7">
        <w:rPr>
          <w:lang w:val="es-ES_tradnl"/>
        </w:rPr>
        <w:t xml:space="preserve">meses declarado por la República de Corea en virtud de la Regla </w:t>
      </w:r>
      <w:proofErr w:type="gramStart"/>
      <w:r w:rsidRPr="00CE00D7">
        <w:rPr>
          <w:lang w:val="es-ES_tradnl"/>
        </w:rPr>
        <w:t>18.1)b</w:t>
      </w:r>
      <w:proofErr w:type="gramEnd"/>
      <w:r w:rsidRPr="00CE00D7">
        <w:rPr>
          <w:lang w:val="es-ES_tradnl"/>
        </w:rPr>
        <w:t>) del Reglamento Común no se aplicará a los registros internacionales relativos a productos pertenecientes a las clases 1, 3, 9 o 11 de la Clasificación de Locarno cuya fecha d</w:t>
      </w:r>
      <w:r w:rsidR="00F34729" w:rsidRPr="00CE00D7">
        <w:rPr>
          <w:lang w:val="es-ES_tradnl"/>
        </w:rPr>
        <w:t>e registro internacional sea el </w:t>
      </w:r>
      <w:r w:rsidRPr="00CE00D7">
        <w:rPr>
          <w:lang w:val="es-ES_tradnl"/>
        </w:rPr>
        <w:t>1</w:t>
      </w:r>
      <w:r w:rsidR="00F34729" w:rsidRPr="00CE00D7">
        <w:rPr>
          <w:lang w:val="es-ES_tradnl"/>
        </w:rPr>
        <w:t> </w:t>
      </w:r>
      <w:r w:rsidRPr="00CE00D7">
        <w:rPr>
          <w:lang w:val="es-ES_tradnl"/>
        </w:rPr>
        <w:t>de diciembre de 2020 o posterior</w:t>
      </w:r>
      <w:r w:rsidR="00005820" w:rsidRPr="00CE00D7">
        <w:rPr>
          <w:lang w:val="es-ES_tradnl"/>
        </w:rPr>
        <w:t xml:space="preserve"> a ella</w:t>
      </w:r>
      <w:r w:rsidRPr="00CE00D7">
        <w:rPr>
          <w:lang w:val="es-ES_tradnl"/>
        </w:rPr>
        <w:t>.</w:t>
      </w:r>
      <w:r w:rsidR="000738EC" w:rsidRPr="00CE00D7">
        <w:rPr>
          <w:lang w:val="es-ES_tradnl"/>
        </w:rPr>
        <w:t xml:space="preserve"> </w:t>
      </w:r>
      <w:r w:rsidR="007B4EAA" w:rsidRPr="00CE00D7">
        <w:rPr>
          <w:lang w:val="es-ES_tradnl"/>
        </w:rPr>
        <w:t xml:space="preserve"> </w:t>
      </w:r>
      <w:r w:rsidRPr="00CE00D7">
        <w:rPr>
          <w:lang w:val="es-ES_tradnl"/>
        </w:rPr>
        <w:t>Cabe recordar que dicho plazo de denegación de</w:t>
      </w:r>
      <w:r w:rsidR="00F34729" w:rsidRPr="00CE00D7">
        <w:rPr>
          <w:lang w:val="es-ES_tradnl"/>
        </w:rPr>
        <w:t> </w:t>
      </w:r>
      <w:r w:rsidRPr="00CE00D7">
        <w:rPr>
          <w:lang w:val="es-ES_tradnl"/>
        </w:rPr>
        <w:t xml:space="preserve">12 meses no se aplicaba a los registros internacionales de productos pertenecientes </w:t>
      </w:r>
      <w:r w:rsidR="000C31BD" w:rsidRPr="00CE00D7">
        <w:rPr>
          <w:lang w:val="es-ES_tradnl"/>
        </w:rPr>
        <w:t>a las clases 2, </w:t>
      </w:r>
      <w:r w:rsidRPr="00CE00D7">
        <w:rPr>
          <w:lang w:val="es-ES_tradnl"/>
        </w:rPr>
        <w:t>5</w:t>
      </w:r>
      <w:r w:rsidR="000C31BD" w:rsidRPr="00CE00D7">
        <w:rPr>
          <w:lang w:val="es-ES_tradnl"/>
        </w:rPr>
        <w:t> </w:t>
      </w:r>
      <w:r w:rsidRPr="00CE00D7">
        <w:rPr>
          <w:lang w:val="es-ES_tradnl"/>
        </w:rPr>
        <w:t>o</w:t>
      </w:r>
      <w:r w:rsidR="000C31BD" w:rsidRPr="00CE00D7">
        <w:rPr>
          <w:lang w:val="es-ES_tradnl"/>
        </w:rPr>
        <w:t> </w:t>
      </w:r>
      <w:r w:rsidRPr="00CE00D7">
        <w:rPr>
          <w:lang w:val="es-ES_tradnl"/>
        </w:rPr>
        <w:t xml:space="preserve">19 de la Clasificación de </w:t>
      </w:r>
      <w:proofErr w:type="spellStart"/>
      <w:r w:rsidRPr="00CE00D7">
        <w:rPr>
          <w:lang w:val="es-ES_tradnl"/>
        </w:rPr>
        <w:t>Locarno</w:t>
      </w:r>
      <w:proofErr w:type="spellEnd"/>
      <w:r w:rsidR="000B44A2" w:rsidRPr="00CE00D7">
        <w:rPr>
          <w:rStyle w:val="FootnoteReference"/>
          <w:lang w:val="es-ES_tradnl"/>
        </w:rPr>
        <w:footnoteReference w:id="3"/>
      </w:r>
      <w:r w:rsidRPr="00CE00D7">
        <w:rPr>
          <w:lang w:val="es-ES_tradnl"/>
        </w:rPr>
        <w:t>.</w:t>
      </w:r>
    </w:p>
    <w:p w14:paraId="79B66448" w14:textId="3F1D19CC" w:rsidR="00492F44" w:rsidRPr="00EB4183" w:rsidRDefault="00CE00D7" w:rsidP="002C0543">
      <w:pPr>
        <w:pStyle w:val="Endofdocument-Annex"/>
        <w:spacing w:before="480"/>
        <w:rPr>
          <w:lang w:val="es-ES_tradnl"/>
        </w:rPr>
      </w:pPr>
      <w:r w:rsidRPr="00CE00D7">
        <w:rPr>
          <w:lang w:val="es-ES_tradnl"/>
        </w:rPr>
        <w:t>19</w:t>
      </w:r>
      <w:r w:rsidR="00EA1DD1" w:rsidRPr="00CE00D7">
        <w:rPr>
          <w:lang w:val="es-ES_tradnl"/>
        </w:rPr>
        <w:t xml:space="preserve"> de </w:t>
      </w:r>
      <w:r w:rsidR="007B4EAA" w:rsidRPr="00CE00D7">
        <w:rPr>
          <w:lang w:val="es-ES_tradnl"/>
        </w:rPr>
        <w:t xml:space="preserve">octubre </w:t>
      </w:r>
      <w:r w:rsidR="00EA1DD1" w:rsidRPr="00CE00D7">
        <w:rPr>
          <w:lang w:val="es-ES_tradnl"/>
        </w:rPr>
        <w:t>de</w:t>
      </w:r>
      <w:r w:rsidR="002C0543" w:rsidRPr="00CE00D7">
        <w:rPr>
          <w:lang w:val="es-ES_tradnl"/>
        </w:rPr>
        <w:t xml:space="preserve"> 2020</w:t>
      </w:r>
    </w:p>
    <w:sectPr w:rsidR="00492F44" w:rsidRPr="00EB4183" w:rsidSect="00F10E6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CC5" w14:textId="77777777" w:rsidR="002556B7" w:rsidRDefault="002556B7">
      <w:r>
        <w:separator/>
      </w:r>
    </w:p>
  </w:endnote>
  <w:endnote w:type="continuationSeparator" w:id="0">
    <w:p w14:paraId="1425CE3C" w14:textId="77777777" w:rsidR="002556B7" w:rsidRDefault="002556B7" w:rsidP="003B38C1">
      <w:r>
        <w:separator/>
      </w:r>
    </w:p>
    <w:p w14:paraId="09659D9B" w14:textId="77777777" w:rsidR="002556B7" w:rsidRPr="003B38C1" w:rsidRDefault="002556B7" w:rsidP="003B38C1">
      <w:pPr>
        <w:spacing w:after="60"/>
        <w:rPr>
          <w:sz w:val="17"/>
        </w:rPr>
      </w:pPr>
      <w:r>
        <w:rPr>
          <w:sz w:val="17"/>
        </w:rPr>
        <w:t>[Endnote continued from previous page]</w:t>
      </w:r>
    </w:p>
  </w:endnote>
  <w:endnote w:type="continuationNotice" w:id="1">
    <w:p w14:paraId="549BB440" w14:textId="77777777" w:rsidR="002556B7" w:rsidRPr="003B38C1" w:rsidRDefault="002556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2CF7" w14:textId="77777777" w:rsidR="00011259" w:rsidRDefault="00011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BEA8" w14:textId="77777777" w:rsidR="00011259" w:rsidRDefault="00011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4E84" w14:textId="77777777" w:rsidR="00011259" w:rsidRDefault="0001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51D0" w14:textId="77777777" w:rsidR="002556B7" w:rsidRDefault="002556B7">
      <w:r>
        <w:separator/>
      </w:r>
    </w:p>
  </w:footnote>
  <w:footnote w:type="continuationSeparator" w:id="0">
    <w:p w14:paraId="1364C936" w14:textId="77777777" w:rsidR="002556B7" w:rsidRDefault="002556B7" w:rsidP="008B60B2">
      <w:r>
        <w:separator/>
      </w:r>
    </w:p>
    <w:p w14:paraId="1C87CA1A" w14:textId="77777777" w:rsidR="002556B7" w:rsidRPr="00ED77FB" w:rsidRDefault="002556B7" w:rsidP="008B60B2">
      <w:pPr>
        <w:spacing w:after="60"/>
        <w:rPr>
          <w:sz w:val="17"/>
          <w:szCs w:val="17"/>
        </w:rPr>
      </w:pPr>
      <w:r w:rsidRPr="00ED77FB">
        <w:rPr>
          <w:sz w:val="17"/>
          <w:szCs w:val="17"/>
        </w:rPr>
        <w:t>[Footnote continued from previous page]</w:t>
      </w:r>
    </w:p>
  </w:footnote>
  <w:footnote w:type="continuationNotice" w:id="1">
    <w:p w14:paraId="44FF9077" w14:textId="77777777" w:rsidR="002556B7" w:rsidRPr="00ED77FB" w:rsidRDefault="002556B7" w:rsidP="008B60B2">
      <w:pPr>
        <w:spacing w:before="60"/>
        <w:jc w:val="right"/>
        <w:rPr>
          <w:sz w:val="17"/>
          <w:szCs w:val="17"/>
        </w:rPr>
      </w:pPr>
      <w:r w:rsidRPr="00ED77FB">
        <w:rPr>
          <w:sz w:val="17"/>
          <w:szCs w:val="17"/>
        </w:rPr>
        <w:t>[Footnote continued on next page]</w:t>
      </w:r>
    </w:p>
  </w:footnote>
  <w:footnote w:id="2">
    <w:p w14:paraId="1DEA17B7" w14:textId="7863CF49" w:rsidR="000B44A2" w:rsidRPr="001D671A" w:rsidRDefault="000B44A2" w:rsidP="001D671A">
      <w:pPr>
        <w:pStyle w:val="FootnoteText"/>
        <w:tabs>
          <w:tab w:val="left" w:pos="567"/>
        </w:tabs>
        <w:rPr>
          <w:lang w:val="fr-CH"/>
        </w:rPr>
      </w:pPr>
      <w:r>
        <w:rPr>
          <w:rStyle w:val="FootnoteReference"/>
        </w:rPr>
        <w:footnoteRef/>
      </w:r>
      <w:r>
        <w:rPr>
          <w:lang w:val="fr-CH"/>
        </w:rPr>
        <w:tab/>
      </w:r>
      <w:proofErr w:type="spellStart"/>
      <w:r w:rsidR="007207E5">
        <w:rPr>
          <w:lang w:val="fr-CH"/>
        </w:rPr>
        <w:t>V</w:t>
      </w:r>
      <w:r w:rsidR="007207E5">
        <w:rPr>
          <w:rFonts w:eastAsia="Times New Roman"/>
          <w:szCs w:val="18"/>
          <w:lang w:val="fr-CH" w:eastAsia="en-US"/>
        </w:rPr>
        <w:t>éase</w:t>
      </w:r>
      <w:proofErr w:type="spellEnd"/>
      <w:r w:rsidR="007207E5">
        <w:rPr>
          <w:rFonts w:eastAsia="Times New Roman"/>
          <w:szCs w:val="18"/>
          <w:lang w:val="fr-CH" w:eastAsia="en-US"/>
        </w:rPr>
        <w:t xml:space="preserve"> </w:t>
      </w:r>
      <w:r w:rsidRPr="00EB4183">
        <w:rPr>
          <w:lang w:val="es-ES_tradnl"/>
        </w:rPr>
        <w:t xml:space="preserve">los Avisos </w:t>
      </w:r>
      <w:proofErr w:type="spellStart"/>
      <w:proofErr w:type="gramStart"/>
      <w:r w:rsidR="00F82164" w:rsidRPr="00F82164">
        <w:rPr>
          <w:lang w:val="es-ES_tradnl"/>
        </w:rPr>
        <w:t>N.</w:t>
      </w:r>
      <w:r w:rsidR="00F82164" w:rsidRPr="001D671A">
        <w:rPr>
          <w:vertAlign w:val="superscript"/>
          <w:lang w:val="es-ES_tradnl"/>
        </w:rPr>
        <w:t>os</w:t>
      </w:r>
      <w:proofErr w:type="spellEnd"/>
      <w:proofErr w:type="gramEnd"/>
      <w:r w:rsidRPr="00EB4183">
        <w:rPr>
          <w:lang w:val="es-ES_tradnl"/>
        </w:rPr>
        <w:t xml:space="preserve"> 1</w:t>
      </w:r>
      <w:r>
        <w:rPr>
          <w:lang w:val="es-ES_tradnl"/>
        </w:rPr>
        <w:t>/2014</w:t>
      </w:r>
      <w:r w:rsidRPr="00EB4183">
        <w:rPr>
          <w:lang w:val="es-ES_tradnl"/>
        </w:rPr>
        <w:t xml:space="preserve"> y 2/2014</w:t>
      </w:r>
      <w:r>
        <w:rPr>
          <w:lang w:val="es-ES_tradnl"/>
        </w:rPr>
        <w:t>.</w:t>
      </w:r>
    </w:p>
  </w:footnote>
  <w:footnote w:id="3">
    <w:p w14:paraId="1E93978C" w14:textId="7F0D2349" w:rsidR="000B44A2" w:rsidRPr="001D671A" w:rsidRDefault="000B44A2">
      <w:pPr>
        <w:pStyle w:val="FootnoteText"/>
        <w:rPr>
          <w:lang w:val="fr-CH"/>
        </w:rPr>
      </w:pPr>
      <w:r>
        <w:rPr>
          <w:rStyle w:val="FootnoteReference"/>
        </w:rPr>
        <w:footnoteRef/>
      </w:r>
      <w:r>
        <w:rPr>
          <w:lang w:val="fr-CH"/>
        </w:rPr>
        <w:tab/>
      </w:r>
      <w:proofErr w:type="spellStart"/>
      <w:r w:rsidR="007207E5">
        <w:rPr>
          <w:lang w:val="fr-CH"/>
        </w:rPr>
        <w:t>V</w:t>
      </w:r>
      <w:r w:rsidR="007207E5">
        <w:rPr>
          <w:rFonts w:eastAsia="Times New Roman"/>
          <w:szCs w:val="18"/>
          <w:lang w:val="fr-CH" w:eastAsia="en-US"/>
        </w:rPr>
        <w:t>éase</w:t>
      </w:r>
      <w:proofErr w:type="spellEnd"/>
      <w:r w:rsidR="007207E5">
        <w:rPr>
          <w:rFonts w:eastAsia="Times New Roman"/>
          <w:szCs w:val="18"/>
          <w:lang w:val="fr-CH" w:eastAsia="en-US"/>
        </w:rPr>
        <w:t xml:space="preserve"> </w:t>
      </w:r>
      <w:r w:rsidR="007207E5">
        <w:rPr>
          <w:lang w:val="es-ES_tradnl"/>
        </w:rPr>
        <w:t xml:space="preserve">el </w:t>
      </w:r>
      <w:r>
        <w:rPr>
          <w:lang w:val="es-ES_tradnl"/>
        </w:rPr>
        <w:t xml:space="preserve">Aviso </w:t>
      </w:r>
      <w:r w:rsidRPr="00EB4183">
        <w:rPr>
          <w:lang w:val="es-ES_tradnl"/>
        </w:rPr>
        <w:t>N.º 1/2014</w:t>
      </w:r>
      <w:r>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BB4A" w14:textId="598CEE94" w:rsidR="00250CA2" w:rsidRPr="00C7796C" w:rsidRDefault="00C7796C" w:rsidP="00250CA2">
    <w:pPr>
      <w:pStyle w:val="Header"/>
      <w:jc w:val="right"/>
      <w:rPr>
        <w:lang w:val="es-419"/>
      </w:rPr>
    </w:pPr>
    <w:r w:rsidRPr="00C7796C">
      <w:rPr>
        <w:lang w:val="es-419"/>
      </w:rPr>
      <w:t>página</w:t>
    </w:r>
    <w:r w:rsidR="00250CA2" w:rsidRPr="00C7796C">
      <w:rPr>
        <w:lang w:val="es-419"/>
      </w:rPr>
      <w:t xml:space="preserve"> 2</w:t>
    </w:r>
  </w:p>
  <w:p w14:paraId="51F7ED95" w14:textId="77777777" w:rsidR="00250CA2" w:rsidRDefault="00250CA2" w:rsidP="00250CA2">
    <w:pPr>
      <w:pStyle w:val="Header"/>
      <w:jc w:val="right"/>
    </w:pPr>
  </w:p>
  <w:p w14:paraId="2F6255F4"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17BB" w14:textId="77777777" w:rsidR="007D7393" w:rsidRDefault="007D7393" w:rsidP="007D7393">
    <w:pPr>
      <w:pStyle w:val="Header"/>
      <w:jc w:val="right"/>
    </w:pPr>
    <w:proofErr w:type="gramStart"/>
    <w:r>
      <w:t>page</w:t>
    </w:r>
    <w:proofErr w:type="gramEnd"/>
    <w:r>
      <w:t xml:space="preserve"> 2</w:t>
    </w:r>
  </w:p>
  <w:p w14:paraId="3C9106FF" w14:textId="77777777" w:rsidR="007D7393" w:rsidRDefault="007D7393" w:rsidP="007D7393">
    <w:pPr>
      <w:pStyle w:val="Header"/>
      <w:jc w:val="right"/>
    </w:pPr>
  </w:p>
  <w:p w14:paraId="22C648F8" w14:textId="77777777" w:rsidR="007D7393" w:rsidRDefault="007D7393"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79B9" w14:textId="77777777" w:rsidR="00011259" w:rsidRDefault="00011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96D72"/>
    <w:multiLevelType w:val="hybridMultilevel"/>
    <w:tmpl w:val="FAB0F3DA"/>
    <w:lvl w:ilvl="0" w:tplc="29AAB5E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D24E8D4"/>
    <w:lvl w:ilvl="0" w:tplc="0409000F">
      <w:start w:val="1"/>
      <w:numFmt w:val="decimal"/>
      <w:lvlText w:val="%1."/>
      <w:lvlJc w:val="left"/>
      <w:pPr>
        <w:ind w:left="360" w:hanging="360"/>
      </w:pPr>
      <w:rPr>
        <w:rFonts w:hint="default"/>
      </w:rPr>
    </w:lvl>
    <w:lvl w:ilvl="1" w:tplc="D7E6101A">
      <w:numFmt w:val="bullet"/>
      <w:lvlText w:val="–"/>
      <w:lvlJc w:val="left"/>
      <w:pPr>
        <w:ind w:left="1290" w:hanging="570"/>
      </w:pPr>
      <w:rPr>
        <w:rFonts w:ascii="Arial" w:eastAsia="Times New Roman" w:hAnsi="Arial" w:cs="Arial" w:hint="default"/>
      </w:rPr>
    </w:lvl>
    <w:lvl w:ilvl="2" w:tplc="AF6A1274">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05E33A9"/>
    <w:multiLevelType w:val="hybridMultilevel"/>
    <w:tmpl w:val="3A288D86"/>
    <w:lvl w:ilvl="0" w:tplc="29AAB5EC">
      <w:start w:val="1"/>
      <w:numFmt w:val="bullet"/>
      <w:lvlText w:val=""/>
      <w:lvlJc w:val="left"/>
      <w:pPr>
        <w:ind w:left="1287" w:hanging="360"/>
      </w:pPr>
      <w:rPr>
        <w:rFonts w:ascii="Symbol" w:hAnsi="Symbol" w:hint="default"/>
      </w:rPr>
    </w:lvl>
    <w:lvl w:ilvl="1" w:tplc="29AAB5EC">
      <w:start w:val="1"/>
      <w:numFmt w:val="bullet"/>
      <w:lvlText w:val=""/>
      <w:lvlJc w:val="left"/>
      <w:pPr>
        <w:ind w:left="1440" w:hanging="360"/>
      </w:pPr>
      <w:rPr>
        <w:rFonts w:ascii="Symbol" w:hAnsi="Symbol" w:hint="default"/>
      </w:rPr>
    </w:lvl>
    <w:lvl w:ilvl="2" w:tplc="29AAB5EC">
      <w:start w:val="1"/>
      <w:numFmt w:val="bullet"/>
      <w:lvlText w:val=""/>
      <w:lvlJc w:val="left"/>
      <w:pPr>
        <w:ind w:left="2160" w:hanging="360"/>
      </w:pPr>
      <w:rPr>
        <w:rFonts w:ascii="Symbol" w:hAnsi="Symbo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A49385C"/>
    <w:multiLevelType w:val="hybridMultilevel"/>
    <w:tmpl w:val="C6BE0370"/>
    <w:lvl w:ilvl="0" w:tplc="856C18B8">
      <w:numFmt w:val="bullet"/>
      <w:lvlText w:val="-"/>
      <w:lvlJc w:val="left"/>
      <w:pPr>
        <w:ind w:left="1140" w:hanging="60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12"/>
  </w:num>
  <w:num w:numId="9">
    <w:abstractNumId w:val="9"/>
  </w:num>
  <w:num w:numId="10">
    <w:abstractNumId w:val="6"/>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5820"/>
    <w:rsid w:val="00005CFF"/>
    <w:rsid w:val="00007A0F"/>
    <w:rsid w:val="000102D0"/>
    <w:rsid w:val="00011259"/>
    <w:rsid w:val="000123A6"/>
    <w:rsid w:val="00012C8E"/>
    <w:rsid w:val="00012C9D"/>
    <w:rsid w:val="0002095F"/>
    <w:rsid w:val="00022521"/>
    <w:rsid w:val="00027B79"/>
    <w:rsid w:val="00032516"/>
    <w:rsid w:val="00035665"/>
    <w:rsid w:val="0003763C"/>
    <w:rsid w:val="00043313"/>
    <w:rsid w:val="00043CAA"/>
    <w:rsid w:val="00044267"/>
    <w:rsid w:val="00050D24"/>
    <w:rsid w:val="00060BB1"/>
    <w:rsid w:val="00062496"/>
    <w:rsid w:val="0007020E"/>
    <w:rsid w:val="000728FF"/>
    <w:rsid w:val="000738EC"/>
    <w:rsid w:val="00073F34"/>
    <w:rsid w:val="0007453B"/>
    <w:rsid w:val="00075432"/>
    <w:rsid w:val="000809B1"/>
    <w:rsid w:val="00083433"/>
    <w:rsid w:val="00093F9B"/>
    <w:rsid w:val="000968ED"/>
    <w:rsid w:val="000A0FF5"/>
    <w:rsid w:val="000A525D"/>
    <w:rsid w:val="000B44A2"/>
    <w:rsid w:val="000B6E9C"/>
    <w:rsid w:val="000B7AD1"/>
    <w:rsid w:val="000C09BD"/>
    <w:rsid w:val="000C31BD"/>
    <w:rsid w:val="000C58FA"/>
    <w:rsid w:val="000D0F06"/>
    <w:rsid w:val="000D19B9"/>
    <w:rsid w:val="000D3921"/>
    <w:rsid w:val="000D4623"/>
    <w:rsid w:val="000D4E61"/>
    <w:rsid w:val="000D5022"/>
    <w:rsid w:val="000E56EF"/>
    <w:rsid w:val="000F3931"/>
    <w:rsid w:val="000F5E56"/>
    <w:rsid w:val="000F7C50"/>
    <w:rsid w:val="00105359"/>
    <w:rsid w:val="00110A0A"/>
    <w:rsid w:val="0011591D"/>
    <w:rsid w:val="00116007"/>
    <w:rsid w:val="001207CE"/>
    <w:rsid w:val="001272E3"/>
    <w:rsid w:val="00131BD8"/>
    <w:rsid w:val="00133F53"/>
    <w:rsid w:val="001362EE"/>
    <w:rsid w:val="0014531F"/>
    <w:rsid w:val="0015037D"/>
    <w:rsid w:val="00150E1A"/>
    <w:rsid w:val="00157C52"/>
    <w:rsid w:val="001626B7"/>
    <w:rsid w:val="00165217"/>
    <w:rsid w:val="00166299"/>
    <w:rsid w:val="001707E7"/>
    <w:rsid w:val="00175970"/>
    <w:rsid w:val="001832A6"/>
    <w:rsid w:val="00185E31"/>
    <w:rsid w:val="00186DE1"/>
    <w:rsid w:val="001961E1"/>
    <w:rsid w:val="001A01E9"/>
    <w:rsid w:val="001A5948"/>
    <w:rsid w:val="001B2E6B"/>
    <w:rsid w:val="001B6FF9"/>
    <w:rsid w:val="001C2D7E"/>
    <w:rsid w:val="001C4852"/>
    <w:rsid w:val="001D4F09"/>
    <w:rsid w:val="001D6357"/>
    <w:rsid w:val="001D671A"/>
    <w:rsid w:val="001E3850"/>
    <w:rsid w:val="001F1B95"/>
    <w:rsid w:val="001F1E6A"/>
    <w:rsid w:val="001F3108"/>
    <w:rsid w:val="001F717F"/>
    <w:rsid w:val="001F7228"/>
    <w:rsid w:val="0020551F"/>
    <w:rsid w:val="00206EB9"/>
    <w:rsid w:val="00211272"/>
    <w:rsid w:val="00212F2F"/>
    <w:rsid w:val="00221C5D"/>
    <w:rsid w:val="0022493E"/>
    <w:rsid w:val="0022794E"/>
    <w:rsid w:val="002303FA"/>
    <w:rsid w:val="00231906"/>
    <w:rsid w:val="00242F64"/>
    <w:rsid w:val="002439F7"/>
    <w:rsid w:val="00250CA2"/>
    <w:rsid w:val="00251552"/>
    <w:rsid w:val="00251890"/>
    <w:rsid w:val="0025278E"/>
    <w:rsid w:val="002539D3"/>
    <w:rsid w:val="002556B7"/>
    <w:rsid w:val="00255819"/>
    <w:rsid w:val="00257BF9"/>
    <w:rsid w:val="0026235C"/>
    <w:rsid w:val="002634C4"/>
    <w:rsid w:val="002646FB"/>
    <w:rsid w:val="00266029"/>
    <w:rsid w:val="00267FBD"/>
    <w:rsid w:val="00274D83"/>
    <w:rsid w:val="00275289"/>
    <w:rsid w:val="002757E2"/>
    <w:rsid w:val="00277876"/>
    <w:rsid w:val="002913F3"/>
    <w:rsid w:val="002928D3"/>
    <w:rsid w:val="002A2E4F"/>
    <w:rsid w:val="002A513E"/>
    <w:rsid w:val="002B0064"/>
    <w:rsid w:val="002C0543"/>
    <w:rsid w:val="002C1554"/>
    <w:rsid w:val="002C38D8"/>
    <w:rsid w:val="002C4107"/>
    <w:rsid w:val="002C5843"/>
    <w:rsid w:val="002D5662"/>
    <w:rsid w:val="002E3668"/>
    <w:rsid w:val="002E4A68"/>
    <w:rsid w:val="002F1FE6"/>
    <w:rsid w:val="002F2230"/>
    <w:rsid w:val="002F4E68"/>
    <w:rsid w:val="002F4F73"/>
    <w:rsid w:val="002F59F7"/>
    <w:rsid w:val="002F78DF"/>
    <w:rsid w:val="002F7BB8"/>
    <w:rsid w:val="0030062F"/>
    <w:rsid w:val="00303961"/>
    <w:rsid w:val="00303F7F"/>
    <w:rsid w:val="003118DD"/>
    <w:rsid w:val="00312F7F"/>
    <w:rsid w:val="00317670"/>
    <w:rsid w:val="00326388"/>
    <w:rsid w:val="003331D4"/>
    <w:rsid w:val="003337E3"/>
    <w:rsid w:val="00335EC1"/>
    <w:rsid w:val="003376F7"/>
    <w:rsid w:val="00337EE3"/>
    <w:rsid w:val="00347330"/>
    <w:rsid w:val="00350947"/>
    <w:rsid w:val="00357985"/>
    <w:rsid w:val="00361450"/>
    <w:rsid w:val="003673CF"/>
    <w:rsid w:val="003714AA"/>
    <w:rsid w:val="00372945"/>
    <w:rsid w:val="00375BD5"/>
    <w:rsid w:val="00383EC2"/>
    <w:rsid w:val="003845C1"/>
    <w:rsid w:val="00384D06"/>
    <w:rsid w:val="003A1B61"/>
    <w:rsid w:val="003A2485"/>
    <w:rsid w:val="003A6F89"/>
    <w:rsid w:val="003B38C1"/>
    <w:rsid w:val="003B4EA1"/>
    <w:rsid w:val="003C2B2C"/>
    <w:rsid w:val="003D0F1D"/>
    <w:rsid w:val="003D27FC"/>
    <w:rsid w:val="003D7F80"/>
    <w:rsid w:val="003E017B"/>
    <w:rsid w:val="003E0A58"/>
    <w:rsid w:val="003E0D9F"/>
    <w:rsid w:val="003E4787"/>
    <w:rsid w:val="00400FED"/>
    <w:rsid w:val="00401B82"/>
    <w:rsid w:val="004052E1"/>
    <w:rsid w:val="00411FB2"/>
    <w:rsid w:val="004124AF"/>
    <w:rsid w:val="0042029C"/>
    <w:rsid w:val="004214C8"/>
    <w:rsid w:val="00423E3E"/>
    <w:rsid w:val="00427AF4"/>
    <w:rsid w:val="00433EAE"/>
    <w:rsid w:val="004376B8"/>
    <w:rsid w:val="00450901"/>
    <w:rsid w:val="004630B4"/>
    <w:rsid w:val="00464303"/>
    <w:rsid w:val="004647DA"/>
    <w:rsid w:val="004661D4"/>
    <w:rsid w:val="0047006A"/>
    <w:rsid w:val="004715E0"/>
    <w:rsid w:val="00474062"/>
    <w:rsid w:val="00477D6B"/>
    <w:rsid w:val="004841A6"/>
    <w:rsid w:val="00492951"/>
    <w:rsid w:val="00492BD2"/>
    <w:rsid w:val="00492F44"/>
    <w:rsid w:val="004936FC"/>
    <w:rsid w:val="004947C5"/>
    <w:rsid w:val="00494E4A"/>
    <w:rsid w:val="004A2DEE"/>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24A1D"/>
    <w:rsid w:val="00525B33"/>
    <w:rsid w:val="0053057A"/>
    <w:rsid w:val="00535E23"/>
    <w:rsid w:val="00546473"/>
    <w:rsid w:val="00546A94"/>
    <w:rsid w:val="00560A29"/>
    <w:rsid w:val="005771E1"/>
    <w:rsid w:val="005801DD"/>
    <w:rsid w:val="00580F7A"/>
    <w:rsid w:val="005868B8"/>
    <w:rsid w:val="0058757A"/>
    <w:rsid w:val="00594435"/>
    <w:rsid w:val="0059496E"/>
    <w:rsid w:val="005A27C7"/>
    <w:rsid w:val="005A2E4E"/>
    <w:rsid w:val="005A2EDF"/>
    <w:rsid w:val="005A4466"/>
    <w:rsid w:val="005A78E1"/>
    <w:rsid w:val="005C6649"/>
    <w:rsid w:val="005C79F2"/>
    <w:rsid w:val="005D6DD3"/>
    <w:rsid w:val="005E7E16"/>
    <w:rsid w:val="005F0F41"/>
    <w:rsid w:val="005F2F3B"/>
    <w:rsid w:val="005F4AAF"/>
    <w:rsid w:val="00604D80"/>
    <w:rsid w:val="00605827"/>
    <w:rsid w:val="00606C51"/>
    <w:rsid w:val="006223DB"/>
    <w:rsid w:val="00623843"/>
    <w:rsid w:val="00624B95"/>
    <w:rsid w:val="00631908"/>
    <w:rsid w:val="00633A4F"/>
    <w:rsid w:val="00635AFA"/>
    <w:rsid w:val="00644AA2"/>
    <w:rsid w:val="00646050"/>
    <w:rsid w:val="00647268"/>
    <w:rsid w:val="00647B0C"/>
    <w:rsid w:val="006528CC"/>
    <w:rsid w:val="006536A3"/>
    <w:rsid w:val="00654AE9"/>
    <w:rsid w:val="00654FCF"/>
    <w:rsid w:val="006604BE"/>
    <w:rsid w:val="00660AD7"/>
    <w:rsid w:val="006629C9"/>
    <w:rsid w:val="006659A7"/>
    <w:rsid w:val="006713CA"/>
    <w:rsid w:val="00674ABA"/>
    <w:rsid w:val="00676C5C"/>
    <w:rsid w:val="00691D5D"/>
    <w:rsid w:val="006A0C24"/>
    <w:rsid w:val="006B558F"/>
    <w:rsid w:val="006B5D5B"/>
    <w:rsid w:val="006C2629"/>
    <w:rsid w:val="006C3947"/>
    <w:rsid w:val="006D2A62"/>
    <w:rsid w:val="006D4172"/>
    <w:rsid w:val="006E3324"/>
    <w:rsid w:val="006E7206"/>
    <w:rsid w:val="006F0A44"/>
    <w:rsid w:val="006F445D"/>
    <w:rsid w:val="006F52C6"/>
    <w:rsid w:val="0070117B"/>
    <w:rsid w:val="00702C36"/>
    <w:rsid w:val="007063B6"/>
    <w:rsid w:val="007067DE"/>
    <w:rsid w:val="007106C3"/>
    <w:rsid w:val="0071744B"/>
    <w:rsid w:val="007207E5"/>
    <w:rsid w:val="007248D7"/>
    <w:rsid w:val="00726164"/>
    <w:rsid w:val="00726905"/>
    <w:rsid w:val="00727C64"/>
    <w:rsid w:val="007315CB"/>
    <w:rsid w:val="007330D6"/>
    <w:rsid w:val="00742210"/>
    <w:rsid w:val="0074252B"/>
    <w:rsid w:val="00744441"/>
    <w:rsid w:val="00750040"/>
    <w:rsid w:val="00750EFD"/>
    <w:rsid w:val="00767C4D"/>
    <w:rsid w:val="00772EC8"/>
    <w:rsid w:val="00773CE3"/>
    <w:rsid w:val="00775EBD"/>
    <w:rsid w:val="00776E12"/>
    <w:rsid w:val="007771D3"/>
    <w:rsid w:val="00780B9B"/>
    <w:rsid w:val="00790A94"/>
    <w:rsid w:val="007919C3"/>
    <w:rsid w:val="00792FDC"/>
    <w:rsid w:val="00795590"/>
    <w:rsid w:val="007B06CA"/>
    <w:rsid w:val="007B21DB"/>
    <w:rsid w:val="007B4EAA"/>
    <w:rsid w:val="007B7EEC"/>
    <w:rsid w:val="007B7F73"/>
    <w:rsid w:val="007C1EDA"/>
    <w:rsid w:val="007C26AB"/>
    <w:rsid w:val="007C3E9B"/>
    <w:rsid w:val="007C5548"/>
    <w:rsid w:val="007C79D7"/>
    <w:rsid w:val="007D03D1"/>
    <w:rsid w:val="007D1613"/>
    <w:rsid w:val="007D250A"/>
    <w:rsid w:val="007D290D"/>
    <w:rsid w:val="007D4555"/>
    <w:rsid w:val="007D5D7B"/>
    <w:rsid w:val="007D7393"/>
    <w:rsid w:val="007D75ED"/>
    <w:rsid w:val="007E143A"/>
    <w:rsid w:val="007E2EFF"/>
    <w:rsid w:val="007E5C49"/>
    <w:rsid w:val="007F0784"/>
    <w:rsid w:val="007F4D09"/>
    <w:rsid w:val="00804EC4"/>
    <w:rsid w:val="00815479"/>
    <w:rsid w:val="008167CA"/>
    <w:rsid w:val="00824E57"/>
    <w:rsid w:val="00833C29"/>
    <w:rsid w:val="00853DB5"/>
    <w:rsid w:val="00854071"/>
    <w:rsid w:val="00861036"/>
    <w:rsid w:val="00862599"/>
    <w:rsid w:val="00864E5E"/>
    <w:rsid w:val="00871A06"/>
    <w:rsid w:val="00874ADA"/>
    <w:rsid w:val="00876A3C"/>
    <w:rsid w:val="00876E3D"/>
    <w:rsid w:val="00885472"/>
    <w:rsid w:val="00885618"/>
    <w:rsid w:val="0089033E"/>
    <w:rsid w:val="008948BE"/>
    <w:rsid w:val="00895C02"/>
    <w:rsid w:val="00895C10"/>
    <w:rsid w:val="008977D0"/>
    <w:rsid w:val="008A6279"/>
    <w:rsid w:val="008A6724"/>
    <w:rsid w:val="008B2141"/>
    <w:rsid w:val="008B2CC1"/>
    <w:rsid w:val="008B60B2"/>
    <w:rsid w:val="008B6115"/>
    <w:rsid w:val="008C187F"/>
    <w:rsid w:val="008C241B"/>
    <w:rsid w:val="008C2D2F"/>
    <w:rsid w:val="008C2FE6"/>
    <w:rsid w:val="008C3EFB"/>
    <w:rsid w:val="008C67A6"/>
    <w:rsid w:val="008C67B2"/>
    <w:rsid w:val="008C6BD4"/>
    <w:rsid w:val="008E15D6"/>
    <w:rsid w:val="008E58E1"/>
    <w:rsid w:val="008F1F70"/>
    <w:rsid w:val="008F7686"/>
    <w:rsid w:val="008F7963"/>
    <w:rsid w:val="00906353"/>
    <w:rsid w:val="0090731E"/>
    <w:rsid w:val="0091408F"/>
    <w:rsid w:val="009168A2"/>
    <w:rsid w:val="00916EE2"/>
    <w:rsid w:val="00922789"/>
    <w:rsid w:val="00923F21"/>
    <w:rsid w:val="00924184"/>
    <w:rsid w:val="009317D3"/>
    <w:rsid w:val="0093216E"/>
    <w:rsid w:val="00932C0F"/>
    <w:rsid w:val="00935C8E"/>
    <w:rsid w:val="009362E6"/>
    <w:rsid w:val="009378BE"/>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693F"/>
    <w:rsid w:val="00997550"/>
    <w:rsid w:val="00997AAD"/>
    <w:rsid w:val="009A43C7"/>
    <w:rsid w:val="009A5891"/>
    <w:rsid w:val="009A591F"/>
    <w:rsid w:val="009A6B34"/>
    <w:rsid w:val="009B5891"/>
    <w:rsid w:val="009C0C04"/>
    <w:rsid w:val="009C50B6"/>
    <w:rsid w:val="009E2791"/>
    <w:rsid w:val="009E3F6F"/>
    <w:rsid w:val="009E5F9F"/>
    <w:rsid w:val="009F0611"/>
    <w:rsid w:val="009F2A14"/>
    <w:rsid w:val="009F4153"/>
    <w:rsid w:val="009F499F"/>
    <w:rsid w:val="00A024BB"/>
    <w:rsid w:val="00A053CB"/>
    <w:rsid w:val="00A06031"/>
    <w:rsid w:val="00A131ED"/>
    <w:rsid w:val="00A1336B"/>
    <w:rsid w:val="00A1504E"/>
    <w:rsid w:val="00A21684"/>
    <w:rsid w:val="00A25430"/>
    <w:rsid w:val="00A2667E"/>
    <w:rsid w:val="00A26A24"/>
    <w:rsid w:val="00A353ED"/>
    <w:rsid w:val="00A41CFE"/>
    <w:rsid w:val="00A42230"/>
    <w:rsid w:val="00A42DAF"/>
    <w:rsid w:val="00A45BD8"/>
    <w:rsid w:val="00A468E2"/>
    <w:rsid w:val="00A47F15"/>
    <w:rsid w:val="00A53E19"/>
    <w:rsid w:val="00A54939"/>
    <w:rsid w:val="00A63F6A"/>
    <w:rsid w:val="00A65D9F"/>
    <w:rsid w:val="00A73224"/>
    <w:rsid w:val="00A80E06"/>
    <w:rsid w:val="00A81E6D"/>
    <w:rsid w:val="00A869B7"/>
    <w:rsid w:val="00A97423"/>
    <w:rsid w:val="00AA015E"/>
    <w:rsid w:val="00AA0F3B"/>
    <w:rsid w:val="00AA1EEF"/>
    <w:rsid w:val="00AA274F"/>
    <w:rsid w:val="00AB2538"/>
    <w:rsid w:val="00AB73F9"/>
    <w:rsid w:val="00AC205C"/>
    <w:rsid w:val="00AC2F5B"/>
    <w:rsid w:val="00AD38EE"/>
    <w:rsid w:val="00AD3EF4"/>
    <w:rsid w:val="00AE69DE"/>
    <w:rsid w:val="00AF0A6B"/>
    <w:rsid w:val="00AF5108"/>
    <w:rsid w:val="00B03BA6"/>
    <w:rsid w:val="00B05A69"/>
    <w:rsid w:val="00B21387"/>
    <w:rsid w:val="00B2247B"/>
    <w:rsid w:val="00B369A9"/>
    <w:rsid w:val="00B42B1F"/>
    <w:rsid w:val="00B43D6F"/>
    <w:rsid w:val="00B46D7E"/>
    <w:rsid w:val="00B52388"/>
    <w:rsid w:val="00B54D7D"/>
    <w:rsid w:val="00B579A3"/>
    <w:rsid w:val="00B626B4"/>
    <w:rsid w:val="00B65F23"/>
    <w:rsid w:val="00B764C0"/>
    <w:rsid w:val="00B7672F"/>
    <w:rsid w:val="00B8093A"/>
    <w:rsid w:val="00B8152B"/>
    <w:rsid w:val="00B83157"/>
    <w:rsid w:val="00B8589F"/>
    <w:rsid w:val="00B91056"/>
    <w:rsid w:val="00B9734B"/>
    <w:rsid w:val="00B97A85"/>
    <w:rsid w:val="00BA4E1A"/>
    <w:rsid w:val="00BA59F8"/>
    <w:rsid w:val="00BA63F6"/>
    <w:rsid w:val="00BA6DE5"/>
    <w:rsid w:val="00BB2321"/>
    <w:rsid w:val="00BB30F3"/>
    <w:rsid w:val="00BB4419"/>
    <w:rsid w:val="00BB78C7"/>
    <w:rsid w:val="00BC04DE"/>
    <w:rsid w:val="00BD03E2"/>
    <w:rsid w:val="00BD32E8"/>
    <w:rsid w:val="00BE2AA1"/>
    <w:rsid w:val="00BE3131"/>
    <w:rsid w:val="00BE4C18"/>
    <w:rsid w:val="00BE55D6"/>
    <w:rsid w:val="00BE5857"/>
    <w:rsid w:val="00C063B1"/>
    <w:rsid w:val="00C103C2"/>
    <w:rsid w:val="00C11BFE"/>
    <w:rsid w:val="00C21281"/>
    <w:rsid w:val="00C21D7B"/>
    <w:rsid w:val="00C36B89"/>
    <w:rsid w:val="00C42DBE"/>
    <w:rsid w:val="00C45642"/>
    <w:rsid w:val="00C45A04"/>
    <w:rsid w:val="00C47421"/>
    <w:rsid w:val="00C52EDC"/>
    <w:rsid w:val="00C556FE"/>
    <w:rsid w:val="00C613D5"/>
    <w:rsid w:val="00C63C1C"/>
    <w:rsid w:val="00C6430D"/>
    <w:rsid w:val="00C661FF"/>
    <w:rsid w:val="00C74FA5"/>
    <w:rsid w:val="00C7796C"/>
    <w:rsid w:val="00C80362"/>
    <w:rsid w:val="00C83B93"/>
    <w:rsid w:val="00C8462A"/>
    <w:rsid w:val="00C977DB"/>
    <w:rsid w:val="00C97BDC"/>
    <w:rsid w:val="00CB132F"/>
    <w:rsid w:val="00CB4916"/>
    <w:rsid w:val="00CC5016"/>
    <w:rsid w:val="00CE00D7"/>
    <w:rsid w:val="00CE0A51"/>
    <w:rsid w:val="00CE0F4D"/>
    <w:rsid w:val="00CE6390"/>
    <w:rsid w:val="00CF4536"/>
    <w:rsid w:val="00CF45C1"/>
    <w:rsid w:val="00D044EB"/>
    <w:rsid w:val="00D055A0"/>
    <w:rsid w:val="00D07763"/>
    <w:rsid w:val="00D1594E"/>
    <w:rsid w:val="00D22BD4"/>
    <w:rsid w:val="00D30CC7"/>
    <w:rsid w:val="00D31C2F"/>
    <w:rsid w:val="00D36664"/>
    <w:rsid w:val="00D40A98"/>
    <w:rsid w:val="00D424EC"/>
    <w:rsid w:val="00D45252"/>
    <w:rsid w:val="00D52D2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52AD"/>
    <w:rsid w:val="00D96FB4"/>
    <w:rsid w:val="00DB42CB"/>
    <w:rsid w:val="00DC3E50"/>
    <w:rsid w:val="00DC4D0C"/>
    <w:rsid w:val="00DC52DA"/>
    <w:rsid w:val="00DD076F"/>
    <w:rsid w:val="00DD2EB5"/>
    <w:rsid w:val="00DF4247"/>
    <w:rsid w:val="00E10E07"/>
    <w:rsid w:val="00E23CCD"/>
    <w:rsid w:val="00E23D62"/>
    <w:rsid w:val="00E24971"/>
    <w:rsid w:val="00E24CA1"/>
    <w:rsid w:val="00E335FE"/>
    <w:rsid w:val="00E357A9"/>
    <w:rsid w:val="00E41401"/>
    <w:rsid w:val="00E42B9A"/>
    <w:rsid w:val="00E45DF9"/>
    <w:rsid w:val="00E52EC3"/>
    <w:rsid w:val="00E532DC"/>
    <w:rsid w:val="00E62E7A"/>
    <w:rsid w:val="00E64114"/>
    <w:rsid w:val="00E6440A"/>
    <w:rsid w:val="00E66C2C"/>
    <w:rsid w:val="00E724BB"/>
    <w:rsid w:val="00E74803"/>
    <w:rsid w:val="00E804B6"/>
    <w:rsid w:val="00E81E80"/>
    <w:rsid w:val="00E81ED6"/>
    <w:rsid w:val="00E83E34"/>
    <w:rsid w:val="00E84406"/>
    <w:rsid w:val="00E8598B"/>
    <w:rsid w:val="00E86A19"/>
    <w:rsid w:val="00E873F6"/>
    <w:rsid w:val="00E87F26"/>
    <w:rsid w:val="00E901C1"/>
    <w:rsid w:val="00EA1DD1"/>
    <w:rsid w:val="00EB2461"/>
    <w:rsid w:val="00EB333E"/>
    <w:rsid w:val="00EB4183"/>
    <w:rsid w:val="00EC23FC"/>
    <w:rsid w:val="00EC26A8"/>
    <w:rsid w:val="00EC4E49"/>
    <w:rsid w:val="00EC7915"/>
    <w:rsid w:val="00ED38E9"/>
    <w:rsid w:val="00ED4C4F"/>
    <w:rsid w:val="00ED77FB"/>
    <w:rsid w:val="00EE0E83"/>
    <w:rsid w:val="00EE28AC"/>
    <w:rsid w:val="00EE45FA"/>
    <w:rsid w:val="00EE5748"/>
    <w:rsid w:val="00EF0146"/>
    <w:rsid w:val="00EF65B9"/>
    <w:rsid w:val="00F051A3"/>
    <w:rsid w:val="00F06691"/>
    <w:rsid w:val="00F0720F"/>
    <w:rsid w:val="00F07EF8"/>
    <w:rsid w:val="00F10E66"/>
    <w:rsid w:val="00F201C4"/>
    <w:rsid w:val="00F25E4F"/>
    <w:rsid w:val="00F32ABD"/>
    <w:rsid w:val="00F34729"/>
    <w:rsid w:val="00F36A20"/>
    <w:rsid w:val="00F47560"/>
    <w:rsid w:val="00F56536"/>
    <w:rsid w:val="00F66152"/>
    <w:rsid w:val="00F760AB"/>
    <w:rsid w:val="00F7721F"/>
    <w:rsid w:val="00F82164"/>
    <w:rsid w:val="00F86AE7"/>
    <w:rsid w:val="00FA156A"/>
    <w:rsid w:val="00FC1F36"/>
    <w:rsid w:val="00FC3D36"/>
    <w:rsid w:val="00FC4357"/>
    <w:rsid w:val="00FC4C8A"/>
    <w:rsid w:val="00FC5A27"/>
    <w:rsid w:val="00FD5FE1"/>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350D84A6"/>
  <w15:docId w15:val="{438836FC-3745-477D-A79D-11B54350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customStyle="1" w:styleId="BodyTextChar">
    <w:name w:val="Body Text Char"/>
    <w:basedOn w:val="DefaultParagraphFont"/>
    <w:link w:val="BodyText"/>
    <w:rsid w:val="002C054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D32B-4437-4609-9155-A4D8F47F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3095</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3674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ST LEGER Nathalie</cp:lastModifiedBy>
  <cp:revision>4</cp:revision>
  <cp:lastPrinted>2020-10-19T09:21:00Z</cp:lastPrinted>
  <dcterms:created xsi:type="dcterms:W3CDTF">2020-10-15T14:48:00Z</dcterms:created>
  <dcterms:modified xsi:type="dcterms:W3CDTF">2020-10-19T09:22:00Z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e0391ad6-e285-4670-9e97-f8813f103338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