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64380" w:rsidRPr="00AF4FEA" w14:paraId="6F8875D4" w14:textId="77777777" w:rsidTr="00CC5016">
        <w:tc>
          <w:tcPr>
            <w:tcW w:w="4513" w:type="dxa"/>
            <w:tcBorders>
              <w:bottom w:val="single" w:sz="4" w:space="0" w:color="auto"/>
            </w:tcBorders>
            <w:tcMar>
              <w:bottom w:w="170" w:type="dxa"/>
            </w:tcMar>
          </w:tcPr>
          <w:p w14:paraId="604C25EF" w14:textId="77777777" w:rsidR="00EC4E49" w:rsidRPr="00AF4FEA" w:rsidRDefault="00EC4E49" w:rsidP="00916EE2">
            <w:pPr>
              <w:rPr>
                <w:rFonts w:eastAsiaTheme="minorEastAsia"/>
                <w:lang w:val="es-419" w:eastAsia="ja-JP"/>
              </w:rPr>
            </w:pPr>
          </w:p>
        </w:tc>
        <w:tc>
          <w:tcPr>
            <w:tcW w:w="4337" w:type="dxa"/>
            <w:tcBorders>
              <w:bottom w:val="single" w:sz="4" w:space="0" w:color="auto"/>
            </w:tcBorders>
            <w:tcMar>
              <w:left w:w="0" w:type="dxa"/>
              <w:right w:w="0" w:type="dxa"/>
            </w:tcMar>
          </w:tcPr>
          <w:p w14:paraId="64582FE4" w14:textId="2D1F5F80" w:rsidR="00EC4E49" w:rsidRPr="00AF4FEA" w:rsidRDefault="002372DC" w:rsidP="00916EE2">
            <w:pPr>
              <w:rPr>
                <w:lang w:val="es-419"/>
              </w:rPr>
            </w:pPr>
            <w:r w:rsidRPr="00AF4FEA">
              <w:rPr>
                <w:noProof/>
                <w:lang w:eastAsia="en-US"/>
              </w:rPr>
              <w:drawing>
                <wp:inline distT="0" distB="0" distL="0" distR="0" wp14:anchorId="279F856C" wp14:editId="2DCE447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AF4FEA" w:rsidRDefault="00EC4E49" w:rsidP="00916EE2">
            <w:pPr>
              <w:jc w:val="right"/>
              <w:rPr>
                <w:lang w:val="es-419"/>
              </w:rPr>
            </w:pPr>
          </w:p>
        </w:tc>
      </w:tr>
      <w:tr w:rsidR="00264380" w:rsidRPr="00AF4FEA"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AF4FEA" w:rsidRDefault="008B2CC1" w:rsidP="00916EE2">
            <w:pPr>
              <w:jc w:val="right"/>
              <w:rPr>
                <w:rFonts w:ascii="Arial Black" w:hAnsi="Arial Black"/>
                <w:caps/>
                <w:sz w:val="15"/>
                <w:lang w:val="es-419"/>
              </w:rPr>
            </w:pPr>
            <w:bookmarkStart w:id="0" w:name="Original"/>
            <w:bookmarkEnd w:id="0"/>
          </w:p>
        </w:tc>
      </w:tr>
      <w:tr w:rsidR="00264380" w:rsidRPr="00AF4FEA" w14:paraId="05D4EA00" w14:textId="77777777" w:rsidTr="00916EE2">
        <w:trPr>
          <w:trHeight w:hRule="exact" w:val="198"/>
        </w:trPr>
        <w:tc>
          <w:tcPr>
            <w:tcW w:w="9356" w:type="dxa"/>
            <w:gridSpan w:val="3"/>
            <w:tcMar>
              <w:left w:w="0" w:type="dxa"/>
              <w:right w:w="0" w:type="dxa"/>
            </w:tcMar>
            <w:vAlign w:val="bottom"/>
          </w:tcPr>
          <w:p w14:paraId="53E11D38" w14:textId="77777777" w:rsidR="001E0E2C" w:rsidRPr="00AF4FEA" w:rsidRDefault="002372DC" w:rsidP="007D75ED">
            <w:pPr>
              <w:jc w:val="right"/>
              <w:rPr>
                <w:rFonts w:ascii="Arial Black" w:hAnsi="Arial Black"/>
                <w:caps/>
                <w:sz w:val="15"/>
                <w:lang w:val="es-419"/>
              </w:rPr>
            </w:pPr>
            <w:r w:rsidRPr="00AF4FEA">
              <w:rPr>
                <w:rFonts w:ascii="Arial Black" w:hAnsi="Arial Black"/>
                <w:caps/>
                <w:sz w:val="15"/>
                <w:lang w:val="es-419"/>
              </w:rPr>
              <w:t>AVISO</w:t>
            </w:r>
            <w:r w:rsidR="00CC5016" w:rsidRPr="00AF4FEA">
              <w:rPr>
                <w:rFonts w:ascii="Arial Black" w:hAnsi="Arial Black"/>
                <w:caps/>
                <w:sz w:val="15"/>
                <w:lang w:val="es-419"/>
              </w:rPr>
              <w:t xml:space="preserve"> N.</w:t>
            </w:r>
            <w:r w:rsidRPr="00AF4FEA">
              <w:rPr>
                <w:rFonts w:ascii="Arial Black" w:hAnsi="Arial Black"/>
                <w:caps/>
                <w:sz w:val="15"/>
                <w:lang w:val="es-419"/>
              </w:rPr>
              <w:t>º</w:t>
            </w:r>
            <w:r w:rsidR="00CC5016" w:rsidRPr="00AF4FEA">
              <w:rPr>
                <w:rFonts w:ascii="Arial Black" w:hAnsi="Arial Black"/>
                <w:caps/>
                <w:sz w:val="15"/>
                <w:lang w:val="es-419"/>
              </w:rPr>
              <w:t xml:space="preserve"> </w:t>
            </w:r>
            <w:r w:rsidR="005857F2" w:rsidRPr="00AF4FEA">
              <w:rPr>
                <w:rFonts w:ascii="Arial Black" w:hAnsi="Arial Black"/>
                <w:caps/>
                <w:sz w:val="15"/>
                <w:lang w:val="es-419"/>
              </w:rPr>
              <w:t>6</w:t>
            </w:r>
            <w:r w:rsidR="00CC5016" w:rsidRPr="00AF4FEA">
              <w:rPr>
                <w:rFonts w:ascii="Arial Black" w:hAnsi="Arial Black"/>
                <w:caps/>
                <w:sz w:val="15"/>
                <w:lang w:val="es-419"/>
              </w:rPr>
              <w:t>/20</w:t>
            </w:r>
            <w:r w:rsidR="00502C99" w:rsidRPr="00AF4FEA">
              <w:rPr>
                <w:rFonts w:ascii="Arial Black" w:hAnsi="Arial Black"/>
                <w:caps/>
                <w:sz w:val="15"/>
                <w:lang w:val="es-419"/>
              </w:rPr>
              <w:t>2</w:t>
            </w:r>
            <w:r w:rsidR="00BD1CCE" w:rsidRPr="00AF4FEA">
              <w:rPr>
                <w:rFonts w:ascii="Arial Black" w:hAnsi="Arial Black"/>
                <w:caps/>
                <w:sz w:val="15"/>
                <w:lang w:val="es-419"/>
              </w:rPr>
              <w:t>2</w:t>
            </w:r>
          </w:p>
          <w:p w14:paraId="12A95956" w14:textId="2C33A22B" w:rsidR="008B2CC1" w:rsidRPr="00AF4FEA" w:rsidRDefault="00A42DAF" w:rsidP="002303FA">
            <w:pPr>
              <w:ind w:right="75"/>
              <w:jc w:val="right"/>
              <w:rPr>
                <w:rFonts w:ascii="Arial Black" w:hAnsi="Arial Black"/>
                <w:caps/>
                <w:sz w:val="15"/>
                <w:lang w:val="es-419"/>
              </w:rPr>
            </w:pPr>
            <w:r w:rsidRPr="00AF4FEA">
              <w:rPr>
                <w:rFonts w:ascii="Arial Black" w:hAnsi="Arial Black"/>
                <w:caps/>
                <w:sz w:val="15"/>
                <w:lang w:val="es-419"/>
              </w:rPr>
              <w:t xml:space="preserve"> </w:t>
            </w:r>
            <w:r w:rsidR="008B2CC1" w:rsidRPr="00AF4FEA">
              <w:rPr>
                <w:rFonts w:ascii="Arial Black" w:hAnsi="Arial Black"/>
                <w:caps/>
                <w:sz w:val="15"/>
                <w:lang w:val="es-419"/>
              </w:rPr>
              <w:t xml:space="preserve"> </w:t>
            </w:r>
            <w:bookmarkStart w:id="1" w:name="Date"/>
            <w:bookmarkEnd w:id="1"/>
          </w:p>
        </w:tc>
      </w:tr>
    </w:tbl>
    <w:p w14:paraId="676B0617" w14:textId="44BE6A51" w:rsidR="001E0E2C" w:rsidRPr="00AF4FEA" w:rsidRDefault="001E0E2C" w:rsidP="001E0E2C">
      <w:pPr>
        <w:autoSpaceDE w:val="0"/>
        <w:autoSpaceDN w:val="0"/>
        <w:adjustRightInd w:val="0"/>
        <w:spacing w:before="1200"/>
        <w:rPr>
          <w:b/>
          <w:bCs/>
          <w:sz w:val="28"/>
          <w:szCs w:val="28"/>
          <w:lang w:val="es-419"/>
        </w:rPr>
      </w:pPr>
      <w:r w:rsidRPr="00AF4FEA">
        <w:rPr>
          <w:b/>
          <w:bCs/>
          <w:sz w:val="28"/>
          <w:szCs w:val="28"/>
          <w:lang w:val="es-419"/>
        </w:rPr>
        <w:t xml:space="preserve">Arreglo de La Haya relativo al </w:t>
      </w:r>
      <w:r w:rsidR="008F1309">
        <w:rPr>
          <w:b/>
          <w:bCs/>
          <w:sz w:val="28"/>
          <w:szCs w:val="28"/>
          <w:lang w:val="es-419"/>
        </w:rPr>
        <w:t>R</w:t>
      </w:r>
      <w:r w:rsidRPr="00AF4FEA">
        <w:rPr>
          <w:b/>
          <w:bCs/>
          <w:sz w:val="28"/>
          <w:szCs w:val="28"/>
          <w:lang w:val="es-419"/>
        </w:rPr>
        <w:t xml:space="preserve">egistro </w:t>
      </w:r>
      <w:r w:rsidR="008F1309">
        <w:rPr>
          <w:b/>
          <w:bCs/>
          <w:sz w:val="28"/>
          <w:szCs w:val="28"/>
          <w:lang w:val="es-419"/>
        </w:rPr>
        <w:t>I</w:t>
      </w:r>
      <w:r w:rsidRPr="00AF4FEA">
        <w:rPr>
          <w:b/>
          <w:bCs/>
          <w:sz w:val="28"/>
          <w:szCs w:val="28"/>
          <w:lang w:val="es-419"/>
        </w:rPr>
        <w:t xml:space="preserve">nternacional de </w:t>
      </w:r>
      <w:r w:rsidR="008F1309">
        <w:rPr>
          <w:b/>
          <w:bCs/>
          <w:sz w:val="28"/>
          <w:szCs w:val="28"/>
          <w:lang w:val="es-419"/>
        </w:rPr>
        <w:t>D</w:t>
      </w:r>
      <w:r w:rsidRPr="00AF4FEA">
        <w:rPr>
          <w:b/>
          <w:bCs/>
          <w:sz w:val="28"/>
          <w:szCs w:val="28"/>
          <w:lang w:val="es-419"/>
        </w:rPr>
        <w:t xml:space="preserve">ibujos y </w:t>
      </w:r>
      <w:r w:rsidR="008F1309">
        <w:rPr>
          <w:b/>
          <w:bCs/>
          <w:sz w:val="28"/>
          <w:szCs w:val="28"/>
          <w:lang w:val="es-419"/>
        </w:rPr>
        <w:t>M</w:t>
      </w:r>
      <w:r w:rsidRPr="00AF4FEA">
        <w:rPr>
          <w:b/>
          <w:bCs/>
          <w:sz w:val="28"/>
          <w:szCs w:val="28"/>
          <w:lang w:val="es-419"/>
        </w:rPr>
        <w:t xml:space="preserve">odelos </w:t>
      </w:r>
      <w:r w:rsidR="008F1309">
        <w:rPr>
          <w:b/>
          <w:bCs/>
          <w:sz w:val="28"/>
          <w:szCs w:val="28"/>
          <w:lang w:val="es-419"/>
        </w:rPr>
        <w:t>I</w:t>
      </w:r>
      <w:r w:rsidRPr="00AF4FEA">
        <w:rPr>
          <w:b/>
          <w:bCs/>
          <w:sz w:val="28"/>
          <w:szCs w:val="28"/>
          <w:lang w:val="es-419"/>
        </w:rPr>
        <w:t>ndustriales</w:t>
      </w:r>
    </w:p>
    <w:p w14:paraId="0CB4D6B8" w14:textId="34EA2BDE" w:rsidR="001E0E2C" w:rsidRPr="00AF4FEA" w:rsidRDefault="00FF1CF3" w:rsidP="001E0E2C">
      <w:pPr>
        <w:spacing w:before="720" w:after="240"/>
        <w:outlineLvl w:val="0"/>
        <w:rPr>
          <w:b/>
          <w:bCs/>
          <w:iCs/>
          <w:caps/>
          <w:sz w:val="24"/>
          <w:szCs w:val="24"/>
          <w:lang w:val="es-419"/>
        </w:rPr>
      </w:pPr>
      <w:r w:rsidRPr="00AF4FEA">
        <w:rPr>
          <w:b/>
          <w:bCs/>
          <w:iCs/>
          <w:sz w:val="24"/>
          <w:szCs w:val="24"/>
          <w:lang w:val="es-419"/>
        </w:rPr>
        <w:t xml:space="preserve">Adhesión al Acta de </w:t>
      </w:r>
      <w:r w:rsidR="001E0E2C" w:rsidRPr="00AF4FEA">
        <w:rPr>
          <w:b/>
          <w:bCs/>
          <w:iCs/>
          <w:caps/>
          <w:sz w:val="24"/>
          <w:szCs w:val="24"/>
          <w:lang w:val="es-419"/>
        </w:rPr>
        <w:t xml:space="preserve">1999: </w:t>
      </w:r>
      <w:r w:rsidRPr="00AF4FEA">
        <w:rPr>
          <w:b/>
          <w:bCs/>
          <w:iCs/>
          <w:sz w:val="24"/>
          <w:szCs w:val="24"/>
          <w:lang w:val="es-419"/>
        </w:rPr>
        <w:t>China</w:t>
      </w:r>
    </w:p>
    <w:p w14:paraId="17A8A004" w14:textId="592F0AE0" w:rsidR="001E0E2C" w:rsidRPr="00AF4FEA" w:rsidRDefault="001E0E2C" w:rsidP="001E0E2C">
      <w:pPr>
        <w:pStyle w:val="ListParagraph"/>
        <w:numPr>
          <w:ilvl w:val="0"/>
          <w:numId w:val="7"/>
        </w:numPr>
        <w:spacing w:after="220"/>
        <w:ind w:left="0" w:firstLine="0"/>
        <w:contextualSpacing w:val="0"/>
        <w:rPr>
          <w:lang w:val="es-419"/>
        </w:rPr>
      </w:pPr>
      <w:r w:rsidRPr="00AF4FEA">
        <w:rPr>
          <w:lang w:val="es-419"/>
        </w:rPr>
        <w:t xml:space="preserve">El 5 de febrero de 2022, el Gobierno de China depositó en poder del </w:t>
      </w:r>
      <w:r w:rsidR="009D63C0">
        <w:rPr>
          <w:lang w:val="es-419"/>
        </w:rPr>
        <w:t>D</w:t>
      </w:r>
      <w:r w:rsidRPr="00AF4FEA">
        <w:rPr>
          <w:lang w:val="es-419"/>
        </w:rPr>
        <w:t xml:space="preserve">irector </w:t>
      </w:r>
      <w:r w:rsidR="009D63C0">
        <w:rPr>
          <w:lang w:val="es-419"/>
        </w:rPr>
        <w:t>G</w:t>
      </w:r>
      <w:r w:rsidRPr="00AF4FEA">
        <w:rPr>
          <w:lang w:val="es-419"/>
        </w:rPr>
        <w:t>eneral de la Organización Mundial de la Propiedad Intelectual (OMPI) su instrumento de adhesión al Acta de Ginebra del Arreglo de La Haya relativo al Registro Internacional de Dibujos y Modelos Industriales (“Acta de 1999”).</w:t>
      </w:r>
    </w:p>
    <w:p w14:paraId="5E11473F" w14:textId="20374626" w:rsidR="001E0E2C" w:rsidRPr="00AF4FEA" w:rsidRDefault="001E0E2C" w:rsidP="001E0E2C">
      <w:pPr>
        <w:pStyle w:val="ListParagraph"/>
        <w:numPr>
          <w:ilvl w:val="0"/>
          <w:numId w:val="7"/>
        </w:numPr>
        <w:spacing w:after="220"/>
        <w:ind w:left="0" w:firstLine="0"/>
        <w:contextualSpacing w:val="0"/>
        <w:rPr>
          <w:lang w:val="es-419"/>
        </w:rPr>
      </w:pPr>
      <w:r w:rsidRPr="00AF4FEA">
        <w:rPr>
          <w:lang w:val="es-419"/>
        </w:rPr>
        <w:t>El instrumento de adhesión se acompañó de las siguientes declaraciones efectuadas en virtud del Acta de 1999 y del Reglamento Común del Acta de 1999 y del Acta de 1960 del Arreglo de La Haya (</w:t>
      </w:r>
      <w:r w:rsidR="008F1309">
        <w:rPr>
          <w:lang w:val="es-419"/>
        </w:rPr>
        <w:t>“</w:t>
      </w:r>
      <w:r w:rsidRPr="00AF4FEA">
        <w:rPr>
          <w:lang w:val="es-419"/>
        </w:rPr>
        <w:t>Reglamento Común</w:t>
      </w:r>
      <w:r w:rsidR="008F1309">
        <w:rPr>
          <w:lang w:val="es-419"/>
        </w:rPr>
        <w:t>”</w:t>
      </w:r>
      <w:r w:rsidRPr="00AF4FEA">
        <w:rPr>
          <w:lang w:val="es-419"/>
        </w:rPr>
        <w:t>):</w:t>
      </w:r>
    </w:p>
    <w:p w14:paraId="596CB8E5" w14:textId="3429E2F8" w:rsidR="001E0E2C" w:rsidRPr="00AF4FEA" w:rsidRDefault="009F572A" w:rsidP="001E0E2C">
      <w:pPr>
        <w:pStyle w:val="ListParagraph"/>
        <w:spacing w:after="220"/>
        <w:ind w:left="567"/>
        <w:contextualSpacing w:val="0"/>
        <w:rPr>
          <w:lang w:val="es-419"/>
        </w:rPr>
      </w:pPr>
      <w:r w:rsidRPr="00AF4FEA">
        <w:rPr>
          <w:lang w:val="es-419"/>
        </w:rPr>
        <w:t>–</w:t>
      </w:r>
      <w:r w:rsidRPr="00AF4FEA">
        <w:rPr>
          <w:lang w:val="es-419"/>
        </w:rPr>
        <w:tab/>
      </w:r>
      <w:r w:rsidR="001E0E2C" w:rsidRPr="00AF4FEA">
        <w:rPr>
          <w:lang w:val="es-419"/>
        </w:rPr>
        <w:t xml:space="preserve">la declaración a la que se refiere el Artículo 5.2.a) del Acta de 1999, según la cual toda solicitud internacional en la que se designe China deberá contener una </w:t>
      </w:r>
      <w:r w:rsidR="00046642" w:rsidRPr="00AF4FEA">
        <w:rPr>
          <w:lang w:val="es-419"/>
        </w:rPr>
        <w:t xml:space="preserve">breve </w:t>
      </w:r>
      <w:r w:rsidR="001E0E2C" w:rsidRPr="00AF4FEA">
        <w:rPr>
          <w:lang w:val="es-419"/>
        </w:rPr>
        <w:t>descripción de l</w:t>
      </w:r>
      <w:r w:rsidR="008F1309">
        <w:rPr>
          <w:lang w:val="es-419"/>
        </w:rPr>
        <w:t>o</w:t>
      </w:r>
      <w:r w:rsidR="001E0E2C" w:rsidRPr="00AF4FEA">
        <w:rPr>
          <w:lang w:val="es-419"/>
        </w:rPr>
        <w:t xml:space="preserve">s </w:t>
      </w:r>
      <w:r w:rsidR="008F1309">
        <w:rPr>
          <w:lang w:val="es-419"/>
        </w:rPr>
        <w:t xml:space="preserve">elementos </w:t>
      </w:r>
      <w:r w:rsidR="001E0E2C" w:rsidRPr="00AF4FEA">
        <w:rPr>
          <w:lang w:val="es-419"/>
        </w:rPr>
        <w:t>característic</w:t>
      </w:r>
      <w:r w:rsidR="008F1309">
        <w:rPr>
          <w:lang w:val="es-419"/>
        </w:rPr>
        <w:t>o</w:t>
      </w:r>
      <w:r w:rsidR="001E0E2C" w:rsidRPr="00AF4FEA">
        <w:rPr>
          <w:lang w:val="es-419"/>
        </w:rPr>
        <w:t>s del dibujo o modelo,</w:t>
      </w:r>
      <w:r w:rsidR="00046642" w:rsidRPr="00AF4FEA">
        <w:rPr>
          <w:lang w:val="es-419"/>
        </w:rPr>
        <w:t xml:space="preserve"> de conformidad con el Artículo </w:t>
      </w:r>
      <w:proofErr w:type="gramStart"/>
      <w:r w:rsidR="001E0E2C" w:rsidRPr="00AF4FEA">
        <w:rPr>
          <w:lang w:val="es-419"/>
        </w:rPr>
        <w:t>5.2.b)ii</w:t>
      </w:r>
      <w:proofErr w:type="gramEnd"/>
      <w:r w:rsidR="001E0E2C" w:rsidRPr="00AF4FEA">
        <w:rPr>
          <w:lang w:val="es-419"/>
        </w:rPr>
        <w:t>);</w:t>
      </w:r>
    </w:p>
    <w:p w14:paraId="3D655FFA" w14:textId="7CC112D5" w:rsidR="001E0E2C" w:rsidRPr="00AF4FEA" w:rsidRDefault="009F572A" w:rsidP="005E526D">
      <w:pPr>
        <w:pStyle w:val="ListParagraph"/>
        <w:spacing w:after="220"/>
        <w:ind w:left="567"/>
        <w:contextualSpacing w:val="0"/>
        <w:rPr>
          <w:lang w:val="es-419"/>
        </w:rPr>
      </w:pPr>
      <w:r w:rsidRPr="00AF4FEA">
        <w:rPr>
          <w:lang w:val="es-419"/>
        </w:rPr>
        <w:t>–</w:t>
      </w:r>
      <w:r w:rsidRPr="00AF4FEA">
        <w:rPr>
          <w:lang w:val="es-419"/>
        </w:rPr>
        <w:tab/>
      </w:r>
      <w:r w:rsidR="005E526D" w:rsidRPr="00AF4FEA">
        <w:rPr>
          <w:lang w:val="es-419"/>
        </w:rPr>
        <w:t xml:space="preserve">la declaración a la que se refiere el </w:t>
      </w:r>
      <w:r w:rsidR="009D63C0">
        <w:rPr>
          <w:lang w:val="es-419"/>
        </w:rPr>
        <w:t>A</w:t>
      </w:r>
      <w:r w:rsidR="005E526D" w:rsidRPr="00AF4FEA">
        <w:rPr>
          <w:lang w:val="es-419"/>
        </w:rPr>
        <w:t xml:space="preserve">rtículo 7.2) del Acta de 1999, en la que se indica que, en relación con toda solicitud internacional en la que </w:t>
      </w:r>
      <w:r w:rsidR="00002020" w:rsidRPr="00AF4FEA">
        <w:rPr>
          <w:lang w:val="es-419"/>
        </w:rPr>
        <w:t xml:space="preserve">se designe </w:t>
      </w:r>
      <w:r w:rsidR="005E526D" w:rsidRPr="00AF4FEA">
        <w:rPr>
          <w:lang w:val="es-419"/>
        </w:rPr>
        <w:t>China, y en relación con la renovación de todo registro internacional resultante de esa solicitud internacional, se sustituirá la tasa de designación prescrita por una tasa de designación individual.</w:t>
      </w:r>
      <w:r w:rsidR="00786C49" w:rsidRPr="00AF4FEA">
        <w:rPr>
          <w:lang w:val="es-419"/>
        </w:rPr>
        <w:t xml:space="preserve"> </w:t>
      </w:r>
      <w:r w:rsidR="005E526D" w:rsidRPr="00AF4FEA">
        <w:rPr>
          <w:lang w:val="es-419"/>
        </w:rPr>
        <w:t xml:space="preserve">Los detalles de la declaración y la cuantía de la tasa individual de designación serán objeto de otro </w:t>
      </w:r>
      <w:r w:rsidR="008F1309">
        <w:rPr>
          <w:lang w:val="es-419"/>
        </w:rPr>
        <w:t>A</w:t>
      </w:r>
      <w:r w:rsidR="005E526D" w:rsidRPr="00AF4FEA">
        <w:rPr>
          <w:lang w:val="es-419"/>
        </w:rPr>
        <w:t>viso;</w:t>
      </w:r>
    </w:p>
    <w:p w14:paraId="5EF6E3DC" w14:textId="0F2E4DEC" w:rsidR="001E0E2C" w:rsidRPr="00AF4FEA" w:rsidRDefault="00823DCC" w:rsidP="005E526D">
      <w:pPr>
        <w:pStyle w:val="ListParagraph"/>
        <w:spacing w:after="220"/>
        <w:ind w:left="562"/>
        <w:contextualSpacing w:val="0"/>
        <w:rPr>
          <w:lang w:val="es-419"/>
        </w:rPr>
      </w:pPr>
      <w:r w:rsidRPr="00AF4FEA">
        <w:rPr>
          <w:lang w:val="es-419"/>
        </w:rPr>
        <w:t>–</w:t>
      </w:r>
      <w:r w:rsidRPr="00AF4FEA">
        <w:rPr>
          <w:lang w:val="es-419"/>
        </w:rPr>
        <w:tab/>
      </w:r>
      <w:r w:rsidR="009F572A" w:rsidRPr="00AF4FEA">
        <w:rPr>
          <w:lang w:val="es-419"/>
        </w:rPr>
        <w:t>la</w:t>
      </w:r>
      <w:r w:rsidRPr="00AF4FEA">
        <w:rPr>
          <w:lang w:val="es-419"/>
        </w:rPr>
        <w:t xml:space="preserve"> </w:t>
      </w:r>
      <w:r w:rsidR="00002020" w:rsidRPr="00AF4FEA">
        <w:rPr>
          <w:lang w:val="es-419"/>
        </w:rPr>
        <w:t>declaración</w:t>
      </w:r>
      <w:r w:rsidRPr="00AF4FEA">
        <w:rPr>
          <w:lang w:val="es-419"/>
        </w:rPr>
        <w:t xml:space="preserve"> </w:t>
      </w:r>
      <w:r w:rsidR="009F572A" w:rsidRPr="00AF4FEA">
        <w:rPr>
          <w:lang w:val="es-419"/>
        </w:rPr>
        <w:t>mencionada en el</w:t>
      </w:r>
      <w:r w:rsidRPr="00AF4FEA">
        <w:rPr>
          <w:lang w:val="es-419"/>
        </w:rPr>
        <w:t xml:space="preserve"> Art</w:t>
      </w:r>
      <w:r w:rsidR="009F572A" w:rsidRPr="00AF4FEA">
        <w:rPr>
          <w:lang w:val="es-419"/>
        </w:rPr>
        <w:t>ículo 13.</w:t>
      </w:r>
      <w:r w:rsidRPr="00AF4FEA">
        <w:rPr>
          <w:lang w:val="es-419"/>
        </w:rPr>
        <w:t xml:space="preserve">1) </w:t>
      </w:r>
      <w:r w:rsidR="009F572A" w:rsidRPr="00AF4FEA">
        <w:rPr>
          <w:lang w:val="es-419"/>
        </w:rPr>
        <w:t>del</w:t>
      </w:r>
      <w:r w:rsidRPr="00AF4FEA">
        <w:rPr>
          <w:lang w:val="es-419"/>
        </w:rPr>
        <w:t xml:space="preserve"> </w:t>
      </w:r>
      <w:r w:rsidR="005E526D" w:rsidRPr="00AF4FEA">
        <w:rPr>
          <w:lang w:val="es-419"/>
        </w:rPr>
        <w:t xml:space="preserve">Acta de </w:t>
      </w:r>
      <w:r w:rsidR="008F1309">
        <w:rPr>
          <w:lang w:val="es-419"/>
        </w:rPr>
        <w:t>1999</w:t>
      </w:r>
      <w:r w:rsidRPr="00AF4FEA">
        <w:rPr>
          <w:lang w:val="es-419"/>
        </w:rPr>
        <w:t xml:space="preserve">, </w:t>
      </w:r>
      <w:r w:rsidR="009F572A" w:rsidRPr="00AF4FEA">
        <w:rPr>
          <w:lang w:val="es-419"/>
        </w:rPr>
        <w:t xml:space="preserve">por la cual, de conformidad con la legislación de </w:t>
      </w:r>
      <w:r w:rsidR="005E526D" w:rsidRPr="00AF4FEA">
        <w:rPr>
          <w:lang w:val="es-419"/>
        </w:rPr>
        <w:t>China</w:t>
      </w:r>
      <w:r w:rsidRPr="00AF4FEA">
        <w:rPr>
          <w:lang w:val="es-419"/>
        </w:rPr>
        <w:t xml:space="preserve">, </w:t>
      </w:r>
      <w:r w:rsidR="00F100F9" w:rsidRPr="00AF4FEA">
        <w:rPr>
          <w:lang w:val="es-419"/>
        </w:rPr>
        <w:t>“</w:t>
      </w:r>
      <w:r w:rsidR="009F572A" w:rsidRPr="00AF4FEA">
        <w:rPr>
          <w:lang w:val="es-419"/>
        </w:rPr>
        <w:t xml:space="preserve">una solicitud de </w:t>
      </w:r>
      <w:r w:rsidR="008F1309">
        <w:rPr>
          <w:lang w:val="es-419"/>
        </w:rPr>
        <w:t>registro</w:t>
      </w:r>
      <w:r w:rsidR="008F1309" w:rsidRPr="00AF4FEA">
        <w:rPr>
          <w:lang w:val="es-419"/>
        </w:rPr>
        <w:t xml:space="preserve"> </w:t>
      </w:r>
      <w:r w:rsidR="005E526D" w:rsidRPr="00AF4FEA">
        <w:rPr>
          <w:lang w:val="es-419"/>
        </w:rPr>
        <w:t xml:space="preserve">de </w:t>
      </w:r>
      <w:r w:rsidR="008F1309">
        <w:rPr>
          <w:lang w:val="es-419"/>
        </w:rPr>
        <w:t>dibujo o modelo</w:t>
      </w:r>
      <w:r w:rsidR="00F100F9" w:rsidRPr="00AF4FEA">
        <w:rPr>
          <w:lang w:val="es-419"/>
        </w:rPr>
        <w:t xml:space="preserve"> </w:t>
      </w:r>
      <w:r w:rsidR="009F572A" w:rsidRPr="00AF4FEA">
        <w:rPr>
          <w:lang w:val="es-419"/>
        </w:rPr>
        <w:t xml:space="preserve">deberá limitarse a un </w:t>
      </w:r>
      <w:r w:rsidR="008F1309">
        <w:rPr>
          <w:lang w:val="es-419"/>
        </w:rPr>
        <w:t>dibujo o modelo</w:t>
      </w:r>
      <w:r w:rsidR="00F138CC" w:rsidRPr="00AF4FEA">
        <w:rPr>
          <w:lang w:val="es-419"/>
        </w:rPr>
        <w:t xml:space="preserve">. </w:t>
      </w:r>
      <w:r w:rsidR="009F572A" w:rsidRPr="00AF4FEA">
        <w:rPr>
          <w:lang w:val="es-419"/>
        </w:rPr>
        <w:t xml:space="preserve">Pueden incluirse en una única solicitud dos o más </w:t>
      </w:r>
      <w:r w:rsidR="008F1309">
        <w:rPr>
          <w:lang w:val="es-419"/>
        </w:rPr>
        <w:t>dibujos o modelos</w:t>
      </w:r>
      <w:r w:rsidR="008F1309" w:rsidRPr="00AF4FEA">
        <w:rPr>
          <w:lang w:val="es-419"/>
        </w:rPr>
        <w:t xml:space="preserve"> </w:t>
      </w:r>
      <w:r w:rsidR="009F572A" w:rsidRPr="00AF4FEA">
        <w:rPr>
          <w:lang w:val="es-419"/>
        </w:rPr>
        <w:t>similares para el mismo</w:t>
      </w:r>
      <w:r w:rsidR="00F138CC" w:rsidRPr="00AF4FEA">
        <w:rPr>
          <w:lang w:val="es-419"/>
        </w:rPr>
        <w:t xml:space="preserve"> </w:t>
      </w:r>
      <w:r w:rsidR="005E526D" w:rsidRPr="00AF4FEA">
        <w:rPr>
          <w:lang w:val="es-419"/>
        </w:rPr>
        <w:t>producto</w:t>
      </w:r>
      <w:r w:rsidR="00F138CC" w:rsidRPr="00AF4FEA">
        <w:rPr>
          <w:lang w:val="es-419"/>
        </w:rPr>
        <w:t xml:space="preserve"> </w:t>
      </w:r>
      <w:r w:rsidR="00002020" w:rsidRPr="00AF4FEA">
        <w:rPr>
          <w:lang w:val="es-419"/>
        </w:rPr>
        <w:t>o</w:t>
      </w:r>
      <w:r w:rsidR="00F138CC" w:rsidRPr="00AF4FEA">
        <w:rPr>
          <w:lang w:val="es-419"/>
        </w:rPr>
        <w:t xml:space="preserve"> </w:t>
      </w:r>
      <w:r w:rsidR="009F572A" w:rsidRPr="00AF4FEA">
        <w:rPr>
          <w:lang w:val="es-419"/>
        </w:rPr>
        <w:t xml:space="preserve">dos o más </w:t>
      </w:r>
      <w:r w:rsidR="008F1309">
        <w:rPr>
          <w:lang w:val="es-419"/>
        </w:rPr>
        <w:t>dibujos o modelos</w:t>
      </w:r>
      <w:r w:rsidR="008F1309" w:rsidRPr="00AF4FEA">
        <w:rPr>
          <w:lang w:val="es-419"/>
        </w:rPr>
        <w:t xml:space="preserve"> </w:t>
      </w:r>
      <w:r w:rsidR="009F572A" w:rsidRPr="00AF4FEA">
        <w:rPr>
          <w:lang w:val="es-419"/>
        </w:rPr>
        <w:t>que se incorporan en productos que pertenecen a la misma</w:t>
      </w:r>
      <w:r w:rsidR="00F138CC" w:rsidRPr="00AF4FEA">
        <w:rPr>
          <w:lang w:val="es-419"/>
        </w:rPr>
        <w:t xml:space="preserve"> </w:t>
      </w:r>
      <w:r w:rsidR="005E526D" w:rsidRPr="00AF4FEA">
        <w:rPr>
          <w:lang w:val="es-419"/>
        </w:rPr>
        <w:t xml:space="preserve">clase </w:t>
      </w:r>
      <w:r w:rsidR="009F572A" w:rsidRPr="00AF4FEA">
        <w:rPr>
          <w:lang w:val="es-419"/>
        </w:rPr>
        <w:t>y se venden o utilizan en conjunto</w:t>
      </w:r>
      <w:r w:rsidR="00F138CC" w:rsidRPr="00AF4FEA">
        <w:rPr>
          <w:lang w:val="es-419"/>
        </w:rPr>
        <w:t xml:space="preserve">. </w:t>
      </w:r>
      <w:r w:rsidR="009F572A" w:rsidRPr="00AF4FEA">
        <w:rPr>
          <w:lang w:val="es-419"/>
        </w:rPr>
        <w:t xml:space="preserve">Cuando se incluyen en una única solicitud dos o más </w:t>
      </w:r>
      <w:r w:rsidR="00452065">
        <w:rPr>
          <w:lang w:val="es-419"/>
        </w:rPr>
        <w:t>dibujos o modelos</w:t>
      </w:r>
      <w:r w:rsidR="00452065" w:rsidRPr="00AF4FEA">
        <w:rPr>
          <w:lang w:val="es-419"/>
        </w:rPr>
        <w:t xml:space="preserve"> </w:t>
      </w:r>
      <w:r w:rsidR="009F572A" w:rsidRPr="00AF4FEA">
        <w:rPr>
          <w:lang w:val="es-419"/>
        </w:rPr>
        <w:t>similares del mismo</w:t>
      </w:r>
      <w:r w:rsidR="00F138CC" w:rsidRPr="00AF4FEA">
        <w:rPr>
          <w:lang w:val="es-419"/>
        </w:rPr>
        <w:t xml:space="preserve"> </w:t>
      </w:r>
      <w:r w:rsidR="005E526D" w:rsidRPr="00AF4FEA">
        <w:rPr>
          <w:lang w:val="es-419"/>
        </w:rPr>
        <w:t>producto</w:t>
      </w:r>
      <w:r w:rsidR="00F138CC" w:rsidRPr="00AF4FEA">
        <w:rPr>
          <w:lang w:val="es-419"/>
        </w:rPr>
        <w:t xml:space="preserve">, </w:t>
      </w:r>
      <w:r w:rsidR="009F572A" w:rsidRPr="00AF4FEA">
        <w:rPr>
          <w:lang w:val="es-419"/>
        </w:rPr>
        <w:t xml:space="preserve">los otros </w:t>
      </w:r>
      <w:r w:rsidR="00452065">
        <w:rPr>
          <w:lang w:val="es-419"/>
        </w:rPr>
        <w:t>dibujos o modelos</w:t>
      </w:r>
      <w:r w:rsidR="00452065" w:rsidRPr="00AF4FEA">
        <w:rPr>
          <w:lang w:val="es-419"/>
        </w:rPr>
        <w:t xml:space="preserve"> </w:t>
      </w:r>
      <w:r w:rsidR="009F572A" w:rsidRPr="00AF4FEA">
        <w:rPr>
          <w:lang w:val="es-419"/>
        </w:rPr>
        <w:t xml:space="preserve">deberán ser similares al que se indica como </w:t>
      </w:r>
      <w:r w:rsidR="00452065">
        <w:rPr>
          <w:lang w:val="es-419"/>
        </w:rPr>
        <w:t>dibujo o modelo</w:t>
      </w:r>
      <w:r w:rsidR="00452065" w:rsidRPr="00AF4FEA">
        <w:rPr>
          <w:lang w:val="es-419"/>
        </w:rPr>
        <w:t xml:space="preserve"> </w:t>
      </w:r>
      <w:r w:rsidR="009F572A" w:rsidRPr="00AF4FEA">
        <w:rPr>
          <w:lang w:val="es-419"/>
        </w:rPr>
        <w:t xml:space="preserve">principal y el número </w:t>
      </w:r>
      <w:r w:rsidR="00F138CC" w:rsidRPr="00AF4FEA">
        <w:rPr>
          <w:lang w:val="es-419"/>
        </w:rPr>
        <w:t xml:space="preserve">total </w:t>
      </w:r>
      <w:r w:rsidR="009F572A" w:rsidRPr="00AF4FEA">
        <w:rPr>
          <w:lang w:val="es-419"/>
        </w:rPr>
        <w:t xml:space="preserve">de </w:t>
      </w:r>
      <w:r w:rsidR="00452065">
        <w:rPr>
          <w:lang w:val="es-419"/>
        </w:rPr>
        <w:t>dibujos o modelos</w:t>
      </w:r>
      <w:r w:rsidR="00452065" w:rsidRPr="00AF4FEA">
        <w:rPr>
          <w:lang w:val="es-419"/>
        </w:rPr>
        <w:t xml:space="preserve"> </w:t>
      </w:r>
      <w:r w:rsidR="009F572A" w:rsidRPr="00AF4FEA">
        <w:rPr>
          <w:lang w:val="es-419"/>
        </w:rPr>
        <w:t xml:space="preserve">no deberá ser superior a </w:t>
      </w:r>
      <w:r w:rsidR="00F138CC" w:rsidRPr="00AF4FEA">
        <w:rPr>
          <w:lang w:val="es-419"/>
        </w:rPr>
        <w:t xml:space="preserve">10. </w:t>
      </w:r>
      <w:r w:rsidR="009F572A" w:rsidRPr="00AF4FEA">
        <w:rPr>
          <w:lang w:val="es-419"/>
        </w:rPr>
        <w:t>En el</w:t>
      </w:r>
      <w:r w:rsidR="00F138CC" w:rsidRPr="00AF4FEA">
        <w:rPr>
          <w:lang w:val="es-419"/>
        </w:rPr>
        <w:t xml:space="preserve"> </w:t>
      </w:r>
      <w:r w:rsidR="005E526D" w:rsidRPr="00AF4FEA">
        <w:rPr>
          <w:lang w:val="es-419"/>
        </w:rPr>
        <w:t>caso</w:t>
      </w:r>
      <w:r w:rsidR="009F572A" w:rsidRPr="00AF4FEA">
        <w:rPr>
          <w:lang w:val="es-419"/>
        </w:rPr>
        <w:t xml:space="preserve">, mencionado más arriba, de que se incorporen dos o más </w:t>
      </w:r>
      <w:r w:rsidR="006479DE">
        <w:rPr>
          <w:lang w:val="es-419"/>
        </w:rPr>
        <w:t>dibujos o modelos</w:t>
      </w:r>
      <w:r w:rsidR="006479DE" w:rsidRPr="00AF4FEA">
        <w:rPr>
          <w:lang w:val="es-419"/>
        </w:rPr>
        <w:t xml:space="preserve"> </w:t>
      </w:r>
      <w:r w:rsidR="002E2FC0" w:rsidRPr="00AF4FEA">
        <w:rPr>
          <w:lang w:val="es-419"/>
        </w:rPr>
        <w:t>en</w:t>
      </w:r>
      <w:r w:rsidR="009F572A" w:rsidRPr="00AF4FEA">
        <w:rPr>
          <w:lang w:val="es-419"/>
        </w:rPr>
        <w:t xml:space="preserve"> productos que pertenecen a la misma</w:t>
      </w:r>
      <w:r w:rsidR="00F138CC" w:rsidRPr="00AF4FEA">
        <w:rPr>
          <w:lang w:val="es-419"/>
        </w:rPr>
        <w:t xml:space="preserve"> </w:t>
      </w:r>
      <w:r w:rsidR="005E526D" w:rsidRPr="00AF4FEA">
        <w:rPr>
          <w:lang w:val="es-419"/>
        </w:rPr>
        <w:t xml:space="preserve">clase </w:t>
      </w:r>
      <w:r w:rsidR="009F572A" w:rsidRPr="00AF4FEA">
        <w:rPr>
          <w:lang w:val="es-419"/>
        </w:rPr>
        <w:t>y se venden o utilizan en conjunto</w:t>
      </w:r>
      <w:r w:rsidR="00F138CC" w:rsidRPr="00AF4FEA">
        <w:rPr>
          <w:lang w:val="es-419"/>
        </w:rPr>
        <w:t xml:space="preserve">, </w:t>
      </w:r>
      <w:r w:rsidR="009F572A" w:rsidRPr="00AF4FEA">
        <w:rPr>
          <w:lang w:val="es-419"/>
        </w:rPr>
        <w:t>todos lo</w:t>
      </w:r>
      <w:r w:rsidR="006E60E1" w:rsidRPr="00AF4FEA">
        <w:rPr>
          <w:lang w:val="es-419"/>
        </w:rPr>
        <w:t>s</w:t>
      </w:r>
      <w:r w:rsidR="00F138CC" w:rsidRPr="00AF4FEA">
        <w:rPr>
          <w:lang w:val="es-419"/>
        </w:rPr>
        <w:t xml:space="preserve"> </w:t>
      </w:r>
      <w:r w:rsidR="00002020" w:rsidRPr="00AF4FEA">
        <w:rPr>
          <w:lang w:val="es-419"/>
        </w:rPr>
        <w:t>productos</w:t>
      </w:r>
      <w:r w:rsidR="00F138CC" w:rsidRPr="00AF4FEA">
        <w:rPr>
          <w:lang w:val="es-419"/>
        </w:rPr>
        <w:t xml:space="preserve"> </w:t>
      </w:r>
      <w:r w:rsidR="009F572A" w:rsidRPr="00AF4FEA">
        <w:rPr>
          <w:lang w:val="es-419"/>
        </w:rPr>
        <w:t>deben pertenecer a la misma</w:t>
      </w:r>
      <w:r w:rsidR="00F138CC" w:rsidRPr="00AF4FEA">
        <w:rPr>
          <w:lang w:val="es-419"/>
        </w:rPr>
        <w:t xml:space="preserve"> </w:t>
      </w:r>
      <w:r w:rsidR="005E526D" w:rsidRPr="00AF4FEA">
        <w:rPr>
          <w:lang w:val="es-419"/>
        </w:rPr>
        <w:t xml:space="preserve">clase de la Clasificación </w:t>
      </w:r>
      <w:r w:rsidR="00AC7B64" w:rsidRPr="00AF4FEA">
        <w:rPr>
          <w:lang w:val="es-419"/>
        </w:rPr>
        <w:t xml:space="preserve">Internacional para los </w:t>
      </w:r>
      <w:r w:rsidR="006E60E1" w:rsidRPr="00AF4FEA">
        <w:rPr>
          <w:lang w:val="es-419"/>
        </w:rPr>
        <w:t xml:space="preserve">Dibujos </w:t>
      </w:r>
      <w:r w:rsidR="00AC7B64" w:rsidRPr="00AF4FEA">
        <w:rPr>
          <w:lang w:val="es-419"/>
        </w:rPr>
        <w:t xml:space="preserve">y </w:t>
      </w:r>
      <w:r w:rsidR="006E60E1" w:rsidRPr="00AF4FEA">
        <w:rPr>
          <w:lang w:val="es-419"/>
        </w:rPr>
        <w:t xml:space="preserve">Modelos Industriales </w:t>
      </w:r>
      <w:r w:rsidR="00AC7B64" w:rsidRPr="00AF4FEA">
        <w:rPr>
          <w:lang w:val="es-419"/>
        </w:rPr>
        <w:t>y</w:t>
      </w:r>
      <w:r w:rsidR="006E60E1" w:rsidRPr="00AF4FEA">
        <w:rPr>
          <w:lang w:val="es-419"/>
        </w:rPr>
        <w:t>, habitualmente,</w:t>
      </w:r>
      <w:r w:rsidR="00F138CC" w:rsidRPr="00AF4FEA">
        <w:rPr>
          <w:lang w:val="es-419"/>
        </w:rPr>
        <w:t xml:space="preserve"> </w:t>
      </w:r>
      <w:r w:rsidR="006E60E1" w:rsidRPr="00AF4FEA">
        <w:rPr>
          <w:lang w:val="es-419"/>
        </w:rPr>
        <w:t xml:space="preserve">venderse </w:t>
      </w:r>
      <w:r w:rsidR="00002020" w:rsidRPr="00AF4FEA">
        <w:rPr>
          <w:lang w:val="es-419"/>
        </w:rPr>
        <w:t>o</w:t>
      </w:r>
      <w:r w:rsidR="00F138CC" w:rsidRPr="00AF4FEA">
        <w:rPr>
          <w:lang w:val="es-419"/>
        </w:rPr>
        <w:t xml:space="preserve"> </w:t>
      </w:r>
      <w:r w:rsidR="006E60E1" w:rsidRPr="00AF4FEA">
        <w:rPr>
          <w:lang w:val="es-419"/>
        </w:rPr>
        <w:t>utilizarse al mismo tiempo</w:t>
      </w:r>
      <w:r w:rsidR="00F138CC" w:rsidRPr="00AF4FEA">
        <w:rPr>
          <w:lang w:val="es-419"/>
        </w:rPr>
        <w:t xml:space="preserve">, </w:t>
      </w:r>
      <w:r w:rsidR="006E60E1" w:rsidRPr="00AF4FEA">
        <w:rPr>
          <w:lang w:val="es-419"/>
        </w:rPr>
        <w:t xml:space="preserve">y los </w:t>
      </w:r>
      <w:r w:rsidR="006479DE">
        <w:rPr>
          <w:lang w:val="es-419"/>
        </w:rPr>
        <w:t>dibujos o modelos</w:t>
      </w:r>
      <w:r w:rsidR="006479DE" w:rsidRPr="00AF4FEA">
        <w:rPr>
          <w:lang w:val="es-419"/>
        </w:rPr>
        <w:t xml:space="preserve"> </w:t>
      </w:r>
      <w:r w:rsidR="006E60E1" w:rsidRPr="00AF4FEA">
        <w:rPr>
          <w:lang w:val="es-419"/>
        </w:rPr>
        <w:t xml:space="preserve">incorporados en cada </w:t>
      </w:r>
      <w:r w:rsidR="005E526D" w:rsidRPr="00AF4FEA">
        <w:rPr>
          <w:lang w:val="es-419"/>
        </w:rPr>
        <w:t>producto</w:t>
      </w:r>
      <w:r w:rsidR="00F138CC" w:rsidRPr="00AF4FEA">
        <w:rPr>
          <w:lang w:val="es-419"/>
        </w:rPr>
        <w:t xml:space="preserve"> </w:t>
      </w:r>
      <w:r w:rsidR="006E60E1" w:rsidRPr="00AF4FEA">
        <w:rPr>
          <w:lang w:val="es-419"/>
        </w:rPr>
        <w:t>deben presentar el mismo concepto de diseño</w:t>
      </w:r>
      <w:r w:rsidR="00F138CC" w:rsidRPr="00AF4FEA">
        <w:rPr>
          <w:lang w:val="es-419"/>
        </w:rPr>
        <w:t>.</w:t>
      </w:r>
      <w:r w:rsidR="006E60E1" w:rsidRPr="00AF4FEA">
        <w:rPr>
          <w:lang w:val="es-419"/>
        </w:rPr>
        <w:t>”;</w:t>
      </w:r>
    </w:p>
    <w:p w14:paraId="6E398E28" w14:textId="7DA461A3" w:rsidR="001E0E2C" w:rsidRPr="00AF4FEA" w:rsidRDefault="008A6279" w:rsidP="000F2AEA">
      <w:pPr>
        <w:pStyle w:val="ListParagraph"/>
        <w:keepNext/>
        <w:keepLines/>
        <w:spacing w:after="220"/>
        <w:ind w:left="562"/>
        <w:contextualSpacing w:val="0"/>
        <w:rPr>
          <w:lang w:val="es-419"/>
        </w:rPr>
      </w:pPr>
      <w:r w:rsidRPr="00AF4FEA">
        <w:rPr>
          <w:lang w:val="es-419"/>
        </w:rPr>
        <w:lastRenderedPageBreak/>
        <w:t>–</w:t>
      </w:r>
      <w:r w:rsidRPr="00AF4FEA">
        <w:rPr>
          <w:lang w:val="es-419"/>
        </w:rPr>
        <w:tab/>
      </w:r>
      <w:r w:rsidR="006E60E1" w:rsidRPr="00AF4FEA">
        <w:rPr>
          <w:lang w:val="es-419"/>
        </w:rPr>
        <w:t>la</w:t>
      </w:r>
      <w:r w:rsidRPr="00AF4FEA">
        <w:rPr>
          <w:lang w:val="es-419"/>
        </w:rPr>
        <w:t xml:space="preserve"> </w:t>
      </w:r>
      <w:r w:rsidR="00002020" w:rsidRPr="00AF4FEA">
        <w:rPr>
          <w:lang w:val="es-419"/>
        </w:rPr>
        <w:t>declaración</w:t>
      </w:r>
      <w:r w:rsidRPr="00AF4FEA">
        <w:rPr>
          <w:lang w:val="es-419"/>
        </w:rPr>
        <w:t xml:space="preserve"> </w:t>
      </w:r>
      <w:r w:rsidR="006E60E1" w:rsidRPr="00AF4FEA">
        <w:rPr>
          <w:lang w:val="es-419"/>
        </w:rPr>
        <w:t>mencionada en el Artículo</w:t>
      </w:r>
      <w:r w:rsidRPr="00AF4FEA">
        <w:rPr>
          <w:lang w:val="es-419"/>
        </w:rPr>
        <w:t xml:space="preserve"> 16</w:t>
      </w:r>
      <w:r w:rsidR="006E60E1" w:rsidRPr="00AF4FEA">
        <w:rPr>
          <w:lang w:val="es-419"/>
        </w:rPr>
        <w:t>.</w:t>
      </w:r>
      <w:r w:rsidRPr="00AF4FEA">
        <w:rPr>
          <w:lang w:val="es-419"/>
        </w:rPr>
        <w:t xml:space="preserve">2) </w:t>
      </w:r>
      <w:r w:rsidR="006E60E1" w:rsidRPr="00AF4FEA">
        <w:rPr>
          <w:lang w:val="es-419"/>
        </w:rPr>
        <w:t>del</w:t>
      </w:r>
      <w:r w:rsidRPr="00AF4FEA">
        <w:rPr>
          <w:lang w:val="es-419"/>
        </w:rPr>
        <w:t xml:space="preserve"> </w:t>
      </w:r>
      <w:r w:rsidR="005E526D" w:rsidRPr="00AF4FEA">
        <w:rPr>
          <w:lang w:val="es-419"/>
        </w:rPr>
        <w:t xml:space="preserve">Acta de </w:t>
      </w:r>
      <w:r w:rsidR="006479DE">
        <w:rPr>
          <w:lang w:val="es-419"/>
        </w:rPr>
        <w:t>1999</w:t>
      </w:r>
      <w:r w:rsidR="004501C7" w:rsidRPr="00AF4FEA">
        <w:rPr>
          <w:lang w:val="es-419"/>
        </w:rPr>
        <w:t xml:space="preserve">, </w:t>
      </w:r>
      <w:r w:rsidR="006E60E1" w:rsidRPr="00AF4FEA">
        <w:rPr>
          <w:lang w:val="es-419"/>
        </w:rPr>
        <w:t xml:space="preserve">por la cual la inscripción de un cambio en la </w:t>
      </w:r>
      <w:r w:rsidR="005E526D" w:rsidRPr="00AF4FEA">
        <w:rPr>
          <w:lang w:val="es-419"/>
        </w:rPr>
        <w:t>titularidad</w:t>
      </w:r>
      <w:r w:rsidR="00CA66C3" w:rsidRPr="00AF4FEA">
        <w:rPr>
          <w:lang w:val="es-419"/>
        </w:rPr>
        <w:t xml:space="preserve"> </w:t>
      </w:r>
      <w:r w:rsidR="006E60E1" w:rsidRPr="00AF4FEA">
        <w:rPr>
          <w:lang w:val="es-419"/>
        </w:rPr>
        <w:t xml:space="preserve">de un </w:t>
      </w:r>
      <w:r w:rsidR="005E526D" w:rsidRPr="00AF4FEA">
        <w:rPr>
          <w:lang w:val="es-419"/>
        </w:rPr>
        <w:t>registro internacional</w:t>
      </w:r>
      <w:r w:rsidR="00CA66C3" w:rsidRPr="00AF4FEA">
        <w:rPr>
          <w:lang w:val="es-419"/>
        </w:rPr>
        <w:t xml:space="preserve"> </w:t>
      </w:r>
      <w:r w:rsidR="006E60E1" w:rsidRPr="00AF4FEA">
        <w:rPr>
          <w:lang w:val="es-419"/>
        </w:rPr>
        <w:t>e</w:t>
      </w:r>
      <w:r w:rsidR="00CA66C3" w:rsidRPr="00AF4FEA">
        <w:rPr>
          <w:lang w:val="es-419"/>
        </w:rPr>
        <w:t xml:space="preserve">n </w:t>
      </w:r>
      <w:r w:rsidR="006E60E1" w:rsidRPr="00AF4FEA">
        <w:rPr>
          <w:lang w:val="es-419"/>
        </w:rPr>
        <w:t>el</w:t>
      </w:r>
      <w:r w:rsidR="00CA66C3" w:rsidRPr="00AF4FEA">
        <w:rPr>
          <w:lang w:val="es-419"/>
        </w:rPr>
        <w:t xml:space="preserve"> </w:t>
      </w:r>
      <w:r w:rsidR="005E526D" w:rsidRPr="00AF4FEA">
        <w:rPr>
          <w:lang w:val="es-419"/>
        </w:rPr>
        <w:t>Registro Internacional</w:t>
      </w:r>
      <w:r w:rsidR="00CA66C3" w:rsidRPr="00AF4FEA">
        <w:rPr>
          <w:lang w:val="es-419"/>
        </w:rPr>
        <w:t xml:space="preserve"> </w:t>
      </w:r>
      <w:r w:rsidR="006E60E1" w:rsidRPr="00AF4FEA">
        <w:rPr>
          <w:lang w:val="es-419"/>
        </w:rPr>
        <w:t xml:space="preserve">no surtirá </w:t>
      </w:r>
      <w:r w:rsidR="00002020" w:rsidRPr="00AF4FEA">
        <w:rPr>
          <w:lang w:val="es-419"/>
        </w:rPr>
        <w:t>efecto</w:t>
      </w:r>
      <w:r w:rsidR="00CA66C3" w:rsidRPr="00AF4FEA">
        <w:rPr>
          <w:lang w:val="es-419"/>
        </w:rPr>
        <w:t xml:space="preserve"> </w:t>
      </w:r>
      <w:r w:rsidR="006E60E1" w:rsidRPr="00AF4FEA">
        <w:rPr>
          <w:lang w:val="es-419"/>
        </w:rPr>
        <w:t>e</w:t>
      </w:r>
      <w:r w:rsidR="00CA66C3" w:rsidRPr="00AF4FEA">
        <w:rPr>
          <w:lang w:val="es-419"/>
        </w:rPr>
        <w:t xml:space="preserve">n </w:t>
      </w:r>
      <w:r w:rsidR="005E526D" w:rsidRPr="00AF4FEA">
        <w:rPr>
          <w:lang w:val="es-419"/>
        </w:rPr>
        <w:t>China</w:t>
      </w:r>
      <w:r w:rsidR="00CA66C3" w:rsidRPr="00AF4FEA">
        <w:rPr>
          <w:lang w:val="es-419"/>
        </w:rPr>
        <w:t xml:space="preserve"> </w:t>
      </w:r>
      <w:r w:rsidR="006E60E1" w:rsidRPr="00AF4FEA">
        <w:rPr>
          <w:lang w:val="es-419"/>
        </w:rPr>
        <w:t xml:space="preserve">hasta </w:t>
      </w:r>
      <w:r w:rsidR="006479DE">
        <w:rPr>
          <w:lang w:val="es-419"/>
        </w:rPr>
        <w:t>que</w:t>
      </w:r>
      <w:r w:rsidR="006479DE" w:rsidRPr="00AF4FEA">
        <w:rPr>
          <w:lang w:val="es-419"/>
        </w:rPr>
        <w:t xml:space="preserve"> </w:t>
      </w:r>
      <w:r w:rsidR="006E60E1" w:rsidRPr="00AF4FEA">
        <w:rPr>
          <w:lang w:val="es-419"/>
        </w:rPr>
        <w:t>la Administración Nacional de Propiedad Intelectual de China</w:t>
      </w:r>
      <w:r w:rsidR="004501C7" w:rsidRPr="00AF4FEA">
        <w:rPr>
          <w:lang w:val="es-419"/>
        </w:rPr>
        <w:t xml:space="preserve"> (</w:t>
      </w:r>
      <w:r w:rsidR="005E526D" w:rsidRPr="00AF4FEA">
        <w:rPr>
          <w:lang w:val="es-419"/>
        </w:rPr>
        <w:t>CNIPA</w:t>
      </w:r>
      <w:r w:rsidR="004501C7" w:rsidRPr="00AF4FEA">
        <w:rPr>
          <w:lang w:val="es-419"/>
        </w:rPr>
        <w:t xml:space="preserve">) </w:t>
      </w:r>
      <w:r w:rsidR="006E60E1" w:rsidRPr="00AF4FEA">
        <w:rPr>
          <w:lang w:val="es-419"/>
        </w:rPr>
        <w:t xml:space="preserve">no </w:t>
      </w:r>
      <w:r w:rsidR="004501C7" w:rsidRPr="00AF4FEA">
        <w:rPr>
          <w:lang w:val="es-419"/>
        </w:rPr>
        <w:t>ha</w:t>
      </w:r>
      <w:r w:rsidR="006E60E1" w:rsidRPr="00AF4FEA">
        <w:rPr>
          <w:lang w:val="es-419"/>
        </w:rPr>
        <w:t>ya</w:t>
      </w:r>
      <w:r w:rsidR="004501C7" w:rsidRPr="00AF4FEA">
        <w:rPr>
          <w:lang w:val="es-419"/>
        </w:rPr>
        <w:t xml:space="preserve"> </w:t>
      </w:r>
      <w:r w:rsidR="006E60E1" w:rsidRPr="00AF4FEA">
        <w:rPr>
          <w:lang w:val="es-419"/>
        </w:rPr>
        <w:t>recibido los documentos justificativos del cambio</w:t>
      </w:r>
      <w:r w:rsidRPr="00AF4FEA">
        <w:rPr>
          <w:lang w:val="es-419"/>
        </w:rPr>
        <w:t>;</w:t>
      </w:r>
    </w:p>
    <w:p w14:paraId="75171F6B" w14:textId="2642A879" w:rsidR="001E0E2C" w:rsidRPr="00AF4FEA" w:rsidRDefault="006E60E1" w:rsidP="005E526D">
      <w:pPr>
        <w:pStyle w:val="ListParagraph"/>
        <w:spacing w:after="220"/>
        <w:ind w:left="567"/>
        <w:contextualSpacing w:val="0"/>
        <w:rPr>
          <w:lang w:val="es-419"/>
        </w:rPr>
      </w:pPr>
      <w:r w:rsidRPr="00AF4FEA">
        <w:rPr>
          <w:lang w:val="es-419"/>
        </w:rPr>
        <w:t>–</w:t>
      </w:r>
      <w:r w:rsidRPr="00AF4FEA">
        <w:rPr>
          <w:lang w:val="es-419"/>
        </w:rPr>
        <w:tab/>
      </w:r>
      <w:r w:rsidR="005E526D" w:rsidRPr="00AF4FEA">
        <w:rPr>
          <w:lang w:val="es-419"/>
        </w:rPr>
        <w:t>la declaración exigida en virtud del Artículo </w:t>
      </w:r>
      <w:proofErr w:type="gramStart"/>
      <w:r w:rsidR="005E526D" w:rsidRPr="00AF4FEA">
        <w:rPr>
          <w:lang w:val="es-419"/>
        </w:rPr>
        <w:t>17.3)c</w:t>
      </w:r>
      <w:proofErr w:type="gramEnd"/>
      <w:r w:rsidR="005E526D" w:rsidRPr="00AF4FEA">
        <w:rPr>
          <w:lang w:val="es-419"/>
        </w:rPr>
        <w:t xml:space="preserve">) del Acta de 1999, por la que se notifica que la duración máxima de la protección prevista por la legislación de China respecto de los </w:t>
      </w:r>
      <w:r w:rsidR="006479DE">
        <w:rPr>
          <w:lang w:val="es-419"/>
        </w:rPr>
        <w:t>dibujos o modelos</w:t>
      </w:r>
      <w:r w:rsidR="006479DE" w:rsidRPr="00AF4FEA">
        <w:rPr>
          <w:lang w:val="es-419"/>
        </w:rPr>
        <w:t xml:space="preserve"> </w:t>
      </w:r>
      <w:r w:rsidR="005E526D" w:rsidRPr="00AF4FEA">
        <w:rPr>
          <w:lang w:val="es-419"/>
        </w:rPr>
        <w:t>es de 15 años;</w:t>
      </w:r>
    </w:p>
    <w:p w14:paraId="05BD4E01" w14:textId="0DD38DEF" w:rsidR="001E0E2C" w:rsidRPr="00AF4FEA" w:rsidRDefault="001C4852" w:rsidP="005E526D">
      <w:pPr>
        <w:pStyle w:val="ListParagraph"/>
        <w:spacing w:after="220"/>
        <w:ind w:left="567"/>
        <w:contextualSpacing w:val="0"/>
        <w:rPr>
          <w:lang w:val="es-419"/>
        </w:rPr>
      </w:pPr>
      <w:r w:rsidRPr="00AF4FEA">
        <w:rPr>
          <w:lang w:val="es-419"/>
        </w:rPr>
        <w:t>–</w:t>
      </w:r>
      <w:r w:rsidRPr="00AF4FEA">
        <w:rPr>
          <w:lang w:val="es-419"/>
        </w:rPr>
        <w:tab/>
      </w:r>
      <w:r w:rsidR="006E60E1" w:rsidRPr="00AF4FEA">
        <w:rPr>
          <w:lang w:val="es-419"/>
        </w:rPr>
        <w:t>la</w:t>
      </w:r>
      <w:r w:rsidR="00531A96" w:rsidRPr="00AF4FEA">
        <w:rPr>
          <w:lang w:val="es-419"/>
        </w:rPr>
        <w:t xml:space="preserve"> </w:t>
      </w:r>
      <w:r w:rsidR="006E60E1" w:rsidRPr="00AF4FEA">
        <w:rPr>
          <w:lang w:val="es-419"/>
        </w:rPr>
        <w:t>declaración mencionada en la Regla 9.</w:t>
      </w:r>
      <w:r w:rsidR="007057C9" w:rsidRPr="00AF4FEA">
        <w:rPr>
          <w:lang w:val="es-419"/>
        </w:rPr>
        <w:t>3</w:t>
      </w:r>
      <w:r w:rsidR="00531A96" w:rsidRPr="00AF4FEA">
        <w:rPr>
          <w:lang w:val="es-419"/>
        </w:rPr>
        <w:t>)</w:t>
      </w:r>
      <w:r w:rsidR="007057C9" w:rsidRPr="00AF4FEA">
        <w:rPr>
          <w:lang w:val="es-419"/>
        </w:rPr>
        <w:t>a)</w:t>
      </w:r>
      <w:r w:rsidR="00531A96" w:rsidRPr="00AF4FEA">
        <w:rPr>
          <w:lang w:val="es-419"/>
        </w:rPr>
        <w:t xml:space="preserve"> </w:t>
      </w:r>
      <w:r w:rsidR="006E60E1" w:rsidRPr="00AF4FEA">
        <w:rPr>
          <w:lang w:val="es-419"/>
        </w:rPr>
        <w:t>del</w:t>
      </w:r>
      <w:r w:rsidR="00531A96" w:rsidRPr="00AF4FEA">
        <w:rPr>
          <w:lang w:val="es-419"/>
        </w:rPr>
        <w:t xml:space="preserve"> </w:t>
      </w:r>
      <w:r w:rsidR="005E526D" w:rsidRPr="00AF4FEA">
        <w:rPr>
          <w:lang w:val="es-419"/>
        </w:rPr>
        <w:t>Reglamento Común</w:t>
      </w:r>
      <w:r w:rsidR="00531A96" w:rsidRPr="00AF4FEA">
        <w:rPr>
          <w:lang w:val="es-419"/>
        </w:rPr>
        <w:t>,</w:t>
      </w:r>
      <w:r w:rsidR="00FB7C80" w:rsidRPr="00AF4FEA">
        <w:rPr>
          <w:lang w:val="es-419"/>
        </w:rPr>
        <w:t xml:space="preserve"> </w:t>
      </w:r>
      <w:r w:rsidR="006E60E1" w:rsidRPr="00AF4FEA">
        <w:rPr>
          <w:lang w:val="es-419"/>
        </w:rPr>
        <w:t>por la cual</w:t>
      </w:r>
      <w:r w:rsidR="00FB7C80" w:rsidRPr="00AF4FEA">
        <w:rPr>
          <w:lang w:val="es-419"/>
        </w:rPr>
        <w:t xml:space="preserve"> </w:t>
      </w:r>
      <w:r w:rsidR="00A822A3" w:rsidRPr="00AF4FEA">
        <w:rPr>
          <w:lang w:val="es-419"/>
        </w:rPr>
        <w:t>“</w:t>
      </w:r>
      <w:r w:rsidR="00297A09" w:rsidRPr="00AF4FEA">
        <w:rPr>
          <w:lang w:val="es-419"/>
        </w:rPr>
        <w:t>por cada</w:t>
      </w:r>
      <w:r w:rsidR="00A822A3" w:rsidRPr="00AF4FEA">
        <w:rPr>
          <w:lang w:val="es-419"/>
        </w:rPr>
        <w:t xml:space="preserve"> </w:t>
      </w:r>
      <w:r w:rsidR="005E526D" w:rsidRPr="00AF4FEA">
        <w:rPr>
          <w:lang w:val="es-419"/>
        </w:rPr>
        <w:t>solicitud internacional</w:t>
      </w:r>
      <w:r w:rsidR="00A822A3" w:rsidRPr="00AF4FEA">
        <w:rPr>
          <w:lang w:val="es-419"/>
        </w:rPr>
        <w:t xml:space="preserve"> </w:t>
      </w:r>
      <w:r w:rsidR="00297A09" w:rsidRPr="00AF4FEA">
        <w:rPr>
          <w:lang w:val="es-419"/>
        </w:rPr>
        <w:t xml:space="preserve">en la que se </w:t>
      </w:r>
      <w:r w:rsidR="00A822A3" w:rsidRPr="00AF4FEA">
        <w:rPr>
          <w:lang w:val="es-419"/>
        </w:rPr>
        <w:t>design</w:t>
      </w:r>
      <w:r w:rsidR="00297A09" w:rsidRPr="00AF4FEA">
        <w:rPr>
          <w:lang w:val="es-419"/>
        </w:rPr>
        <w:t>e</w:t>
      </w:r>
      <w:r w:rsidR="00A822A3" w:rsidRPr="00AF4FEA">
        <w:rPr>
          <w:lang w:val="es-419"/>
        </w:rPr>
        <w:t xml:space="preserve"> </w:t>
      </w:r>
      <w:r w:rsidR="005E526D" w:rsidRPr="00AF4FEA">
        <w:rPr>
          <w:lang w:val="es-419"/>
        </w:rPr>
        <w:t>China</w:t>
      </w:r>
      <w:r w:rsidR="00A822A3" w:rsidRPr="00AF4FEA">
        <w:rPr>
          <w:lang w:val="es-419"/>
        </w:rPr>
        <w:t xml:space="preserve">, </w:t>
      </w:r>
      <w:r w:rsidR="00297A09" w:rsidRPr="00AF4FEA">
        <w:rPr>
          <w:lang w:val="es-419"/>
        </w:rPr>
        <w:t>en lo que respecta a un</w:t>
      </w:r>
      <w:r w:rsidR="00A822A3" w:rsidRPr="00AF4FEA">
        <w:rPr>
          <w:lang w:val="es-419"/>
        </w:rPr>
        <w:t xml:space="preserve"> </w:t>
      </w:r>
      <w:r w:rsidR="005E526D" w:rsidRPr="00AF4FEA">
        <w:rPr>
          <w:lang w:val="es-419"/>
        </w:rPr>
        <w:t>producto</w:t>
      </w:r>
      <w:r w:rsidR="00FB7C80" w:rsidRPr="00AF4FEA">
        <w:rPr>
          <w:lang w:val="es-419"/>
        </w:rPr>
        <w:t xml:space="preserve"> </w:t>
      </w:r>
      <w:r w:rsidR="00297A09" w:rsidRPr="00AF4FEA">
        <w:rPr>
          <w:lang w:val="es-419"/>
        </w:rPr>
        <w:t>con un</w:t>
      </w:r>
      <w:r w:rsidR="00A822A3" w:rsidRPr="00AF4FEA">
        <w:rPr>
          <w:lang w:val="es-419"/>
        </w:rPr>
        <w:t xml:space="preserve"> </w:t>
      </w:r>
      <w:r w:rsidR="00DE1C54" w:rsidRPr="00AF4FEA">
        <w:rPr>
          <w:lang w:val="es-419"/>
        </w:rPr>
        <w:t>diseño</w:t>
      </w:r>
      <w:r w:rsidR="005E526D" w:rsidRPr="00AF4FEA">
        <w:rPr>
          <w:lang w:val="es-419"/>
        </w:rPr>
        <w:t xml:space="preserve"> tridimensional</w:t>
      </w:r>
      <w:r w:rsidR="00A822A3" w:rsidRPr="00AF4FEA">
        <w:rPr>
          <w:lang w:val="es-419"/>
        </w:rPr>
        <w:t xml:space="preserve">, o </w:t>
      </w:r>
      <w:r w:rsidR="00DE1C54" w:rsidRPr="00AF4FEA">
        <w:rPr>
          <w:lang w:val="es-419"/>
        </w:rPr>
        <w:t>si las</w:t>
      </w:r>
      <w:r w:rsidR="00A822A3" w:rsidRPr="00AF4FEA">
        <w:rPr>
          <w:lang w:val="es-419"/>
        </w:rPr>
        <w:t xml:space="preserve"> </w:t>
      </w:r>
      <w:r w:rsidR="006E60E1" w:rsidRPr="00AF4FEA">
        <w:rPr>
          <w:lang w:val="es-419"/>
        </w:rPr>
        <w:t>características esenciales del diseño del</w:t>
      </w:r>
      <w:r w:rsidR="00A822A3" w:rsidRPr="00AF4FEA">
        <w:rPr>
          <w:lang w:val="es-419"/>
        </w:rPr>
        <w:t xml:space="preserve"> </w:t>
      </w:r>
      <w:r w:rsidR="005E526D" w:rsidRPr="00AF4FEA">
        <w:rPr>
          <w:lang w:val="es-419"/>
        </w:rPr>
        <w:t>producto</w:t>
      </w:r>
      <w:r w:rsidR="00A822A3" w:rsidRPr="00AF4FEA">
        <w:rPr>
          <w:lang w:val="es-419"/>
        </w:rPr>
        <w:t xml:space="preserve"> </w:t>
      </w:r>
      <w:r w:rsidR="00DE1C54" w:rsidRPr="00AF4FEA">
        <w:rPr>
          <w:lang w:val="es-419"/>
        </w:rPr>
        <w:t>atañen únicamente a un</w:t>
      </w:r>
      <w:r w:rsidR="00A822A3" w:rsidRPr="00AF4FEA">
        <w:rPr>
          <w:lang w:val="es-419"/>
        </w:rPr>
        <w:t xml:space="preserve">a </w:t>
      </w:r>
      <w:r w:rsidR="00DE1C54" w:rsidRPr="00AF4FEA">
        <w:rPr>
          <w:lang w:val="es-419"/>
        </w:rPr>
        <w:t>interfaz gráfica de usuario</w:t>
      </w:r>
      <w:r w:rsidR="00A822A3" w:rsidRPr="00AF4FEA">
        <w:rPr>
          <w:lang w:val="es-419"/>
        </w:rPr>
        <w:t xml:space="preserve"> (</w:t>
      </w:r>
      <w:r w:rsidR="009D63C0">
        <w:rPr>
          <w:lang w:val="es-419"/>
        </w:rPr>
        <w:t>IGU</w:t>
      </w:r>
      <w:r w:rsidR="00A822A3" w:rsidRPr="00AF4FEA">
        <w:rPr>
          <w:lang w:val="es-419"/>
        </w:rPr>
        <w:t xml:space="preserve">), </w:t>
      </w:r>
      <w:r w:rsidR="00DE1C54" w:rsidRPr="00AF4FEA">
        <w:rPr>
          <w:lang w:val="es-419"/>
        </w:rPr>
        <w:t>el</w:t>
      </w:r>
      <w:r w:rsidR="00A822A3" w:rsidRPr="00AF4FEA">
        <w:rPr>
          <w:lang w:val="es-419"/>
        </w:rPr>
        <w:t xml:space="preserve"> </w:t>
      </w:r>
      <w:r w:rsidR="005E526D" w:rsidRPr="00AF4FEA">
        <w:rPr>
          <w:lang w:val="es-419"/>
        </w:rPr>
        <w:t>solicitante</w:t>
      </w:r>
      <w:r w:rsidR="00A822A3" w:rsidRPr="00AF4FEA">
        <w:rPr>
          <w:lang w:val="es-419"/>
        </w:rPr>
        <w:t xml:space="preserve"> </w:t>
      </w:r>
      <w:r w:rsidR="00DE1C54" w:rsidRPr="00AF4FEA">
        <w:rPr>
          <w:lang w:val="es-419"/>
        </w:rPr>
        <w:t>presentará una perspectiva o perspectivas del producto que cumplan los requisitos correspondientes</w:t>
      </w:r>
      <w:r w:rsidR="00A822A3" w:rsidRPr="00AF4FEA">
        <w:rPr>
          <w:lang w:val="es-419"/>
        </w:rPr>
        <w:t>”</w:t>
      </w:r>
      <w:r w:rsidR="00C21F62" w:rsidRPr="00AF4FEA">
        <w:rPr>
          <w:rStyle w:val="FootnoteReference"/>
          <w:lang w:val="es-419"/>
        </w:rPr>
        <w:footnoteReference w:id="2"/>
      </w:r>
      <w:r w:rsidR="00A822A3" w:rsidRPr="00AF4FEA">
        <w:rPr>
          <w:lang w:val="es-419"/>
        </w:rPr>
        <w:t>;</w:t>
      </w:r>
    </w:p>
    <w:p w14:paraId="4D689B3A" w14:textId="458B53F8" w:rsidR="001E0E2C" w:rsidRPr="00AF4FEA" w:rsidRDefault="00DE1C54" w:rsidP="005E526D">
      <w:pPr>
        <w:pStyle w:val="ListParagraph"/>
        <w:spacing w:after="220"/>
        <w:ind w:left="567"/>
        <w:contextualSpacing w:val="0"/>
        <w:rPr>
          <w:lang w:val="es-419"/>
        </w:rPr>
      </w:pPr>
      <w:r w:rsidRPr="00AF4FEA">
        <w:rPr>
          <w:lang w:val="es-419"/>
        </w:rPr>
        <w:t>–</w:t>
      </w:r>
      <w:r w:rsidRPr="00AF4FEA">
        <w:rPr>
          <w:lang w:val="es-419"/>
        </w:rPr>
        <w:tab/>
      </w:r>
      <w:r w:rsidR="005E526D" w:rsidRPr="00AF4FEA">
        <w:rPr>
          <w:lang w:val="es-419"/>
        </w:rPr>
        <w:t>la declaración mencionada en la Regla 18.1)b) del Reglamento Común, por la que se notifica que el plazo prescrito de seis meses para la notificación de una denegación de los efectos de un registro internacional es reemplazado por un plazo de 12 meses;</w:t>
      </w:r>
      <w:r w:rsidR="00CA66C3" w:rsidRPr="00AF4FEA">
        <w:rPr>
          <w:lang w:val="es-419"/>
        </w:rPr>
        <w:t xml:space="preserve"> </w:t>
      </w:r>
    </w:p>
    <w:p w14:paraId="4954E53B" w14:textId="457A6497" w:rsidR="001E0E2C" w:rsidRPr="00AF4FEA" w:rsidRDefault="002E2FC0" w:rsidP="005E526D">
      <w:pPr>
        <w:pStyle w:val="ListParagraph"/>
        <w:numPr>
          <w:ilvl w:val="0"/>
          <w:numId w:val="11"/>
        </w:numPr>
        <w:spacing w:after="220"/>
        <w:ind w:left="540" w:firstLine="27"/>
        <w:contextualSpacing w:val="0"/>
        <w:rPr>
          <w:u w:val="single"/>
          <w:lang w:val="es-419"/>
        </w:rPr>
      </w:pPr>
      <w:r w:rsidRPr="00AF4FEA">
        <w:rPr>
          <w:lang w:val="es-419"/>
        </w:rPr>
        <w:t>la</w:t>
      </w:r>
      <w:r w:rsidR="00704FBB" w:rsidRPr="00AF4FEA">
        <w:rPr>
          <w:lang w:val="es-419"/>
        </w:rPr>
        <w:t xml:space="preserve"> </w:t>
      </w:r>
      <w:r w:rsidR="006E60E1" w:rsidRPr="00AF4FEA">
        <w:rPr>
          <w:lang w:val="es-419"/>
        </w:rPr>
        <w:t>declaración mencionada en la Regla</w:t>
      </w:r>
      <w:r w:rsidR="00DE1C54" w:rsidRPr="00AF4FEA">
        <w:rPr>
          <w:lang w:val="es-419"/>
        </w:rPr>
        <w:t xml:space="preserve"> </w:t>
      </w:r>
      <w:proofErr w:type="gramStart"/>
      <w:r w:rsidR="00DE1C54" w:rsidRPr="00AF4FEA">
        <w:rPr>
          <w:lang w:val="es-419"/>
        </w:rPr>
        <w:t>18.</w:t>
      </w:r>
      <w:r w:rsidR="00704FBB" w:rsidRPr="00AF4FEA">
        <w:rPr>
          <w:lang w:val="es-419"/>
        </w:rPr>
        <w:t>1)c</w:t>
      </w:r>
      <w:proofErr w:type="gramEnd"/>
      <w:r w:rsidR="00704FBB" w:rsidRPr="00AF4FEA">
        <w:rPr>
          <w:lang w:val="es-419"/>
        </w:rPr>
        <w:t xml:space="preserve">)i) </w:t>
      </w:r>
      <w:r w:rsidR="00DE1C54" w:rsidRPr="00AF4FEA">
        <w:rPr>
          <w:lang w:val="es-419"/>
        </w:rPr>
        <w:t xml:space="preserve">del </w:t>
      </w:r>
      <w:r w:rsidR="005E526D" w:rsidRPr="00AF4FEA">
        <w:rPr>
          <w:lang w:val="es-419"/>
        </w:rPr>
        <w:t>Reglamento Común</w:t>
      </w:r>
      <w:r w:rsidR="00704FBB" w:rsidRPr="00AF4FEA">
        <w:rPr>
          <w:lang w:val="es-419"/>
        </w:rPr>
        <w:t xml:space="preserve">, </w:t>
      </w:r>
      <w:r w:rsidR="006E60E1" w:rsidRPr="00AF4FEA">
        <w:rPr>
          <w:lang w:val="es-419"/>
        </w:rPr>
        <w:t>por la cual</w:t>
      </w:r>
      <w:r w:rsidR="00704FBB" w:rsidRPr="00AF4FEA">
        <w:rPr>
          <w:lang w:val="es-419"/>
        </w:rPr>
        <w:t xml:space="preserve"> </w:t>
      </w:r>
      <w:r w:rsidR="00DE1C54" w:rsidRPr="00AF4FEA">
        <w:rPr>
          <w:lang w:val="es-419"/>
        </w:rPr>
        <w:t>el</w:t>
      </w:r>
      <w:r w:rsidR="00704FBB" w:rsidRPr="00AF4FEA">
        <w:rPr>
          <w:lang w:val="es-419"/>
        </w:rPr>
        <w:t xml:space="preserve"> </w:t>
      </w:r>
      <w:r w:rsidR="005E526D" w:rsidRPr="00AF4FEA">
        <w:rPr>
          <w:lang w:val="es-419"/>
        </w:rPr>
        <w:t>registro internacional</w:t>
      </w:r>
      <w:r w:rsidR="00704FBB" w:rsidRPr="00AF4FEA">
        <w:rPr>
          <w:lang w:val="es-419"/>
        </w:rPr>
        <w:t xml:space="preserve"> </w:t>
      </w:r>
      <w:r w:rsidR="00DE1C54" w:rsidRPr="00AF4FEA">
        <w:rPr>
          <w:lang w:val="es-419"/>
        </w:rPr>
        <w:t>surtirá los</w:t>
      </w:r>
      <w:r w:rsidR="00704FBB" w:rsidRPr="00AF4FEA">
        <w:rPr>
          <w:lang w:val="es-419"/>
        </w:rPr>
        <w:t xml:space="preserve"> </w:t>
      </w:r>
      <w:r w:rsidR="00002020" w:rsidRPr="00AF4FEA">
        <w:rPr>
          <w:lang w:val="es-419"/>
        </w:rPr>
        <w:t>efectos</w:t>
      </w:r>
      <w:r w:rsidR="00704FBB" w:rsidRPr="00AF4FEA">
        <w:rPr>
          <w:lang w:val="es-419"/>
        </w:rPr>
        <w:t xml:space="preserve"> </w:t>
      </w:r>
      <w:r w:rsidR="00DE1C54" w:rsidRPr="00AF4FEA">
        <w:rPr>
          <w:lang w:val="es-419"/>
        </w:rPr>
        <w:t>mencionados en el Artículo 14.2)</w:t>
      </w:r>
      <w:r w:rsidR="00704FBB" w:rsidRPr="00AF4FEA">
        <w:rPr>
          <w:lang w:val="es-419"/>
        </w:rPr>
        <w:t xml:space="preserve">a) </w:t>
      </w:r>
      <w:r w:rsidR="00DE1C54" w:rsidRPr="00AF4FEA">
        <w:rPr>
          <w:lang w:val="es-419"/>
        </w:rPr>
        <w:t>del</w:t>
      </w:r>
      <w:r w:rsidR="00A5696B" w:rsidRPr="00AF4FEA">
        <w:rPr>
          <w:lang w:val="es-419"/>
        </w:rPr>
        <w:t> </w:t>
      </w:r>
      <w:r w:rsidR="005E526D" w:rsidRPr="00AF4FEA">
        <w:rPr>
          <w:lang w:val="es-419"/>
        </w:rPr>
        <w:t>Acta de</w:t>
      </w:r>
      <w:r w:rsidR="009D63C0">
        <w:rPr>
          <w:lang w:val="es-419"/>
        </w:rPr>
        <w:t> </w:t>
      </w:r>
      <w:r w:rsidR="00A35155">
        <w:rPr>
          <w:lang w:val="es-419"/>
        </w:rPr>
        <w:t>1999</w:t>
      </w:r>
      <w:r w:rsidR="00A35155" w:rsidRPr="00AF4FEA">
        <w:rPr>
          <w:lang w:val="es-419"/>
        </w:rPr>
        <w:t xml:space="preserve"> </w:t>
      </w:r>
      <w:r w:rsidR="00DE1C54" w:rsidRPr="00AF4FEA">
        <w:rPr>
          <w:lang w:val="es-419"/>
        </w:rPr>
        <w:t xml:space="preserve">a partir de la fecha en que se concede la </w:t>
      </w:r>
      <w:r w:rsidR="005E526D" w:rsidRPr="00AF4FEA">
        <w:rPr>
          <w:lang w:val="es-419"/>
        </w:rPr>
        <w:t>protección</w:t>
      </w:r>
      <w:r w:rsidR="00704FBB" w:rsidRPr="00AF4FEA">
        <w:rPr>
          <w:lang w:val="es-419"/>
        </w:rPr>
        <w:t xml:space="preserve"> </w:t>
      </w:r>
      <w:r w:rsidR="00DE1C54" w:rsidRPr="00AF4FEA">
        <w:rPr>
          <w:lang w:val="es-419"/>
        </w:rPr>
        <w:t xml:space="preserve">con arreglo a la legislación de </w:t>
      </w:r>
      <w:r w:rsidR="005E526D" w:rsidRPr="00AF4FEA">
        <w:rPr>
          <w:lang w:val="es-419"/>
        </w:rPr>
        <w:t>China</w:t>
      </w:r>
      <w:r w:rsidR="00704FBB" w:rsidRPr="00AF4FEA">
        <w:rPr>
          <w:lang w:val="es-419"/>
        </w:rPr>
        <w:t xml:space="preserve">, </w:t>
      </w:r>
      <w:r w:rsidR="00DE1C54" w:rsidRPr="00AF4FEA">
        <w:rPr>
          <w:lang w:val="es-419"/>
        </w:rPr>
        <w:t xml:space="preserve">pero dentro de los seis meses contados a partir de la fecha de </w:t>
      </w:r>
      <w:r w:rsidR="00002020" w:rsidRPr="00AF4FEA">
        <w:rPr>
          <w:lang w:val="es-419"/>
        </w:rPr>
        <w:t>expiración</w:t>
      </w:r>
      <w:r w:rsidR="00704FBB" w:rsidRPr="00AF4FEA">
        <w:rPr>
          <w:lang w:val="es-419"/>
        </w:rPr>
        <w:t xml:space="preserve"> </w:t>
      </w:r>
      <w:r w:rsidR="00DE1C54" w:rsidRPr="00AF4FEA">
        <w:rPr>
          <w:lang w:val="es-419"/>
        </w:rPr>
        <w:t xml:space="preserve">del plazo de denegación de </w:t>
      </w:r>
      <w:r w:rsidR="00704FBB" w:rsidRPr="00AF4FEA">
        <w:rPr>
          <w:lang w:val="es-419"/>
        </w:rPr>
        <w:t>12</w:t>
      </w:r>
      <w:r w:rsidRPr="00AF4FEA">
        <w:rPr>
          <w:lang w:val="es-419"/>
        </w:rPr>
        <w:t xml:space="preserve"> meses</w:t>
      </w:r>
      <w:r w:rsidR="00DE1C54" w:rsidRPr="00AF4FEA">
        <w:rPr>
          <w:lang w:val="es-419"/>
        </w:rPr>
        <w:t>; y</w:t>
      </w:r>
    </w:p>
    <w:p w14:paraId="490545ED" w14:textId="0371CE19" w:rsidR="001E0E2C" w:rsidRPr="00AF4FEA" w:rsidRDefault="005E526D" w:rsidP="005E526D">
      <w:pPr>
        <w:pStyle w:val="ListParagraph"/>
        <w:numPr>
          <w:ilvl w:val="0"/>
          <w:numId w:val="11"/>
        </w:numPr>
        <w:spacing w:after="220"/>
        <w:ind w:left="540" w:firstLine="0"/>
        <w:contextualSpacing w:val="0"/>
        <w:rPr>
          <w:u w:val="single"/>
          <w:lang w:val="es-419"/>
        </w:rPr>
      </w:pPr>
      <w:r w:rsidRPr="00AF4FEA">
        <w:rPr>
          <w:lang w:val="es-419"/>
        </w:rPr>
        <w:t xml:space="preserve">la declaración mencionada en la Regla </w:t>
      </w:r>
      <w:proofErr w:type="gramStart"/>
      <w:r w:rsidRPr="00AF4FEA">
        <w:rPr>
          <w:lang w:val="es-419"/>
        </w:rPr>
        <w:t>18.1)c</w:t>
      </w:r>
      <w:proofErr w:type="gramEnd"/>
      <w:r w:rsidRPr="00AF4FEA">
        <w:rPr>
          <w:lang w:val="es-419"/>
        </w:rPr>
        <w:t>)i</w:t>
      </w:r>
      <w:r w:rsidR="00A35155">
        <w:rPr>
          <w:lang w:val="es-419"/>
        </w:rPr>
        <w:t>i</w:t>
      </w:r>
      <w:r w:rsidRPr="00AF4FEA">
        <w:rPr>
          <w:lang w:val="es-419"/>
        </w:rPr>
        <w:t>) del Reglamento Común, por la que se notifica que el registro internacional surtirá el efecto mencionado en el Artículo 14.2)a) del Acta de 1999 en China a partir de la fecha en que se conceda la protección con arreglo a la legislación de China, cuando, por razones involuntarias, no se comunicó una decisión relativa a la concesión de la protección dentro del plazo de denegación</w:t>
      </w:r>
      <w:r w:rsidR="002E2FC0" w:rsidRPr="00AF4FEA">
        <w:rPr>
          <w:lang w:val="es-419"/>
        </w:rPr>
        <w:t xml:space="preserve"> de </w:t>
      </w:r>
      <w:r w:rsidRPr="00AF4FEA">
        <w:rPr>
          <w:lang w:val="es-419"/>
        </w:rPr>
        <w:t>12</w:t>
      </w:r>
      <w:r w:rsidR="009D63C0">
        <w:rPr>
          <w:lang w:val="es-419"/>
        </w:rPr>
        <w:t> </w:t>
      </w:r>
      <w:r w:rsidRPr="00AF4FEA">
        <w:rPr>
          <w:lang w:val="es-419"/>
        </w:rPr>
        <w:t>meses.</w:t>
      </w:r>
    </w:p>
    <w:p w14:paraId="5C518E1E" w14:textId="71EA314E" w:rsidR="001E0E2C" w:rsidRPr="00AF4FEA" w:rsidRDefault="00DE1C54" w:rsidP="00002020">
      <w:pPr>
        <w:pStyle w:val="ListParagraph"/>
        <w:numPr>
          <w:ilvl w:val="0"/>
          <w:numId w:val="7"/>
        </w:numPr>
        <w:spacing w:after="220"/>
        <w:ind w:left="0" w:firstLine="0"/>
        <w:contextualSpacing w:val="0"/>
        <w:rPr>
          <w:lang w:val="es-419"/>
        </w:rPr>
      </w:pPr>
      <w:r w:rsidRPr="00AF4FEA">
        <w:rPr>
          <w:lang w:val="es-419"/>
        </w:rPr>
        <w:t>Además</w:t>
      </w:r>
      <w:r w:rsidR="00CD1182" w:rsidRPr="00AF4FEA">
        <w:rPr>
          <w:lang w:val="es-419"/>
        </w:rPr>
        <w:t xml:space="preserve">, </w:t>
      </w:r>
      <w:r w:rsidRPr="00AF4FEA">
        <w:rPr>
          <w:lang w:val="es-419"/>
        </w:rPr>
        <w:t>el Gobierno de</w:t>
      </w:r>
      <w:r w:rsidR="00CD1182" w:rsidRPr="00AF4FEA">
        <w:rPr>
          <w:lang w:val="es-419"/>
        </w:rPr>
        <w:t xml:space="preserve"> </w:t>
      </w:r>
      <w:r w:rsidR="005E526D" w:rsidRPr="00AF4FEA">
        <w:rPr>
          <w:lang w:val="es-419"/>
        </w:rPr>
        <w:t>China</w:t>
      </w:r>
      <w:r w:rsidR="00A965C4" w:rsidRPr="00AF4FEA">
        <w:rPr>
          <w:lang w:val="es-419"/>
        </w:rPr>
        <w:t xml:space="preserve"> </w:t>
      </w:r>
      <w:r w:rsidRPr="00AF4FEA">
        <w:rPr>
          <w:lang w:val="es-419"/>
        </w:rPr>
        <w:t xml:space="preserve">declaró que, de conformidad con la </w:t>
      </w:r>
      <w:r w:rsidR="004C0C0F" w:rsidRPr="00F76A78">
        <w:rPr>
          <w:lang w:val="es-419"/>
        </w:rPr>
        <w:t>Ley Fundamental</w:t>
      </w:r>
      <w:r w:rsidRPr="00F76A78">
        <w:rPr>
          <w:lang w:val="es-419"/>
        </w:rPr>
        <w:t xml:space="preserve"> de la </w:t>
      </w:r>
      <w:r w:rsidR="005E526D" w:rsidRPr="00F76A78">
        <w:rPr>
          <w:lang w:val="es-419"/>
        </w:rPr>
        <w:t>Región Administrativa Especial de Hong Kong</w:t>
      </w:r>
      <w:r w:rsidR="00A965C4" w:rsidRPr="00F76A78">
        <w:rPr>
          <w:lang w:val="es-419"/>
        </w:rPr>
        <w:t xml:space="preserve"> </w:t>
      </w:r>
      <w:r w:rsidR="004C0C0F" w:rsidRPr="00F76A78">
        <w:rPr>
          <w:lang w:val="es-419"/>
        </w:rPr>
        <w:t xml:space="preserve">de </w:t>
      </w:r>
      <w:r w:rsidR="00A35155" w:rsidRPr="00F76A78">
        <w:rPr>
          <w:lang w:val="es-419"/>
        </w:rPr>
        <w:t xml:space="preserve">la </w:t>
      </w:r>
      <w:r w:rsidR="00264380" w:rsidRPr="00F76A78">
        <w:rPr>
          <w:lang w:val="es-419"/>
        </w:rPr>
        <w:t>República Popular China</w:t>
      </w:r>
      <w:r w:rsidR="00264380" w:rsidRPr="009D63C0">
        <w:rPr>
          <w:lang w:val="es-419"/>
        </w:rPr>
        <w:t xml:space="preserve"> </w:t>
      </w:r>
      <w:r w:rsidR="004C0C0F" w:rsidRPr="009D63C0">
        <w:rPr>
          <w:lang w:val="es-419"/>
        </w:rPr>
        <w:t xml:space="preserve">y la </w:t>
      </w:r>
      <w:r w:rsidR="004C0C0F" w:rsidRPr="00F76A78">
        <w:rPr>
          <w:lang w:val="es-419"/>
        </w:rPr>
        <w:t xml:space="preserve">Ley Fundamental de la </w:t>
      </w:r>
      <w:r w:rsidR="00264380" w:rsidRPr="00F76A78">
        <w:rPr>
          <w:lang w:val="es-419"/>
        </w:rPr>
        <w:t>Región Administrativa Especial de Macao de la República Popular China</w:t>
      </w:r>
      <w:r w:rsidR="00A965C4" w:rsidRPr="00AF4FEA">
        <w:rPr>
          <w:lang w:val="es-419"/>
        </w:rPr>
        <w:t xml:space="preserve">, </w:t>
      </w:r>
      <w:r w:rsidR="00264380" w:rsidRPr="00AF4FEA">
        <w:rPr>
          <w:lang w:val="es-419"/>
        </w:rPr>
        <w:t>el</w:t>
      </w:r>
      <w:r w:rsidR="00A5696B" w:rsidRPr="00AF4FEA">
        <w:rPr>
          <w:lang w:val="es-419"/>
        </w:rPr>
        <w:t> </w:t>
      </w:r>
      <w:r w:rsidR="005E526D" w:rsidRPr="00AF4FEA">
        <w:rPr>
          <w:lang w:val="es-419"/>
        </w:rPr>
        <w:t xml:space="preserve">Acta de 1999 </w:t>
      </w:r>
      <w:r w:rsidR="00002020" w:rsidRPr="00AF4FEA">
        <w:rPr>
          <w:lang w:val="es-419"/>
        </w:rPr>
        <w:t>no</w:t>
      </w:r>
      <w:r w:rsidR="007057C9" w:rsidRPr="00AF4FEA">
        <w:rPr>
          <w:lang w:val="es-419"/>
        </w:rPr>
        <w:t xml:space="preserve"> </w:t>
      </w:r>
      <w:r w:rsidR="00264380" w:rsidRPr="00AF4FEA">
        <w:rPr>
          <w:lang w:val="es-419"/>
        </w:rPr>
        <w:t>se aplicará a la</w:t>
      </w:r>
      <w:r w:rsidR="007057C9" w:rsidRPr="00AF4FEA">
        <w:rPr>
          <w:lang w:val="es-419"/>
        </w:rPr>
        <w:t xml:space="preserve"> </w:t>
      </w:r>
      <w:r w:rsidR="005E526D" w:rsidRPr="00AF4FEA">
        <w:rPr>
          <w:lang w:val="es-419"/>
        </w:rPr>
        <w:t>Región Administrativa Especial de Hong Kong</w:t>
      </w:r>
      <w:r w:rsidR="00CA66C3" w:rsidRPr="00AF4FEA">
        <w:rPr>
          <w:lang w:val="es-419"/>
        </w:rPr>
        <w:t xml:space="preserve"> </w:t>
      </w:r>
      <w:r w:rsidR="00264380" w:rsidRPr="00AF4FEA">
        <w:rPr>
          <w:lang w:val="es-419"/>
        </w:rPr>
        <w:t>de</w:t>
      </w:r>
      <w:r w:rsidR="00704FBB" w:rsidRPr="00AF4FEA">
        <w:rPr>
          <w:lang w:val="es-419"/>
        </w:rPr>
        <w:t xml:space="preserve"> </w:t>
      </w:r>
      <w:r w:rsidR="005E526D" w:rsidRPr="00AF4FEA">
        <w:rPr>
          <w:lang w:val="es-419"/>
        </w:rPr>
        <w:t>China</w:t>
      </w:r>
      <w:r w:rsidR="00704FBB" w:rsidRPr="00AF4FEA">
        <w:rPr>
          <w:lang w:val="es-419"/>
        </w:rPr>
        <w:t xml:space="preserve"> </w:t>
      </w:r>
      <w:r w:rsidR="00A35155">
        <w:rPr>
          <w:lang w:val="es-419"/>
        </w:rPr>
        <w:t>ni a</w:t>
      </w:r>
      <w:r w:rsidR="00264380" w:rsidRPr="00AF4FEA">
        <w:rPr>
          <w:lang w:val="es-419"/>
        </w:rPr>
        <w:t xml:space="preserve"> la Región Administrativa Especial de Macao de China</w:t>
      </w:r>
      <w:r w:rsidR="00A965C4" w:rsidRPr="00AF4FEA">
        <w:rPr>
          <w:lang w:val="es-419"/>
        </w:rPr>
        <w:t xml:space="preserve">, </w:t>
      </w:r>
      <w:r w:rsidR="00264380" w:rsidRPr="00AF4FEA">
        <w:rPr>
          <w:lang w:val="es-419"/>
        </w:rPr>
        <w:t>a menos que el Gobierno de China notifique otra cosa</w:t>
      </w:r>
      <w:r w:rsidR="007057C9" w:rsidRPr="00AF4FEA">
        <w:rPr>
          <w:lang w:val="es-419"/>
        </w:rPr>
        <w:t>.</w:t>
      </w:r>
    </w:p>
    <w:p w14:paraId="2B35EE5D" w14:textId="0C82560A" w:rsidR="001E0E2C" w:rsidRPr="00AF4FEA" w:rsidRDefault="005E526D" w:rsidP="005E526D">
      <w:pPr>
        <w:pStyle w:val="ListParagraph"/>
        <w:numPr>
          <w:ilvl w:val="0"/>
          <w:numId w:val="7"/>
        </w:numPr>
        <w:spacing w:after="220"/>
        <w:ind w:left="0" w:firstLine="0"/>
        <w:contextualSpacing w:val="0"/>
        <w:rPr>
          <w:lang w:val="es-419"/>
        </w:rPr>
      </w:pPr>
      <w:r w:rsidRPr="00AF4FEA">
        <w:rPr>
          <w:lang w:val="es-419"/>
        </w:rPr>
        <w:t>De conformidad con el Artículo 28.3)b) del Acta de 1999, el Acta de 1999 y las declaraciones formuladas entrarán en vigor respecto de China el 5 de mayo de 2022.</w:t>
      </w:r>
    </w:p>
    <w:p w14:paraId="3AB0123C" w14:textId="7ACC9EFC" w:rsidR="001E0E2C" w:rsidRPr="00AF4FEA" w:rsidRDefault="005E526D" w:rsidP="005E526D">
      <w:pPr>
        <w:pStyle w:val="ListParagraph"/>
        <w:numPr>
          <w:ilvl w:val="0"/>
          <w:numId w:val="7"/>
        </w:numPr>
        <w:spacing w:after="220"/>
        <w:ind w:left="0" w:firstLine="0"/>
        <w:contextualSpacing w:val="0"/>
        <w:rPr>
          <w:lang w:val="es-419"/>
        </w:rPr>
      </w:pPr>
      <w:r w:rsidRPr="00AF4FEA">
        <w:rPr>
          <w:lang w:val="es-419"/>
        </w:rPr>
        <w:t xml:space="preserve">La adhesión de China al Acta de 1999 eleva a 68 el número de Partes Contratantes de esta Acta, y a 77 el número total de Partes Contratantes del Arreglo de La Haya. Se puede consultar la lista de Partes Contratantes del Arreglo de La Haya en la siguiente página del sitio web de la OMPI: </w:t>
      </w:r>
      <w:r w:rsidRPr="00AF4FEA">
        <w:rPr>
          <w:rStyle w:val="Hyperlink"/>
          <w:lang w:val="es-419"/>
        </w:rPr>
        <w:t>https://www.wipo.int/export/sites/www/treaties/en/documents/pdf/hague.pdf</w:t>
      </w:r>
      <w:r w:rsidRPr="00AF4FEA">
        <w:rPr>
          <w:lang w:val="es-419"/>
        </w:rPr>
        <w:t>.</w:t>
      </w:r>
    </w:p>
    <w:p w14:paraId="442C855B" w14:textId="57075892" w:rsidR="00022521" w:rsidRPr="00AF4FEA" w:rsidRDefault="00F76A78" w:rsidP="005F5E99">
      <w:pPr>
        <w:pStyle w:val="Endofdocument-Annex"/>
        <w:spacing w:before="480"/>
        <w:jc w:val="both"/>
        <w:rPr>
          <w:lang w:val="es-419"/>
        </w:rPr>
      </w:pPr>
      <w:r>
        <w:rPr>
          <w:lang w:val="es-419"/>
        </w:rPr>
        <w:t>4</w:t>
      </w:r>
      <w:r w:rsidRPr="00AF4FEA">
        <w:rPr>
          <w:lang w:val="es-419"/>
        </w:rPr>
        <w:t xml:space="preserve"> </w:t>
      </w:r>
      <w:r w:rsidR="005E526D" w:rsidRPr="00AF4FEA">
        <w:rPr>
          <w:lang w:val="es-419"/>
        </w:rPr>
        <w:t xml:space="preserve">de </w:t>
      </w:r>
      <w:r>
        <w:rPr>
          <w:lang w:val="es-419"/>
        </w:rPr>
        <w:t>abril</w:t>
      </w:r>
      <w:r w:rsidRPr="00AF4FEA">
        <w:rPr>
          <w:lang w:val="es-419"/>
        </w:rPr>
        <w:t xml:space="preserve"> </w:t>
      </w:r>
      <w:r w:rsidR="00652E24">
        <w:rPr>
          <w:lang w:val="es-419"/>
        </w:rPr>
        <w:t>de 2022</w:t>
      </w:r>
      <w:bookmarkStart w:id="2" w:name="_GoBack"/>
      <w:bookmarkEnd w:id="2"/>
    </w:p>
    <w:sectPr w:rsidR="00022521" w:rsidRPr="00AF4FEA" w:rsidSect="00AF4FEA">
      <w:headerReference w:type="even" r:id="rId9"/>
      <w:headerReference w:type="default" r:id="rId10"/>
      <w:footnotePr>
        <w:numFmt w:val="chicago"/>
      </w:footnotePr>
      <w:endnotePr>
        <w:numFmt w:val="decimal"/>
      </w:endnotePr>
      <w:type w:val="continuous"/>
      <w:pgSz w:w="11907" w:h="16840" w:code="9"/>
      <w:pgMar w:top="567" w:right="1134" w:bottom="1135"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BACA" w14:textId="77777777" w:rsidR="004F7214" w:rsidRDefault="004F7214">
      <w:r>
        <w:separator/>
      </w:r>
    </w:p>
  </w:endnote>
  <w:endnote w:type="continuationSeparator" w:id="0">
    <w:p w14:paraId="03F3895E" w14:textId="77777777" w:rsidR="004F7214" w:rsidRDefault="004F7214" w:rsidP="003B38C1">
      <w:r>
        <w:separator/>
      </w:r>
    </w:p>
    <w:p w14:paraId="30E98782" w14:textId="77777777" w:rsidR="004F7214" w:rsidRPr="003B38C1" w:rsidRDefault="004F7214" w:rsidP="003B38C1">
      <w:pPr>
        <w:spacing w:after="60"/>
        <w:rPr>
          <w:sz w:val="17"/>
        </w:rPr>
      </w:pPr>
      <w:r>
        <w:rPr>
          <w:sz w:val="17"/>
        </w:rPr>
        <w:t>[Endnote continued from previous page]</w:t>
      </w:r>
    </w:p>
  </w:endnote>
  <w:endnote w:type="continuationNotice" w:id="1">
    <w:p w14:paraId="48C05CE3" w14:textId="77777777" w:rsidR="004F7214" w:rsidRPr="003B38C1" w:rsidRDefault="004F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D9F8" w14:textId="77777777" w:rsidR="004F7214" w:rsidRDefault="004F7214">
      <w:r>
        <w:separator/>
      </w:r>
    </w:p>
  </w:footnote>
  <w:footnote w:type="continuationSeparator" w:id="0">
    <w:p w14:paraId="24D98001" w14:textId="77777777" w:rsidR="004F7214" w:rsidRDefault="004F7214" w:rsidP="008B60B2">
      <w:r>
        <w:separator/>
      </w:r>
    </w:p>
    <w:p w14:paraId="47105F3C" w14:textId="77777777" w:rsidR="004F7214" w:rsidRPr="00ED77FB" w:rsidRDefault="004F7214" w:rsidP="008B60B2">
      <w:pPr>
        <w:spacing w:after="60"/>
        <w:rPr>
          <w:sz w:val="17"/>
          <w:szCs w:val="17"/>
        </w:rPr>
      </w:pPr>
      <w:r w:rsidRPr="00ED77FB">
        <w:rPr>
          <w:sz w:val="17"/>
          <w:szCs w:val="17"/>
        </w:rPr>
        <w:t>[Footnote continued from previous page]</w:t>
      </w:r>
    </w:p>
  </w:footnote>
  <w:footnote w:type="continuationNotice" w:id="1">
    <w:p w14:paraId="723599CF" w14:textId="77777777" w:rsidR="004F7214" w:rsidRPr="00ED77FB" w:rsidRDefault="004F7214" w:rsidP="008B60B2">
      <w:pPr>
        <w:spacing w:before="60"/>
        <w:jc w:val="right"/>
        <w:rPr>
          <w:sz w:val="17"/>
          <w:szCs w:val="17"/>
        </w:rPr>
      </w:pPr>
      <w:r w:rsidRPr="00ED77FB">
        <w:rPr>
          <w:sz w:val="17"/>
          <w:szCs w:val="17"/>
        </w:rPr>
        <w:t>[Footnote continued on next page]</w:t>
      </w:r>
    </w:p>
  </w:footnote>
  <w:footnote w:id="2">
    <w:p w14:paraId="30C8A4B0" w14:textId="1B4224B5" w:rsidR="00C21F62" w:rsidRPr="00002020" w:rsidRDefault="00C21F62" w:rsidP="005E526D">
      <w:pPr>
        <w:pStyle w:val="FootnoteText"/>
        <w:rPr>
          <w:lang w:val="es-ES_tradnl"/>
        </w:rPr>
      </w:pPr>
      <w:r>
        <w:rPr>
          <w:rStyle w:val="FootnoteReference"/>
        </w:rPr>
        <w:footnoteRef/>
      </w:r>
      <w:r w:rsidRPr="00804E21">
        <w:rPr>
          <w:lang w:val="es-ES"/>
        </w:rPr>
        <w:tab/>
      </w:r>
      <w:r w:rsidR="005F5E99" w:rsidRPr="00002020">
        <w:rPr>
          <w:lang w:val="es-ES_tradnl"/>
        </w:rPr>
        <w:t>En su debido momento, se podrá a disposición información específica sobre</w:t>
      </w:r>
      <w:r w:rsidR="00B84939" w:rsidRPr="00002020">
        <w:rPr>
          <w:lang w:val="es-ES_tradnl"/>
        </w:rPr>
        <w:t xml:space="preserve"> </w:t>
      </w:r>
      <w:r w:rsidR="00DC76CF">
        <w:rPr>
          <w:lang w:val="es-ES_tradnl"/>
        </w:rPr>
        <w:t xml:space="preserve">sobre lo que constituye un </w:t>
      </w:r>
      <w:r w:rsidR="002D00B1" w:rsidRPr="00002020">
        <w:rPr>
          <w:lang w:val="es-ES_tradnl"/>
        </w:rPr>
        <w:t>“</w:t>
      </w:r>
      <w:r w:rsidR="00DE1C54" w:rsidRPr="00002020">
        <w:rPr>
          <w:lang w:val="es-ES_tradnl"/>
        </w:rPr>
        <w:t>perspectiva</w:t>
      </w:r>
      <w:r w:rsidR="001D1E94" w:rsidRPr="00002020">
        <w:rPr>
          <w:lang w:val="es-ES_tradnl"/>
        </w:rPr>
        <w:t xml:space="preserve"> o </w:t>
      </w:r>
      <w:r w:rsidR="00DE1C54" w:rsidRPr="00002020">
        <w:rPr>
          <w:lang w:val="es-ES_tradnl"/>
        </w:rPr>
        <w:t>perspectivas que cumpl</w:t>
      </w:r>
      <w:r w:rsidR="00DC76CF">
        <w:rPr>
          <w:lang w:val="es-ES_tradnl"/>
        </w:rPr>
        <w:t>e</w:t>
      </w:r>
      <w:r w:rsidR="00DE1C54" w:rsidRPr="00002020">
        <w:rPr>
          <w:lang w:val="es-ES_tradnl"/>
        </w:rPr>
        <w:t>n los requisitos correspondientes</w:t>
      </w:r>
      <w:r w:rsidR="002D00B1" w:rsidRPr="00002020">
        <w:rPr>
          <w:lang w:val="es-ES_tradnl"/>
        </w:rPr>
        <w:t>”</w:t>
      </w:r>
      <w:r w:rsidR="001D1E94" w:rsidRPr="00002020">
        <w:rPr>
          <w:lang w:val="es-ES_tradnl"/>
        </w:rPr>
        <w:t>, según se mencionan en esta</w:t>
      </w:r>
      <w:r w:rsidRPr="00002020">
        <w:rPr>
          <w:lang w:val="es-ES_tradnl"/>
        </w:rPr>
        <w:t xml:space="preserve"> </w:t>
      </w:r>
      <w:r w:rsidR="00002020" w:rsidRPr="00002020">
        <w:rPr>
          <w:lang w:val="es-ES_tradnl"/>
        </w:rPr>
        <w:t>declaración</w:t>
      </w:r>
      <w:r w:rsidR="002D00B1" w:rsidRPr="00002020">
        <w:rPr>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D9BC" w14:textId="5F4B4F56" w:rsidR="00B472DA" w:rsidRDefault="00B472DA">
    <w:pPr>
      <w:pStyle w:val="Header"/>
      <w:jc w:val="right"/>
    </w:pPr>
    <w:r>
      <w:t xml:space="preserve">page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19CC" w14:textId="2CB453F2" w:rsidR="00B472DA" w:rsidRDefault="00B472DA">
    <w:pPr>
      <w:pStyle w:val="Header"/>
      <w:jc w:val="right"/>
    </w:pPr>
    <w:r w:rsidRPr="00002020">
      <w:rPr>
        <w:lang w:val="es-ES_tradnl"/>
      </w:rPr>
      <w:t>p</w:t>
    </w:r>
    <w:r w:rsidR="00002020">
      <w:rPr>
        <w:lang w:val="es-ES_tradnl"/>
      </w:rPr>
      <w:t>ágina</w:t>
    </w:r>
    <w:r>
      <w:t xml:space="preserve">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52E24">
          <w:rPr>
            <w:noProof/>
          </w:rPr>
          <w:t>2</w:t>
        </w:r>
        <w:r>
          <w:rPr>
            <w:noProof/>
          </w:rP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0"/>
  </w:num>
  <w:num w:numId="9">
    <w:abstractNumId w:val="9"/>
  </w:num>
  <w:num w:numId="10">
    <w:abstractNumId w:val="6"/>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érminos útiles|Fechas|Sesiones|WIPOLDTERM|xUPOV LDTERM"/>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 Template|TextBase TMs\WorkspaceSTS\UPOV\U Instruments"/>
    <w:docVar w:name="TextBaseURL" w:val="empty"/>
    <w:docVar w:name="UILng" w:val="en"/>
  </w:docVars>
  <w:rsids>
    <w:rsidRoot w:val="00CC5016"/>
    <w:rsid w:val="00002020"/>
    <w:rsid w:val="00005CFF"/>
    <w:rsid w:val="000102D0"/>
    <w:rsid w:val="000123A6"/>
    <w:rsid w:val="00012C9D"/>
    <w:rsid w:val="0002095F"/>
    <w:rsid w:val="00022521"/>
    <w:rsid w:val="00022725"/>
    <w:rsid w:val="00027B79"/>
    <w:rsid w:val="00032516"/>
    <w:rsid w:val="00035665"/>
    <w:rsid w:val="0003763C"/>
    <w:rsid w:val="00043313"/>
    <w:rsid w:val="00043CAA"/>
    <w:rsid w:val="00044267"/>
    <w:rsid w:val="00046642"/>
    <w:rsid w:val="00047978"/>
    <w:rsid w:val="00050D24"/>
    <w:rsid w:val="0005216B"/>
    <w:rsid w:val="00055E41"/>
    <w:rsid w:val="00060BB1"/>
    <w:rsid w:val="00062496"/>
    <w:rsid w:val="00070C46"/>
    <w:rsid w:val="000728FF"/>
    <w:rsid w:val="00073F34"/>
    <w:rsid w:val="0007453B"/>
    <w:rsid w:val="00075432"/>
    <w:rsid w:val="000809B1"/>
    <w:rsid w:val="00093F9B"/>
    <w:rsid w:val="00094AC5"/>
    <w:rsid w:val="00094D25"/>
    <w:rsid w:val="000968ED"/>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E56EF"/>
    <w:rsid w:val="000F2AEA"/>
    <w:rsid w:val="000F3931"/>
    <w:rsid w:val="000F5E56"/>
    <w:rsid w:val="000F6520"/>
    <w:rsid w:val="000F7C50"/>
    <w:rsid w:val="00105359"/>
    <w:rsid w:val="00110A0A"/>
    <w:rsid w:val="00116007"/>
    <w:rsid w:val="001207CE"/>
    <w:rsid w:val="001272E3"/>
    <w:rsid w:val="00131BD8"/>
    <w:rsid w:val="00133F53"/>
    <w:rsid w:val="001362EE"/>
    <w:rsid w:val="0014531F"/>
    <w:rsid w:val="0015037D"/>
    <w:rsid w:val="00150E1A"/>
    <w:rsid w:val="00157C52"/>
    <w:rsid w:val="001626B7"/>
    <w:rsid w:val="001639BA"/>
    <w:rsid w:val="00165217"/>
    <w:rsid w:val="00166299"/>
    <w:rsid w:val="00167160"/>
    <w:rsid w:val="00170678"/>
    <w:rsid w:val="001707E7"/>
    <w:rsid w:val="00175970"/>
    <w:rsid w:val="001832A6"/>
    <w:rsid w:val="00185E31"/>
    <w:rsid w:val="00186DE1"/>
    <w:rsid w:val="001961E1"/>
    <w:rsid w:val="001A01E9"/>
    <w:rsid w:val="001A5948"/>
    <w:rsid w:val="001B2E6B"/>
    <w:rsid w:val="001C2D7E"/>
    <w:rsid w:val="001C4852"/>
    <w:rsid w:val="001D1E94"/>
    <w:rsid w:val="001D4F09"/>
    <w:rsid w:val="001E0E2C"/>
    <w:rsid w:val="001E33BF"/>
    <w:rsid w:val="001E3850"/>
    <w:rsid w:val="001F0A96"/>
    <w:rsid w:val="001F1B95"/>
    <w:rsid w:val="001F1E6A"/>
    <w:rsid w:val="001F3108"/>
    <w:rsid w:val="001F717F"/>
    <w:rsid w:val="001F7228"/>
    <w:rsid w:val="00202EF1"/>
    <w:rsid w:val="0020551F"/>
    <w:rsid w:val="00206EB9"/>
    <w:rsid w:val="00211272"/>
    <w:rsid w:val="00212F2F"/>
    <w:rsid w:val="00221C5D"/>
    <w:rsid w:val="0022493E"/>
    <w:rsid w:val="00227471"/>
    <w:rsid w:val="0022794E"/>
    <w:rsid w:val="002303FA"/>
    <w:rsid w:val="00231906"/>
    <w:rsid w:val="002372DC"/>
    <w:rsid w:val="00242F64"/>
    <w:rsid w:val="00250CA2"/>
    <w:rsid w:val="00251552"/>
    <w:rsid w:val="00251890"/>
    <w:rsid w:val="0025278E"/>
    <w:rsid w:val="002539D3"/>
    <w:rsid w:val="00255819"/>
    <w:rsid w:val="00257BF9"/>
    <w:rsid w:val="0026235C"/>
    <w:rsid w:val="002634C4"/>
    <w:rsid w:val="00264380"/>
    <w:rsid w:val="002646FB"/>
    <w:rsid w:val="00266029"/>
    <w:rsid w:val="002669CF"/>
    <w:rsid w:val="00267FBD"/>
    <w:rsid w:val="00274D83"/>
    <w:rsid w:val="002757E2"/>
    <w:rsid w:val="00277876"/>
    <w:rsid w:val="00281411"/>
    <w:rsid w:val="00281B4A"/>
    <w:rsid w:val="002827C1"/>
    <w:rsid w:val="0028295B"/>
    <w:rsid w:val="002913F3"/>
    <w:rsid w:val="002928D3"/>
    <w:rsid w:val="00297A09"/>
    <w:rsid w:val="002A2E4F"/>
    <w:rsid w:val="002A513E"/>
    <w:rsid w:val="002C1554"/>
    <w:rsid w:val="002C38D8"/>
    <w:rsid w:val="002C4107"/>
    <w:rsid w:val="002C5843"/>
    <w:rsid w:val="002C59F7"/>
    <w:rsid w:val="002D00B1"/>
    <w:rsid w:val="002D5662"/>
    <w:rsid w:val="002E2FC0"/>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3EC2"/>
    <w:rsid w:val="003845C1"/>
    <w:rsid w:val="00384D06"/>
    <w:rsid w:val="003A19EE"/>
    <w:rsid w:val="003A1B61"/>
    <w:rsid w:val="003A2485"/>
    <w:rsid w:val="003A6F89"/>
    <w:rsid w:val="003B38C1"/>
    <w:rsid w:val="003C29E5"/>
    <w:rsid w:val="003C2B2C"/>
    <w:rsid w:val="003C56F1"/>
    <w:rsid w:val="003D0F1D"/>
    <w:rsid w:val="003D7F80"/>
    <w:rsid w:val="003E017B"/>
    <w:rsid w:val="003E0A58"/>
    <w:rsid w:val="003E0D9F"/>
    <w:rsid w:val="003E2E5B"/>
    <w:rsid w:val="003E4787"/>
    <w:rsid w:val="003F3EDD"/>
    <w:rsid w:val="00400FED"/>
    <w:rsid w:val="00401B82"/>
    <w:rsid w:val="004052E1"/>
    <w:rsid w:val="00411FB2"/>
    <w:rsid w:val="004124AF"/>
    <w:rsid w:val="0041712C"/>
    <w:rsid w:val="004201FF"/>
    <w:rsid w:val="0042029C"/>
    <w:rsid w:val="004214C8"/>
    <w:rsid w:val="00423E3E"/>
    <w:rsid w:val="00427AF4"/>
    <w:rsid w:val="00433EAE"/>
    <w:rsid w:val="004376B8"/>
    <w:rsid w:val="004501C7"/>
    <w:rsid w:val="00450901"/>
    <w:rsid w:val="00451CE3"/>
    <w:rsid w:val="00452065"/>
    <w:rsid w:val="004630B4"/>
    <w:rsid w:val="00464303"/>
    <w:rsid w:val="004647DA"/>
    <w:rsid w:val="004661D4"/>
    <w:rsid w:val="0047006A"/>
    <w:rsid w:val="004715E0"/>
    <w:rsid w:val="00474062"/>
    <w:rsid w:val="00477D6B"/>
    <w:rsid w:val="004841A6"/>
    <w:rsid w:val="004902DB"/>
    <w:rsid w:val="00492951"/>
    <w:rsid w:val="00492BD2"/>
    <w:rsid w:val="004936FC"/>
    <w:rsid w:val="004947C5"/>
    <w:rsid w:val="00494E4A"/>
    <w:rsid w:val="004A2DEE"/>
    <w:rsid w:val="004A640C"/>
    <w:rsid w:val="004B0093"/>
    <w:rsid w:val="004B2C32"/>
    <w:rsid w:val="004B336C"/>
    <w:rsid w:val="004B33D3"/>
    <w:rsid w:val="004C0C0F"/>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3C7B"/>
    <w:rsid w:val="005243B1"/>
    <w:rsid w:val="00525B33"/>
    <w:rsid w:val="0053050D"/>
    <w:rsid w:val="0053057A"/>
    <w:rsid w:val="00531A96"/>
    <w:rsid w:val="005334B4"/>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C6649"/>
    <w:rsid w:val="005C79F2"/>
    <w:rsid w:val="005D3BBF"/>
    <w:rsid w:val="005D6DD3"/>
    <w:rsid w:val="005E526D"/>
    <w:rsid w:val="005E7E16"/>
    <w:rsid w:val="005E7F32"/>
    <w:rsid w:val="005F0F41"/>
    <w:rsid w:val="005F2C73"/>
    <w:rsid w:val="005F2F3B"/>
    <w:rsid w:val="005F4AAF"/>
    <w:rsid w:val="005F5E99"/>
    <w:rsid w:val="00605827"/>
    <w:rsid w:val="00605C8E"/>
    <w:rsid w:val="00606C51"/>
    <w:rsid w:val="00610EC8"/>
    <w:rsid w:val="006223DB"/>
    <w:rsid w:val="00623843"/>
    <w:rsid w:val="00624B95"/>
    <w:rsid w:val="006307E7"/>
    <w:rsid w:val="00631908"/>
    <w:rsid w:val="00633497"/>
    <w:rsid w:val="006359B4"/>
    <w:rsid w:val="00635AFA"/>
    <w:rsid w:val="00644AA2"/>
    <w:rsid w:val="0064604F"/>
    <w:rsid w:val="00646050"/>
    <w:rsid w:val="00647268"/>
    <w:rsid w:val="006479DE"/>
    <w:rsid w:val="00647B0C"/>
    <w:rsid w:val="006528CC"/>
    <w:rsid w:val="00652E24"/>
    <w:rsid w:val="006536A3"/>
    <w:rsid w:val="00654AE9"/>
    <w:rsid w:val="00654FCF"/>
    <w:rsid w:val="006604BE"/>
    <w:rsid w:val="00660AD7"/>
    <w:rsid w:val="006629C9"/>
    <w:rsid w:val="006659A7"/>
    <w:rsid w:val="006713CA"/>
    <w:rsid w:val="00674ABA"/>
    <w:rsid w:val="00676C5C"/>
    <w:rsid w:val="00691D5D"/>
    <w:rsid w:val="00696485"/>
    <w:rsid w:val="00696EF6"/>
    <w:rsid w:val="006A0C24"/>
    <w:rsid w:val="006A679E"/>
    <w:rsid w:val="006B0D07"/>
    <w:rsid w:val="006B558F"/>
    <w:rsid w:val="006B62E3"/>
    <w:rsid w:val="006C3947"/>
    <w:rsid w:val="006C601B"/>
    <w:rsid w:val="006D2A62"/>
    <w:rsid w:val="006D4172"/>
    <w:rsid w:val="006E26E8"/>
    <w:rsid w:val="006E3324"/>
    <w:rsid w:val="006E60E1"/>
    <w:rsid w:val="006E7206"/>
    <w:rsid w:val="006F0A44"/>
    <w:rsid w:val="006F445D"/>
    <w:rsid w:val="006F52C6"/>
    <w:rsid w:val="0070117B"/>
    <w:rsid w:val="00702C36"/>
    <w:rsid w:val="00704FBB"/>
    <w:rsid w:val="007057C9"/>
    <w:rsid w:val="007063B6"/>
    <w:rsid w:val="007106C3"/>
    <w:rsid w:val="0072271C"/>
    <w:rsid w:val="007248D7"/>
    <w:rsid w:val="00726164"/>
    <w:rsid w:val="00726905"/>
    <w:rsid w:val="00727C64"/>
    <w:rsid w:val="007315CB"/>
    <w:rsid w:val="007327B0"/>
    <w:rsid w:val="007330D6"/>
    <w:rsid w:val="00742210"/>
    <w:rsid w:val="00750040"/>
    <w:rsid w:val="00750EFD"/>
    <w:rsid w:val="00767C4D"/>
    <w:rsid w:val="00772EC8"/>
    <w:rsid w:val="007739FA"/>
    <w:rsid w:val="00773CE3"/>
    <w:rsid w:val="00775EBD"/>
    <w:rsid w:val="00776E12"/>
    <w:rsid w:val="007771D3"/>
    <w:rsid w:val="00780B9B"/>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4D09"/>
    <w:rsid w:val="00804E21"/>
    <w:rsid w:val="00804EC4"/>
    <w:rsid w:val="00807A9F"/>
    <w:rsid w:val="008100E4"/>
    <w:rsid w:val="00815479"/>
    <w:rsid w:val="008167CA"/>
    <w:rsid w:val="00823DCC"/>
    <w:rsid w:val="00824E57"/>
    <w:rsid w:val="00833C29"/>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E15D6"/>
    <w:rsid w:val="008F1309"/>
    <w:rsid w:val="008F1F70"/>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E6"/>
    <w:rsid w:val="009378BE"/>
    <w:rsid w:val="00940793"/>
    <w:rsid w:val="00942229"/>
    <w:rsid w:val="0094644F"/>
    <w:rsid w:val="00946D02"/>
    <w:rsid w:val="00957393"/>
    <w:rsid w:val="00957988"/>
    <w:rsid w:val="00957A59"/>
    <w:rsid w:val="00962597"/>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50B6"/>
    <w:rsid w:val="009D5A47"/>
    <w:rsid w:val="009D63C0"/>
    <w:rsid w:val="009E1EE3"/>
    <w:rsid w:val="009E2791"/>
    <w:rsid w:val="009E3F6F"/>
    <w:rsid w:val="009E5F9F"/>
    <w:rsid w:val="009F0611"/>
    <w:rsid w:val="009F2A14"/>
    <w:rsid w:val="009F4153"/>
    <w:rsid w:val="009F499F"/>
    <w:rsid w:val="009F572A"/>
    <w:rsid w:val="00A024BB"/>
    <w:rsid w:val="00A053CB"/>
    <w:rsid w:val="00A056E5"/>
    <w:rsid w:val="00A06031"/>
    <w:rsid w:val="00A06E2E"/>
    <w:rsid w:val="00A131ED"/>
    <w:rsid w:val="00A1336B"/>
    <w:rsid w:val="00A1504E"/>
    <w:rsid w:val="00A21684"/>
    <w:rsid w:val="00A25430"/>
    <w:rsid w:val="00A2667E"/>
    <w:rsid w:val="00A26A24"/>
    <w:rsid w:val="00A35155"/>
    <w:rsid w:val="00A353ED"/>
    <w:rsid w:val="00A41CFE"/>
    <w:rsid w:val="00A42230"/>
    <w:rsid w:val="00A42DAF"/>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C7B64"/>
    <w:rsid w:val="00AD38EE"/>
    <w:rsid w:val="00AD3EF4"/>
    <w:rsid w:val="00AE418E"/>
    <w:rsid w:val="00AE69DE"/>
    <w:rsid w:val="00AF0A6B"/>
    <w:rsid w:val="00AF4FEA"/>
    <w:rsid w:val="00AF5108"/>
    <w:rsid w:val="00B03BA6"/>
    <w:rsid w:val="00B05A69"/>
    <w:rsid w:val="00B101A7"/>
    <w:rsid w:val="00B20649"/>
    <w:rsid w:val="00B21387"/>
    <w:rsid w:val="00B2247B"/>
    <w:rsid w:val="00B269AF"/>
    <w:rsid w:val="00B32A48"/>
    <w:rsid w:val="00B36378"/>
    <w:rsid w:val="00B369A9"/>
    <w:rsid w:val="00B42B1F"/>
    <w:rsid w:val="00B43D6F"/>
    <w:rsid w:val="00B46D7E"/>
    <w:rsid w:val="00B472DA"/>
    <w:rsid w:val="00B52388"/>
    <w:rsid w:val="00B54D7D"/>
    <w:rsid w:val="00B579A3"/>
    <w:rsid w:val="00B626B4"/>
    <w:rsid w:val="00B6481B"/>
    <w:rsid w:val="00B65F23"/>
    <w:rsid w:val="00B764C0"/>
    <w:rsid w:val="00B8093A"/>
    <w:rsid w:val="00B8152B"/>
    <w:rsid w:val="00B825B2"/>
    <w:rsid w:val="00B83157"/>
    <w:rsid w:val="00B84939"/>
    <w:rsid w:val="00B8589F"/>
    <w:rsid w:val="00B91056"/>
    <w:rsid w:val="00B9734B"/>
    <w:rsid w:val="00B97A85"/>
    <w:rsid w:val="00BA59F8"/>
    <w:rsid w:val="00BA63F6"/>
    <w:rsid w:val="00BA6DE5"/>
    <w:rsid w:val="00BB2321"/>
    <w:rsid w:val="00BB30F3"/>
    <w:rsid w:val="00BB4419"/>
    <w:rsid w:val="00BB78C7"/>
    <w:rsid w:val="00BC04DE"/>
    <w:rsid w:val="00BC173C"/>
    <w:rsid w:val="00BD03E2"/>
    <w:rsid w:val="00BD148F"/>
    <w:rsid w:val="00BD1CCE"/>
    <w:rsid w:val="00BD32E8"/>
    <w:rsid w:val="00BE2AA1"/>
    <w:rsid w:val="00BE3131"/>
    <w:rsid w:val="00BE4C18"/>
    <w:rsid w:val="00BE55D6"/>
    <w:rsid w:val="00BE5857"/>
    <w:rsid w:val="00BF0FF7"/>
    <w:rsid w:val="00C010F7"/>
    <w:rsid w:val="00C01AAD"/>
    <w:rsid w:val="00C103C2"/>
    <w:rsid w:val="00C11BFE"/>
    <w:rsid w:val="00C141CA"/>
    <w:rsid w:val="00C21281"/>
    <w:rsid w:val="00C21D7B"/>
    <w:rsid w:val="00C21F62"/>
    <w:rsid w:val="00C36B89"/>
    <w:rsid w:val="00C42DBE"/>
    <w:rsid w:val="00C43228"/>
    <w:rsid w:val="00C45642"/>
    <w:rsid w:val="00C45A04"/>
    <w:rsid w:val="00C470E3"/>
    <w:rsid w:val="00C47421"/>
    <w:rsid w:val="00C52EDC"/>
    <w:rsid w:val="00C556FE"/>
    <w:rsid w:val="00C613D5"/>
    <w:rsid w:val="00C63C1C"/>
    <w:rsid w:val="00C6430D"/>
    <w:rsid w:val="00C74FA5"/>
    <w:rsid w:val="00C80362"/>
    <w:rsid w:val="00C82BD8"/>
    <w:rsid w:val="00C83B93"/>
    <w:rsid w:val="00C8462A"/>
    <w:rsid w:val="00C87D7D"/>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21DA9"/>
    <w:rsid w:val="00D22BD4"/>
    <w:rsid w:val="00D30CC7"/>
    <w:rsid w:val="00D31C2F"/>
    <w:rsid w:val="00D36664"/>
    <w:rsid w:val="00D372E8"/>
    <w:rsid w:val="00D40A98"/>
    <w:rsid w:val="00D424EC"/>
    <w:rsid w:val="00D42AFB"/>
    <w:rsid w:val="00D45252"/>
    <w:rsid w:val="00D56732"/>
    <w:rsid w:val="00D57F87"/>
    <w:rsid w:val="00D57F90"/>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48E2"/>
    <w:rsid w:val="00D952AD"/>
    <w:rsid w:val="00DB42CB"/>
    <w:rsid w:val="00DB4505"/>
    <w:rsid w:val="00DC3E50"/>
    <w:rsid w:val="00DC3F8F"/>
    <w:rsid w:val="00DC76CF"/>
    <w:rsid w:val="00DD076F"/>
    <w:rsid w:val="00DD2EB5"/>
    <w:rsid w:val="00DE1C54"/>
    <w:rsid w:val="00E10E07"/>
    <w:rsid w:val="00E2062E"/>
    <w:rsid w:val="00E23CCD"/>
    <w:rsid w:val="00E23D62"/>
    <w:rsid w:val="00E24971"/>
    <w:rsid w:val="00E24CA1"/>
    <w:rsid w:val="00E335FE"/>
    <w:rsid w:val="00E357A9"/>
    <w:rsid w:val="00E41401"/>
    <w:rsid w:val="00E42B9A"/>
    <w:rsid w:val="00E45572"/>
    <w:rsid w:val="00E45DF9"/>
    <w:rsid w:val="00E52EC3"/>
    <w:rsid w:val="00E532DC"/>
    <w:rsid w:val="00E5437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B2461"/>
    <w:rsid w:val="00EB333E"/>
    <w:rsid w:val="00EB4AE2"/>
    <w:rsid w:val="00EC23FC"/>
    <w:rsid w:val="00EC26A8"/>
    <w:rsid w:val="00EC4E49"/>
    <w:rsid w:val="00EC7915"/>
    <w:rsid w:val="00ED01DB"/>
    <w:rsid w:val="00ED037E"/>
    <w:rsid w:val="00ED38E9"/>
    <w:rsid w:val="00ED4C4F"/>
    <w:rsid w:val="00ED77FB"/>
    <w:rsid w:val="00EE0E83"/>
    <w:rsid w:val="00EE28AC"/>
    <w:rsid w:val="00EE45FA"/>
    <w:rsid w:val="00EE5748"/>
    <w:rsid w:val="00EF0146"/>
    <w:rsid w:val="00EF65B9"/>
    <w:rsid w:val="00F051A3"/>
    <w:rsid w:val="00F0720F"/>
    <w:rsid w:val="00F07EF8"/>
    <w:rsid w:val="00F100F9"/>
    <w:rsid w:val="00F10E66"/>
    <w:rsid w:val="00F138CC"/>
    <w:rsid w:val="00F173AB"/>
    <w:rsid w:val="00F201C4"/>
    <w:rsid w:val="00F25606"/>
    <w:rsid w:val="00F32ABD"/>
    <w:rsid w:val="00F36A20"/>
    <w:rsid w:val="00F44E84"/>
    <w:rsid w:val="00F47560"/>
    <w:rsid w:val="00F51BC6"/>
    <w:rsid w:val="00F5468C"/>
    <w:rsid w:val="00F56536"/>
    <w:rsid w:val="00F66152"/>
    <w:rsid w:val="00F76A78"/>
    <w:rsid w:val="00F7721F"/>
    <w:rsid w:val="00F86AE7"/>
    <w:rsid w:val="00FA156A"/>
    <w:rsid w:val="00FB7C80"/>
    <w:rsid w:val="00FC1F36"/>
    <w:rsid w:val="00FC3D36"/>
    <w:rsid w:val="00FC4357"/>
    <w:rsid w:val="00FC4C8A"/>
    <w:rsid w:val="00FC5A27"/>
    <w:rsid w:val="00FE2990"/>
    <w:rsid w:val="00FE3B43"/>
    <w:rsid w:val="00FE4498"/>
    <w:rsid w:val="00FF1CF3"/>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C5ED-D15B-448E-B101-7CF5A28C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889</Words>
  <Characters>4779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5647</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5</cp:revision>
  <cp:lastPrinted>2022-03-17T16:19:00Z</cp:lastPrinted>
  <dcterms:created xsi:type="dcterms:W3CDTF">2022-03-28T13:32:00Z</dcterms:created>
  <dcterms:modified xsi:type="dcterms:W3CDTF">2022-04-04T09:26:00Z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c6fed020-6825-4f5b-85df-a490460f67a7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