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582AD5" w14:paraId="2FC3596A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219C04C0" w14:textId="77777777" w:rsidR="00A953E1" w:rsidRPr="00582AD5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796EEE92" w14:textId="66825DCC" w:rsidR="00A953E1" w:rsidRPr="00582AD5" w:rsidRDefault="00B53EC4">
            <w:r w:rsidRPr="00582AD5">
              <w:rPr>
                <w:noProof/>
              </w:rPr>
              <w:drawing>
                <wp:inline distT="0" distB="0" distL="0" distR="0" wp14:anchorId="63024646" wp14:editId="67814D61">
                  <wp:extent cx="1854200" cy="13208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A1371" w14:textId="77777777" w:rsidR="00EB6CB8" w:rsidRPr="00EB6CB8" w:rsidRDefault="00EB6CB8" w:rsidP="00EB6CB8">
      <w:pPr>
        <w:jc w:val="right"/>
        <w:rPr>
          <w:rFonts w:ascii="Arial Black" w:hAnsi="Arial Black"/>
          <w:sz w:val="15"/>
          <w:szCs w:val="15"/>
          <w:lang w:val="pt-BR"/>
        </w:rPr>
      </w:pPr>
    </w:p>
    <w:p w14:paraId="58D8D162" w14:textId="7D5117FC" w:rsidR="00EB6CB8" w:rsidRPr="00EB6CB8" w:rsidRDefault="00FC5119" w:rsidP="00EB6CB8">
      <w:pPr>
        <w:jc w:val="right"/>
        <w:rPr>
          <w:rFonts w:ascii="Arial Black" w:hAnsi="Arial Black"/>
          <w:sz w:val="15"/>
          <w:szCs w:val="15"/>
        </w:rPr>
      </w:pPr>
      <w:r w:rsidRPr="00EB6CB8">
        <w:rPr>
          <w:rFonts w:ascii="Arial Black" w:hAnsi="Arial Black"/>
          <w:sz w:val="15"/>
          <w:szCs w:val="15"/>
          <w:lang w:val="es-ES"/>
        </w:rPr>
        <w:t>AVISO N.</w:t>
      </w:r>
      <w:r w:rsidRPr="00EB6CB8">
        <w:rPr>
          <w:rFonts w:ascii="Arial Black" w:hAnsi="Arial Black"/>
          <w:sz w:val="15"/>
          <w:szCs w:val="15"/>
          <w:vertAlign w:val="superscript"/>
          <w:lang w:val="es-ES"/>
        </w:rPr>
        <w:t>O</w:t>
      </w:r>
      <w:r w:rsidRPr="00EB6CB8">
        <w:rPr>
          <w:rFonts w:ascii="Arial Black" w:hAnsi="Arial Black"/>
          <w:sz w:val="15"/>
          <w:szCs w:val="15"/>
          <w:lang w:val="es-ES"/>
        </w:rPr>
        <w:t xml:space="preserve"> </w:t>
      </w:r>
      <w:r w:rsidR="000E1148">
        <w:rPr>
          <w:rFonts w:ascii="Arial Black" w:hAnsi="Arial Black"/>
          <w:sz w:val="15"/>
          <w:szCs w:val="15"/>
          <w:lang w:val="es-ES"/>
        </w:rPr>
        <w:t>14</w:t>
      </w:r>
      <w:r w:rsidR="00EB6CB8" w:rsidRPr="00EB6CB8">
        <w:rPr>
          <w:rFonts w:ascii="Arial Black" w:hAnsi="Arial Black"/>
          <w:sz w:val="15"/>
          <w:szCs w:val="15"/>
          <w:lang w:val="es-ES"/>
        </w:rPr>
        <w:t>/20</w:t>
      </w:r>
      <w:r w:rsidR="000E1148">
        <w:rPr>
          <w:rFonts w:ascii="Arial Black" w:hAnsi="Arial Black"/>
          <w:sz w:val="15"/>
          <w:szCs w:val="15"/>
          <w:lang w:val="es-ES"/>
        </w:rPr>
        <w:t>23</w:t>
      </w:r>
    </w:p>
    <w:p w14:paraId="05EADE8E" w14:textId="77777777" w:rsidR="000E1148" w:rsidRPr="000E1148" w:rsidRDefault="000E1148" w:rsidP="00FC5119">
      <w:pPr>
        <w:spacing w:before="1200"/>
        <w:rPr>
          <w:b/>
          <w:bCs/>
          <w:sz w:val="28"/>
          <w:szCs w:val="28"/>
          <w:lang w:val="es-ES"/>
        </w:rPr>
      </w:pPr>
      <w:r w:rsidRPr="000E1148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14:paraId="7E86680B" w14:textId="77777777" w:rsidR="00EB6CB8" w:rsidRPr="00EB6CB8" w:rsidRDefault="005739DF" w:rsidP="00C9180E">
      <w:pPr>
        <w:spacing w:before="720" w:after="24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Modificación de la cuantía de las tasas individuales:</w:t>
      </w:r>
      <w:r w:rsidR="00AF69B7">
        <w:rPr>
          <w:b/>
          <w:sz w:val="24"/>
          <w:szCs w:val="24"/>
          <w:lang w:val="es-ES"/>
        </w:rPr>
        <w:t xml:space="preserve">  </w:t>
      </w:r>
      <w:r w:rsidR="0098169F">
        <w:rPr>
          <w:b/>
          <w:sz w:val="24"/>
          <w:szCs w:val="24"/>
          <w:lang w:val="es-ES"/>
        </w:rPr>
        <w:t>Unión Europea</w:t>
      </w:r>
    </w:p>
    <w:p w14:paraId="108227D0" w14:textId="217A3273" w:rsidR="00EB6CB8" w:rsidRPr="003E1D86" w:rsidRDefault="00AF69B7" w:rsidP="00EB6CB8">
      <w:pPr>
        <w:pStyle w:val="ONUME"/>
      </w:pPr>
      <w:r w:rsidRPr="00AF69B7">
        <w:rPr>
          <w:lang w:val="es-ES"/>
        </w:rPr>
        <w:t>De conformidad con la Regla 28.2)d) del Reglamento Común del Acta de</w:t>
      </w:r>
      <w:r>
        <w:rPr>
          <w:lang w:val="es-ES"/>
        </w:rPr>
        <w:t> </w:t>
      </w:r>
      <w:r w:rsidRPr="00AF69B7">
        <w:rPr>
          <w:lang w:val="es-ES"/>
        </w:rPr>
        <w:t>1999 y el Acta de</w:t>
      </w:r>
      <w:r>
        <w:rPr>
          <w:lang w:val="es-ES"/>
        </w:rPr>
        <w:t> </w:t>
      </w:r>
      <w:r w:rsidRPr="00AF69B7">
        <w:rPr>
          <w:lang w:val="es-ES"/>
        </w:rPr>
        <w:t>1960</w:t>
      </w:r>
      <w:r>
        <w:rPr>
          <w:lang w:val="es-ES"/>
        </w:rPr>
        <w:t xml:space="preserve"> </w:t>
      </w:r>
      <w:r w:rsidRPr="00AF69B7">
        <w:rPr>
          <w:lang w:val="es-ES"/>
        </w:rPr>
        <w:t>del Arreglo de La</w:t>
      </w:r>
      <w:r>
        <w:rPr>
          <w:lang w:val="es-ES"/>
        </w:rPr>
        <w:t> </w:t>
      </w:r>
      <w:r w:rsidRPr="00AF69B7">
        <w:rPr>
          <w:lang w:val="es-ES"/>
        </w:rPr>
        <w:t xml:space="preserve">Haya, el Director General de la Organización Mundial de la Propiedad Intelectual (OMPI) ha fijado las </w:t>
      </w:r>
      <w:r w:rsidR="00C44854" w:rsidRPr="00AF69B7">
        <w:rPr>
          <w:lang w:val="es-ES"/>
        </w:rPr>
        <w:t xml:space="preserve">siguientes </w:t>
      </w:r>
      <w:r w:rsidRPr="00AF69B7">
        <w:rPr>
          <w:lang w:val="es-ES"/>
        </w:rPr>
        <w:t xml:space="preserve">nuevas cuantías, expresadas en francos suizos, </w:t>
      </w:r>
      <w:r w:rsidR="003E1D86" w:rsidRPr="003E1D86">
        <w:rPr>
          <w:lang w:val="es-ES"/>
        </w:rPr>
        <w:t xml:space="preserve">de la tasa de designación individual que ha de abonarse en relación con toda solicitud internacional en la que se designe la </w:t>
      </w:r>
      <w:r w:rsidRPr="00AF69B7">
        <w:rPr>
          <w:lang w:val="es-ES"/>
        </w:rPr>
        <w:t>Unión Europea</w:t>
      </w:r>
      <w:r w:rsidR="003E1D86">
        <w:rPr>
          <w:lang w:val="es-ES"/>
        </w:rPr>
        <w:t xml:space="preserve"> </w:t>
      </w:r>
      <w:r w:rsidR="003E1D86" w:rsidRPr="003E1D86">
        <w:rPr>
          <w:lang w:val="es-ES"/>
        </w:rPr>
        <w:t>y en relación con toda renovación de registro internacional en el que se designe a la</w:t>
      </w:r>
      <w:r w:rsidRPr="00AF69B7">
        <w:rPr>
          <w:lang w:val="es-ES"/>
        </w:rPr>
        <w:t xml:space="preserve"> Unión Europea: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262"/>
      </w:tblGrid>
      <w:tr w:rsidR="000E1148" w:rsidRPr="000E1148" w14:paraId="57D13A4A" w14:textId="77777777" w:rsidTr="00DC1FB5">
        <w:tc>
          <w:tcPr>
            <w:tcW w:w="4957" w:type="dxa"/>
            <w:gridSpan w:val="2"/>
            <w:vAlign w:val="center"/>
          </w:tcPr>
          <w:p w14:paraId="7807E3C3" w14:textId="00F0D863" w:rsidR="000E1148" w:rsidRPr="00432AEB" w:rsidRDefault="000E1148" w:rsidP="00DC1FB5">
            <w:pPr>
              <w:pStyle w:val="ONUMFS"/>
              <w:numPr>
                <w:ilvl w:val="0"/>
                <w:numId w:val="0"/>
              </w:numPr>
              <w:spacing w:before="240" w:after="240"/>
              <w:jc w:val="center"/>
              <w:rPr>
                <w:b/>
                <w:bCs/>
              </w:rPr>
            </w:pPr>
            <w:r w:rsidRPr="000E1148">
              <w:rPr>
                <w:b/>
                <w:bCs/>
              </w:rPr>
              <w:t>Tasa de designación individual</w:t>
            </w:r>
          </w:p>
        </w:tc>
        <w:tc>
          <w:tcPr>
            <w:tcW w:w="2126" w:type="dxa"/>
            <w:vAlign w:val="center"/>
          </w:tcPr>
          <w:p w14:paraId="2A6735F8" w14:textId="62942626" w:rsidR="000E1148" w:rsidRPr="000E1148" w:rsidRDefault="000E1148" w:rsidP="00DC1FB5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es-ES"/>
              </w:rPr>
            </w:pPr>
            <w:r w:rsidRPr="000E1148">
              <w:rPr>
                <w:b/>
                <w:lang w:val="es-ES"/>
              </w:rPr>
              <w:t xml:space="preserve">Importes actuales </w:t>
            </w:r>
            <w:r w:rsidRPr="000E1148">
              <w:rPr>
                <w:i/>
                <w:lang w:val="es-ES"/>
              </w:rPr>
              <w:t>(en francos suizos)</w:t>
            </w:r>
          </w:p>
        </w:tc>
        <w:tc>
          <w:tcPr>
            <w:tcW w:w="2262" w:type="dxa"/>
            <w:vAlign w:val="center"/>
          </w:tcPr>
          <w:p w14:paraId="70E33766" w14:textId="61170162" w:rsidR="000E1148" w:rsidRPr="000E1148" w:rsidRDefault="000E1148" w:rsidP="00DC1FB5">
            <w:pPr>
              <w:pStyle w:val="ONUMFS"/>
              <w:numPr>
                <w:ilvl w:val="0"/>
                <w:numId w:val="0"/>
              </w:numPr>
              <w:spacing w:after="0"/>
              <w:ind w:left="-111" w:right="-116"/>
              <w:jc w:val="center"/>
              <w:rPr>
                <w:lang w:val="es-ES"/>
              </w:rPr>
            </w:pPr>
            <w:r w:rsidRPr="000E1148">
              <w:rPr>
                <w:b/>
                <w:lang w:val="es-ES"/>
              </w:rPr>
              <w:t>Nuevos importes</w:t>
            </w:r>
            <w:r w:rsidRPr="000E1148">
              <w:rPr>
                <w:b/>
                <w:i/>
                <w:lang w:val="es-ES"/>
              </w:rPr>
              <w:br/>
            </w:r>
            <w:r w:rsidRPr="000E1148">
              <w:rPr>
                <w:bCs/>
                <w:i/>
                <w:lang w:val="es-ES"/>
              </w:rPr>
              <w:t>(en francos suizos)</w:t>
            </w:r>
          </w:p>
        </w:tc>
      </w:tr>
      <w:tr w:rsidR="000E1148" w14:paraId="6F358A49" w14:textId="77777777" w:rsidTr="00DC1FB5">
        <w:tc>
          <w:tcPr>
            <w:tcW w:w="1838" w:type="dxa"/>
            <w:vAlign w:val="center"/>
          </w:tcPr>
          <w:p w14:paraId="10B61B00" w14:textId="5CF74CC2" w:rsidR="000E1148" w:rsidRDefault="000E1148" w:rsidP="00DC1FB5">
            <w:pPr>
              <w:pStyle w:val="ONUMFS"/>
              <w:numPr>
                <w:ilvl w:val="0"/>
                <w:numId w:val="0"/>
              </w:numPr>
              <w:spacing w:before="120" w:after="120"/>
            </w:pPr>
            <w:r w:rsidRPr="000E1148">
              <w:rPr>
                <w:lang w:val="es-ES"/>
              </w:rPr>
              <w:t>Solicitud internacional</w:t>
            </w:r>
          </w:p>
        </w:tc>
        <w:tc>
          <w:tcPr>
            <w:tcW w:w="3119" w:type="dxa"/>
            <w:vAlign w:val="center"/>
          </w:tcPr>
          <w:p w14:paraId="35369AFA" w14:textId="09BE5797" w:rsidR="000E1148" w:rsidRPr="000E1148" w:rsidRDefault="000E1148" w:rsidP="00DC1FB5">
            <w:pPr>
              <w:pStyle w:val="ONUMFS"/>
              <w:numPr>
                <w:ilvl w:val="0"/>
                <w:numId w:val="0"/>
              </w:numPr>
              <w:tabs>
                <w:tab w:val="left" w:pos="322"/>
              </w:tabs>
              <w:spacing w:before="120" w:after="120"/>
              <w:ind w:left="322" w:hanging="322"/>
              <w:rPr>
                <w:lang w:val="es-ES"/>
              </w:rPr>
            </w:pPr>
            <w:r>
              <w:t>–</w:t>
            </w:r>
            <w:r>
              <w:tab/>
              <w:t>por cada dibujo o modelo</w:t>
            </w:r>
          </w:p>
        </w:tc>
        <w:tc>
          <w:tcPr>
            <w:tcW w:w="2126" w:type="dxa"/>
            <w:vAlign w:val="center"/>
          </w:tcPr>
          <w:p w14:paraId="0AE449B5" w14:textId="77777777" w:rsidR="000E1148" w:rsidRDefault="000E1148" w:rsidP="00DC1FB5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67</w:t>
            </w:r>
          </w:p>
        </w:tc>
        <w:tc>
          <w:tcPr>
            <w:tcW w:w="2262" w:type="dxa"/>
            <w:vAlign w:val="center"/>
          </w:tcPr>
          <w:p w14:paraId="72EC52E8" w14:textId="77777777" w:rsidR="000E1148" w:rsidRDefault="000E1148" w:rsidP="00DC1FB5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59</w:t>
            </w:r>
          </w:p>
        </w:tc>
      </w:tr>
      <w:tr w:rsidR="000E1148" w14:paraId="1CB0DC81" w14:textId="77777777" w:rsidTr="00DC1FB5">
        <w:tc>
          <w:tcPr>
            <w:tcW w:w="1838" w:type="dxa"/>
            <w:vAlign w:val="center"/>
          </w:tcPr>
          <w:p w14:paraId="74070408" w14:textId="18594A74" w:rsidR="000E1148" w:rsidRDefault="000E1148" w:rsidP="00DC1FB5">
            <w:pPr>
              <w:pStyle w:val="ONUMFS"/>
              <w:numPr>
                <w:ilvl w:val="0"/>
                <w:numId w:val="0"/>
              </w:numPr>
              <w:spacing w:before="120" w:after="120"/>
            </w:pPr>
            <w:r>
              <w:t>Renovación</w:t>
            </w:r>
          </w:p>
        </w:tc>
        <w:tc>
          <w:tcPr>
            <w:tcW w:w="3119" w:type="dxa"/>
            <w:vAlign w:val="center"/>
          </w:tcPr>
          <w:p w14:paraId="4C32AE4D" w14:textId="1FD2FE2A" w:rsidR="000E1148" w:rsidRPr="000E1148" w:rsidRDefault="000E1148" w:rsidP="00DC1FB5">
            <w:pPr>
              <w:pStyle w:val="ONUMFS"/>
              <w:numPr>
                <w:ilvl w:val="0"/>
                <w:numId w:val="0"/>
              </w:numPr>
              <w:tabs>
                <w:tab w:val="left" w:pos="322"/>
              </w:tabs>
              <w:spacing w:before="120" w:after="120"/>
              <w:ind w:left="322" w:hanging="322"/>
              <w:rPr>
                <w:lang w:val="es-ES"/>
              </w:rPr>
            </w:pPr>
            <w:r>
              <w:t>–</w:t>
            </w:r>
            <w:r>
              <w:tab/>
              <w:t>por cada dibujo o modelo</w:t>
            </w:r>
          </w:p>
        </w:tc>
        <w:tc>
          <w:tcPr>
            <w:tcW w:w="2126" w:type="dxa"/>
            <w:vAlign w:val="center"/>
          </w:tcPr>
          <w:p w14:paraId="4F55A281" w14:textId="77777777" w:rsidR="000E1148" w:rsidRDefault="000E1148" w:rsidP="00DC1FB5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34</w:t>
            </w:r>
          </w:p>
        </w:tc>
        <w:tc>
          <w:tcPr>
            <w:tcW w:w="2262" w:type="dxa"/>
            <w:vAlign w:val="center"/>
          </w:tcPr>
          <w:p w14:paraId="2348033C" w14:textId="77777777" w:rsidR="000E1148" w:rsidRDefault="000E1148" w:rsidP="00DC1FB5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30</w:t>
            </w:r>
          </w:p>
        </w:tc>
      </w:tr>
    </w:tbl>
    <w:p w14:paraId="2829457C" w14:textId="45A50554" w:rsidR="00EB6CB8" w:rsidRPr="00A95ADB" w:rsidRDefault="005739DF" w:rsidP="00C9180E">
      <w:pPr>
        <w:pStyle w:val="ONUME"/>
        <w:spacing w:before="240" w:after="720"/>
      </w:pPr>
      <w:r>
        <w:t>Esta modificación entrará</w:t>
      </w:r>
      <w:r w:rsidR="00EB6CB8" w:rsidRPr="00A95ADB">
        <w:t xml:space="preserve"> en vigor el </w:t>
      </w:r>
      <w:r w:rsidR="000E1148" w:rsidRPr="000E1148">
        <w:t>1 de enero de 2024</w:t>
      </w:r>
      <w:r w:rsidR="00EB6CB8" w:rsidRPr="00A95ADB">
        <w:t>.</w:t>
      </w:r>
    </w:p>
    <w:p w14:paraId="4CFD9F55" w14:textId="41486326" w:rsidR="000E1148" w:rsidRPr="000E1148" w:rsidRDefault="0043363B" w:rsidP="000E1148">
      <w:pPr>
        <w:ind w:left="5534"/>
        <w:rPr>
          <w:lang w:val="es-ES"/>
        </w:rPr>
      </w:pPr>
      <w:r>
        <w:rPr>
          <w:lang w:val="es-ES"/>
        </w:rPr>
        <w:t>9</w:t>
      </w:r>
      <w:r w:rsidR="00936DB8" w:rsidRPr="000E1148">
        <w:rPr>
          <w:lang w:val="es-ES"/>
        </w:rPr>
        <w:t xml:space="preserve"> </w:t>
      </w:r>
      <w:r w:rsidR="000E1148" w:rsidRPr="000E1148">
        <w:rPr>
          <w:lang w:val="es-ES"/>
        </w:rPr>
        <w:t>de noviembre de 2023</w:t>
      </w:r>
    </w:p>
    <w:p w14:paraId="72D5CE57" w14:textId="77777777" w:rsidR="00EB6CB8" w:rsidRPr="00A95ADB" w:rsidRDefault="00EB6CB8" w:rsidP="00EB6CB8"/>
    <w:sectPr w:rsidR="00EB6CB8" w:rsidRPr="00A95ADB" w:rsidSect="00A95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9D28" w14:textId="77777777" w:rsidR="001908A0" w:rsidRDefault="001908A0">
      <w:r>
        <w:separator/>
      </w:r>
    </w:p>
  </w:endnote>
  <w:endnote w:type="continuationSeparator" w:id="0">
    <w:p w14:paraId="4E67E4FE" w14:textId="77777777" w:rsidR="001908A0" w:rsidRDefault="001908A0" w:rsidP="00A326CA">
      <w:r>
        <w:separator/>
      </w:r>
    </w:p>
    <w:p w14:paraId="02C8BE57" w14:textId="77777777" w:rsidR="001908A0" w:rsidRPr="0078064A" w:rsidRDefault="001908A0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D437851" w14:textId="77777777" w:rsidR="001908A0" w:rsidRPr="0078064A" w:rsidRDefault="001908A0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0AEA" w14:textId="77777777" w:rsidR="00B53EC4" w:rsidRDefault="00B53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36A5" w14:textId="0C00992D" w:rsidR="00B53EC4" w:rsidRDefault="00B53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58F8" w14:textId="21AD2F69" w:rsidR="00B53EC4" w:rsidRDefault="00B53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D565" w14:textId="77777777" w:rsidR="001908A0" w:rsidRDefault="001908A0">
      <w:r>
        <w:separator/>
      </w:r>
    </w:p>
  </w:footnote>
  <w:footnote w:type="continuationSeparator" w:id="0">
    <w:p w14:paraId="63D69A99" w14:textId="77777777" w:rsidR="001908A0" w:rsidRDefault="001908A0" w:rsidP="00A326CA">
      <w:r>
        <w:separator/>
      </w:r>
    </w:p>
    <w:p w14:paraId="3AF5C676" w14:textId="77777777" w:rsidR="001908A0" w:rsidRPr="0078064A" w:rsidRDefault="001908A0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7217D7A5" w14:textId="77777777" w:rsidR="001908A0" w:rsidRPr="0078064A" w:rsidRDefault="001908A0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C28A" w14:textId="77777777" w:rsidR="00B53EC4" w:rsidRDefault="00B53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2DED" w14:textId="77777777" w:rsidR="006C6B8E" w:rsidRDefault="006C6B8E" w:rsidP="00582AD5">
    <w:pPr>
      <w:pStyle w:val="Header"/>
      <w:jc w:val="right"/>
      <w:rPr>
        <w:lang w:val="fr-CH"/>
      </w:rPr>
    </w:pPr>
  </w:p>
  <w:p w14:paraId="0930C6C0" w14:textId="77777777" w:rsidR="006C6B8E" w:rsidRDefault="006C6B8E" w:rsidP="00582AD5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456B93" w14:textId="77777777" w:rsidR="006C6B8E" w:rsidRPr="00582AD5" w:rsidRDefault="006C6B8E" w:rsidP="00582AD5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D59" w14:textId="77777777" w:rsidR="00B53EC4" w:rsidRDefault="00B53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693072">
    <w:abstractNumId w:val="2"/>
  </w:num>
  <w:num w:numId="2" w16cid:durableId="587544661">
    <w:abstractNumId w:val="4"/>
  </w:num>
  <w:num w:numId="3" w16cid:durableId="1137336671">
    <w:abstractNumId w:val="0"/>
  </w:num>
  <w:num w:numId="4" w16cid:durableId="1400832911">
    <w:abstractNumId w:val="5"/>
  </w:num>
  <w:num w:numId="5" w16cid:durableId="630937182">
    <w:abstractNumId w:val="1"/>
  </w:num>
  <w:num w:numId="6" w16cid:durableId="66049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DF"/>
    <w:rsid w:val="00065A2B"/>
    <w:rsid w:val="000B4410"/>
    <w:rsid w:val="000E1148"/>
    <w:rsid w:val="000F5E56"/>
    <w:rsid w:val="00172EEE"/>
    <w:rsid w:val="001908A0"/>
    <w:rsid w:val="0021104A"/>
    <w:rsid w:val="00232CF9"/>
    <w:rsid w:val="002706DF"/>
    <w:rsid w:val="00284C09"/>
    <w:rsid w:val="00286AC8"/>
    <w:rsid w:val="003B6CDA"/>
    <w:rsid w:val="003E1D86"/>
    <w:rsid w:val="003E1E69"/>
    <w:rsid w:val="003F1195"/>
    <w:rsid w:val="003F197A"/>
    <w:rsid w:val="00415EDF"/>
    <w:rsid w:val="00431E88"/>
    <w:rsid w:val="0043363B"/>
    <w:rsid w:val="004F7F15"/>
    <w:rsid w:val="0050662A"/>
    <w:rsid w:val="00524649"/>
    <w:rsid w:val="005739DF"/>
    <w:rsid w:val="00582AD5"/>
    <w:rsid w:val="005A5BAD"/>
    <w:rsid w:val="005C645F"/>
    <w:rsid w:val="005C6BE1"/>
    <w:rsid w:val="005D265D"/>
    <w:rsid w:val="006345D6"/>
    <w:rsid w:val="006C6B8E"/>
    <w:rsid w:val="0078064A"/>
    <w:rsid w:val="007B5CAC"/>
    <w:rsid w:val="007E56A2"/>
    <w:rsid w:val="007F0734"/>
    <w:rsid w:val="0082542E"/>
    <w:rsid w:val="00861D5D"/>
    <w:rsid w:val="008E79F9"/>
    <w:rsid w:val="00936DB8"/>
    <w:rsid w:val="0098169F"/>
    <w:rsid w:val="00A326CA"/>
    <w:rsid w:val="00A953E1"/>
    <w:rsid w:val="00AF13C3"/>
    <w:rsid w:val="00AF69B7"/>
    <w:rsid w:val="00B40FB8"/>
    <w:rsid w:val="00B53EC4"/>
    <w:rsid w:val="00BB2768"/>
    <w:rsid w:val="00BD2CA8"/>
    <w:rsid w:val="00BE5C92"/>
    <w:rsid w:val="00C31614"/>
    <w:rsid w:val="00C44854"/>
    <w:rsid w:val="00C6506E"/>
    <w:rsid w:val="00C9180E"/>
    <w:rsid w:val="00D05E9C"/>
    <w:rsid w:val="00DE5C3A"/>
    <w:rsid w:val="00E638AE"/>
    <w:rsid w:val="00E74ACC"/>
    <w:rsid w:val="00EB6CB8"/>
    <w:rsid w:val="00ED55BA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936B674"/>
  <w15:chartTrackingRefBased/>
  <w15:docId w15:val="{B1DEE338-4FEF-4487-9412-BC02CA06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table" w:styleId="TableGrid">
    <w:name w:val="Table Grid"/>
    <w:basedOn w:val="TableNormal"/>
    <w:rsid w:val="000E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6DB8"/>
    <w:rPr>
      <w:rFonts w:ascii="Arial" w:eastAsia="SimSun" w:hAnsi="Arial" w:cs="Arial"/>
      <w:sz w:val="22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819</Characters>
  <Application>Microsoft Office Word</Application>
  <DocSecurity>4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Notice No. 7/2011</vt:lpstr>
    </vt:vector>
  </TitlesOfParts>
  <Manager>Lähdesmäki</Manager>
  <Company>WIPO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Notice No. 7/2011</dc:title>
  <dc:subject>Declarations made under Article 11(1)(b) and Rule 8(1):  Hungary</dc:subject>
  <dc:creator>CleaveleyA</dc:creator>
  <cp:keywords/>
  <cp:lastModifiedBy>DUMITRU Elena</cp:lastModifiedBy>
  <cp:revision>2</cp:revision>
  <cp:lastPrinted>2011-08-16T13:44:00Z</cp:lastPrinted>
  <dcterms:created xsi:type="dcterms:W3CDTF">2023-11-09T13:33:00Z</dcterms:created>
  <dcterms:modified xsi:type="dcterms:W3CDTF">2023-11-09T13:33:00Z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2023-11-02T13:18:59Z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41d6c309-63e7-4809-8957-4efa8c5463e1</vt:lpwstr>
  </property>
  <property fmtid="{D5CDD505-2E9C-101B-9397-08002B2CF9AE}" pid="8" name="MSIP_Label_20773ee6-353b-4fb9-a59d-0b94c8c67bea_ContentBits">
    <vt:lpwstr>0</vt:lpwstr>
  </property>
</Properties>
</file>