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bottom w:val="single" w:sz="4" w:space="0" w:color="auto"/>
        </w:tblBorders>
        <w:tblLook w:val="01E0" w:firstRow="1" w:lastRow="1" w:firstColumn="1" w:lastColumn="1" w:noHBand="0" w:noVBand="0"/>
      </w:tblPr>
      <w:tblGrid>
        <w:gridCol w:w="4513"/>
        <w:gridCol w:w="4843"/>
      </w:tblGrid>
      <w:tr w:rsidR="001262BF" w:rsidRPr="00E87622" w:rsidTr="00E43CF1">
        <w:tc>
          <w:tcPr>
            <w:tcW w:w="4513" w:type="dxa"/>
            <w:tcMar>
              <w:left w:w="0" w:type="dxa"/>
              <w:right w:w="0" w:type="dxa"/>
            </w:tcMar>
          </w:tcPr>
          <w:p w:rsidR="001262BF" w:rsidRPr="00E87622" w:rsidRDefault="001262BF" w:rsidP="00F35BCC">
            <w:pPr>
              <w:rPr>
                <w:lang w:val="fr-FR"/>
              </w:rPr>
            </w:pPr>
          </w:p>
        </w:tc>
        <w:tc>
          <w:tcPr>
            <w:tcW w:w="0" w:type="auto"/>
            <w:tcMar>
              <w:left w:w="0" w:type="dxa"/>
              <w:bottom w:w="142" w:type="dxa"/>
              <w:right w:w="0" w:type="dxa"/>
            </w:tcMar>
          </w:tcPr>
          <w:p w:rsidR="001262BF" w:rsidRPr="00E87622" w:rsidRDefault="00136E2F" w:rsidP="00F35BCC">
            <w:pPr>
              <w:rPr>
                <w:lang w:val="fr-FR"/>
              </w:rPr>
            </w:pPr>
            <w:r>
              <w:rPr>
                <w:noProof/>
                <w:lang w:eastAsia="en-US"/>
              </w:rPr>
              <w:drawing>
                <wp:inline distT="0" distB="0" distL="0" distR="0" wp14:anchorId="283854C8" wp14:editId="14195526">
                  <wp:extent cx="1852295" cy="1328420"/>
                  <wp:effectExtent l="0" t="0" r="0" b="508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295" cy="1328420"/>
                          </a:xfrm>
                          <a:prstGeom prst="rect">
                            <a:avLst/>
                          </a:prstGeom>
                          <a:noFill/>
                          <a:ln>
                            <a:noFill/>
                          </a:ln>
                        </pic:spPr>
                      </pic:pic>
                    </a:graphicData>
                  </a:graphic>
                </wp:inline>
              </w:drawing>
            </w:r>
          </w:p>
        </w:tc>
      </w:tr>
    </w:tbl>
    <w:p w:rsidR="001262BF" w:rsidRPr="00E87622" w:rsidRDefault="001262BF" w:rsidP="00F35BCC">
      <w:pPr>
        <w:rPr>
          <w:lang w:val="fr-FR"/>
        </w:rPr>
      </w:pPr>
    </w:p>
    <w:p w:rsidR="001262BF" w:rsidRPr="00E87622" w:rsidRDefault="00621957" w:rsidP="00F35BCC">
      <w:pPr>
        <w:jc w:val="right"/>
        <w:rPr>
          <w:lang w:val="fr-FR"/>
        </w:rPr>
      </w:pPr>
      <w:r>
        <w:rPr>
          <w:rFonts w:ascii="Arial Black" w:hAnsi="Arial Black"/>
          <w:sz w:val="15"/>
          <w:szCs w:val="15"/>
          <w:lang w:val="fr-FR"/>
        </w:rPr>
        <w:t>AVIS N</w:t>
      </w:r>
      <w:r w:rsidR="008A7CDA">
        <w:rPr>
          <w:rFonts w:ascii="Arial Black" w:hAnsi="Arial Black"/>
          <w:sz w:val="15"/>
          <w:szCs w:val="15"/>
          <w:vertAlign w:val="superscript"/>
          <w:lang w:val="fr-FR"/>
        </w:rPr>
        <w:t>O</w:t>
      </w:r>
      <w:r w:rsidR="002E0360" w:rsidRPr="002E0360">
        <w:rPr>
          <w:rFonts w:ascii="Arial Black" w:hAnsi="Arial Black"/>
          <w:sz w:val="15"/>
          <w:szCs w:val="15"/>
          <w:lang w:val="fr-FR"/>
        </w:rPr>
        <w:t> </w:t>
      </w:r>
      <w:r>
        <w:rPr>
          <w:rFonts w:ascii="Arial Black" w:hAnsi="Arial Black"/>
          <w:sz w:val="15"/>
          <w:szCs w:val="15"/>
          <w:lang w:val="fr-FR"/>
        </w:rPr>
        <w:t>11</w:t>
      </w:r>
      <w:r w:rsidR="001262BF" w:rsidRPr="00E87622">
        <w:rPr>
          <w:rFonts w:ascii="Arial Black" w:hAnsi="Arial Black"/>
          <w:sz w:val="15"/>
          <w:szCs w:val="15"/>
          <w:lang w:val="fr-FR"/>
        </w:rPr>
        <w:t>/2016</w:t>
      </w:r>
    </w:p>
    <w:p w:rsidR="001262BF" w:rsidRPr="00E87622" w:rsidRDefault="001262BF" w:rsidP="00F35BCC">
      <w:pPr>
        <w:rPr>
          <w:lang w:val="fr-FR"/>
        </w:rPr>
      </w:pPr>
    </w:p>
    <w:p w:rsidR="001262BF" w:rsidRPr="00E87622" w:rsidRDefault="001262BF" w:rsidP="00F35BCC">
      <w:pPr>
        <w:rPr>
          <w:lang w:val="fr-FR"/>
        </w:rPr>
      </w:pPr>
    </w:p>
    <w:p w:rsidR="001262BF" w:rsidRPr="00E87622" w:rsidRDefault="001262BF" w:rsidP="00F35BCC">
      <w:pPr>
        <w:rPr>
          <w:lang w:val="fr-FR"/>
        </w:rPr>
      </w:pPr>
    </w:p>
    <w:p w:rsidR="001262BF" w:rsidRPr="00E87622" w:rsidRDefault="001262BF" w:rsidP="00F35BCC">
      <w:pPr>
        <w:rPr>
          <w:lang w:val="fr-FR"/>
        </w:rPr>
      </w:pPr>
    </w:p>
    <w:p w:rsidR="001262BF" w:rsidRPr="00E87622" w:rsidRDefault="001262BF" w:rsidP="00F35BCC">
      <w:pPr>
        <w:rPr>
          <w:lang w:val="fr-FR"/>
        </w:rPr>
      </w:pPr>
    </w:p>
    <w:p w:rsidR="001262BF" w:rsidRPr="00E87622" w:rsidRDefault="001262BF" w:rsidP="00F35BCC">
      <w:pPr>
        <w:rPr>
          <w:lang w:val="fr-FR"/>
        </w:rPr>
      </w:pPr>
    </w:p>
    <w:p w:rsidR="001262BF" w:rsidRPr="00E87622" w:rsidRDefault="001262BF" w:rsidP="00F35BCC">
      <w:pPr>
        <w:rPr>
          <w:lang w:val="fr-FR"/>
        </w:rPr>
      </w:pPr>
    </w:p>
    <w:p w:rsidR="001262BF" w:rsidRPr="00E87622" w:rsidRDefault="001262BF" w:rsidP="00F35BCC">
      <w:pPr>
        <w:tabs>
          <w:tab w:val="left" w:pos="4111"/>
        </w:tabs>
        <w:rPr>
          <w:b/>
          <w:sz w:val="28"/>
          <w:szCs w:val="28"/>
          <w:lang w:val="fr-FR"/>
        </w:rPr>
      </w:pPr>
      <w:r w:rsidRPr="00E87622">
        <w:rPr>
          <w:b/>
          <w:sz w:val="28"/>
          <w:szCs w:val="28"/>
          <w:lang w:val="fr-FR"/>
        </w:rPr>
        <w:t xml:space="preserve">Arrangement de </w:t>
      </w:r>
      <w:r w:rsidR="002E0360">
        <w:rPr>
          <w:b/>
          <w:sz w:val="28"/>
          <w:szCs w:val="28"/>
          <w:lang w:val="fr-FR"/>
        </w:rPr>
        <w:t>La Haye</w:t>
      </w:r>
      <w:r w:rsidRPr="00E87622">
        <w:rPr>
          <w:b/>
          <w:sz w:val="28"/>
          <w:szCs w:val="28"/>
          <w:lang w:val="fr-FR"/>
        </w:rPr>
        <w:t xml:space="preserve"> concernant l</w:t>
      </w:r>
      <w:r w:rsidR="002E0360">
        <w:rPr>
          <w:b/>
          <w:sz w:val="28"/>
          <w:szCs w:val="28"/>
          <w:lang w:val="fr-FR"/>
        </w:rPr>
        <w:t>’</w:t>
      </w:r>
      <w:r w:rsidRPr="00E87622">
        <w:rPr>
          <w:b/>
          <w:sz w:val="28"/>
          <w:szCs w:val="28"/>
          <w:lang w:val="fr-FR"/>
        </w:rPr>
        <w:t>enregistrement international des dessins et modèles industriels</w:t>
      </w:r>
    </w:p>
    <w:p w:rsidR="001262BF" w:rsidRPr="00E87622" w:rsidRDefault="001262BF" w:rsidP="00F35BCC">
      <w:pPr>
        <w:rPr>
          <w:lang w:val="fr-FR"/>
        </w:rPr>
      </w:pPr>
    </w:p>
    <w:p w:rsidR="001262BF" w:rsidRPr="00E87622" w:rsidRDefault="001262BF" w:rsidP="00F35BCC">
      <w:pPr>
        <w:rPr>
          <w:lang w:val="fr-FR"/>
        </w:rPr>
      </w:pPr>
    </w:p>
    <w:p w:rsidR="001262BF" w:rsidRPr="00E87622" w:rsidRDefault="001262BF" w:rsidP="00F35BCC">
      <w:pPr>
        <w:rPr>
          <w:szCs w:val="22"/>
          <w:lang w:val="fr-FR"/>
        </w:rPr>
      </w:pPr>
    </w:p>
    <w:p w:rsidR="009F0611" w:rsidRPr="00E87622" w:rsidRDefault="00E37A71" w:rsidP="00F35BCC">
      <w:pPr>
        <w:outlineLvl w:val="0"/>
        <w:rPr>
          <w:b/>
          <w:bCs/>
          <w:iCs/>
          <w:caps/>
          <w:sz w:val="24"/>
          <w:szCs w:val="24"/>
          <w:lang w:val="fr-FR"/>
        </w:rPr>
      </w:pPr>
      <w:r w:rsidRPr="00E87622">
        <w:rPr>
          <w:b/>
          <w:bCs/>
          <w:iCs/>
          <w:sz w:val="24"/>
          <w:szCs w:val="24"/>
          <w:lang w:val="fr-FR"/>
        </w:rPr>
        <w:t>Modifications du règlement d</w:t>
      </w:r>
      <w:r w:rsidR="002E0360">
        <w:rPr>
          <w:b/>
          <w:bCs/>
          <w:iCs/>
          <w:sz w:val="24"/>
          <w:szCs w:val="24"/>
          <w:lang w:val="fr-FR"/>
        </w:rPr>
        <w:t>’</w:t>
      </w:r>
      <w:r w:rsidRPr="00E87622">
        <w:rPr>
          <w:b/>
          <w:bCs/>
          <w:iCs/>
          <w:sz w:val="24"/>
          <w:szCs w:val="24"/>
          <w:lang w:val="fr-FR"/>
        </w:rPr>
        <w:t>exécution commun à l</w:t>
      </w:r>
      <w:r w:rsidR="002E0360">
        <w:rPr>
          <w:b/>
          <w:bCs/>
          <w:iCs/>
          <w:sz w:val="24"/>
          <w:szCs w:val="24"/>
          <w:lang w:val="fr-FR"/>
        </w:rPr>
        <w:t>’</w:t>
      </w:r>
      <w:r w:rsidRPr="00E87622">
        <w:rPr>
          <w:b/>
          <w:bCs/>
          <w:iCs/>
          <w:sz w:val="24"/>
          <w:szCs w:val="24"/>
          <w:lang w:val="fr-FR"/>
        </w:rPr>
        <w:t>Acte de</w:t>
      </w:r>
      <w:r w:rsidR="00C432C7" w:rsidRPr="00E87622">
        <w:rPr>
          <w:b/>
          <w:bCs/>
          <w:iCs/>
          <w:sz w:val="24"/>
          <w:szCs w:val="24"/>
          <w:lang w:val="fr-FR"/>
        </w:rPr>
        <w:t> </w:t>
      </w:r>
      <w:r w:rsidRPr="00E87622">
        <w:rPr>
          <w:b/>
          <w:bCs/>
          <w:iCs/>
          <w:sz w:val="24"/>
          <w:szCs w:val="24"/>
          <w:lang w:val="fr-FR"/>
        </w:rPr>
        <w:t>1999 et l</w:t>
      </w:r>
      <w:r w:rsidR="002E0360">
        <w:rPr>
          <w:b/>
          <w:bCs/>
          <w:iCs/>
          <w:sz w:val="24"/>
          <w:szCs w:val="24"/>
          <w:lang w:val="fr-FR"/>
        </w:rPr>
        <w:t>’</w:t>
      </w:r>
      <w:r w:rsidRPr="00E87622">
        <w:rPr>
          <w:b/>
          <w:bCs/>
          <w:iCs/>
          <w:sz w:val="24"/>
          <w:szCs w:val="24"/>
          <w:lang w:val="fr-FR"/>
        </w:rPr>
        <w:t>Acte de</w:t>
      </w:r>
      <w:r w:rsidR="00C432C7" w:rsidRPr="00E87622">
        <w:rPr>
          <w:b/>
          <w:bCs/>
          <w:iCs/>
          <w:sz w:val="24"/>
          <w:szCs w:val="24"/>
          <w:lang w:val="fr-FR"/>
        </w:rPr>
        <w:t> </w:t>
      </w:r>
      <w:r w:rsidRPr="00E87622">
        <w:rPr>
          <w:b/>
          <w:bCs/>
          <w:iCs/>
          <w:sz w:val="24"/>
          <w:szCs w:val="24"/>
          <w:lang w:val="fr-FR"/>
        </w:rPr>
        <w:t>1960 de l</w:t>
      </w:r>
      <w:r w:rsidR="002E0360">
        <w:rPr>
          <w:b/>
          <w:bCs/>
          <w:iCs/>
          <w:sz w:val="24"/>
          <w:szCs w:val="24"/>
          <w:lang w:val="fr-FR"/>
        </w:rPr>
        <w:t>’</w:t>
      </w:r>
      <w:r w:rsidRPr="00E87622">
        <w:rPr>
          <w:b/>
          <w:bCs/>
          <w:iCs/>
          <w:sz w:val="24"/>
          <w:szCs w:val="24"/>
          <w:lang w:val="fr-FR"/>
        </w:rPr>
        <w:t xml:space="preserve">Arrangement de </w:t>
      </w:r>
      <w:r w:rsidR="002E0360">
        <w:rPr>
          <w:b/>
          <w:bCs/>
          <w:iCs/>
          <w:sz w:val="24"/>
          <w:szCs w:val="24"/>
          <w:lang w:val="fr-FR"/>
        </w:rPr>
        <w:t>La Haye</w:t>
      </w:r>
    </w:p>
    <w:p w:rsidR="00824E57" w:rsidRPr="00E87622" w:rsidRDefault="00824E57" w:rsidP="00F35BCC">
      <w:pPr>
        <w:rPr>
          <w:szCs w:val="22"/>
          <w:lang w:val="fr-FR"/>
        </w:rPr>
      </w:pPr>
    </w:p>
    <w:p w:rsidR="00FC5A27" w:rsidRPr="00E87622" w:rsidRDefault="00FC5A27" w:rsidP="00F35BCC">
      <w:pPr>
        <w:rPr>
          <w:szCs w:val="22"/>
          <w:lang w:val="fr-FR"/>
        </w:rPr>
      </w:pPr>
    </w:p>
    <w:p w:rsidR="00777B67" w:rsidRPr="00E87622" w:rsidRDefault="00E37A71" w:rsidP="00F35BCC">
      <w:pPr>
        <w:pStyle w:val="ONUME"/>
        <w:rPr>
          <w:lang w:val="fr-FR"/>
        </w:rPr>
      </w:pPr>
      <w:r w:rsidRPr="00E87622">
        <w:rPr>
          <w:lang w:val="fr-FR"/>
        </w:rPr>
        <w:t>À sa trente</w:t>
      </w:r>
      <w:r w:rsidR="00B4549C">
        <w:rPr>
          <w:lang w:val="fr-FR"/>
        </w:rPr>
        <w:noBreakHyphen/>
      </w:r>
      <w:r w:rsidRPr="00E87622">
        <w:rPr>
          <w:lang w:val="fr-FR"/>
        </w:rPr>
        <w:t>six</w:t>
      </w:r>
      <w:r w:rsidR="002E0360">
        <w:rPr>
          <w:lang w:val="fr-FR"/>
        </w:rPr>
        <w:t>ième session</w:t>
      </w:r>
      <w:r w:rsidRPr="00E87622">
        <w:rPr>
          <w:lang w:val="fr-FR"/>
        </w:rPr>
        <w:t xml:space="preserve"> </w:t>
      </w:r>
      <w:r w:rsidR="00F60D96" w:rsidRPr="00E87622">
        <w:rPr>
          <w:lang w:val="fr-FR"/>
        </w:rPr>
        <w:t>(16</w:t>
      </w:r>
      <w:r w:rsidR="006062A2" w:rsidRPr="00E87622">
        <w:rPr>
          <w:vertAlign w:val="superscript"/>
          <w:lang w:val="fr-FR"/>
        </w:rPr>
        <w:t>e</w:t>
      </w:r>
      <w:r w:rsidR="00B4549C">
        <w:rPr>
          <w:lang w:val="fr-FR"/>
        </w:rPr>
        <w:t> </w:t>
      </w:r>
      <w:r w:rsidR="00280F5A">
        <w:rPr>
          <w:lang w:val="fr-FR"/>
        </w:rPr>
        <w:t>s</w:t>
      </w:r>
      <w:r w:rsidR="006062A2" w:rsidRPr="00E87622">
        <w:rPr>
          <w:lang w:val="fr-FR"/>
        </w:rPr>
        <w:t xml:space="preserve">ession </w:t>
      </w:r>
      <w:r w:rsidR="0094735D" w:rsidRPr="00E87622">
        <w:rPr>
          <w:lang w:val="fr-FR"/>
        </w:rPr>
        <w:t>extra</w:t>
      </w:r>
      <w:r w:rsidR="006062A2" w:rsidRPr="00E87622">
        <w:rPr>
          <w:lang w:val="fr-FR"/>
        </w:rPr>
        <w:t>ordinaire</w:t>
      </w:r>
      <w:r w:rsidR="00F60D96" w:rsidRPr="00E87622">
        <w:rPr>
          <w:lang w:val="fr-FR"/>
        </w:rPr>
        <w:t xml:space="preserve">) </w:t>
      </w:r>
      <w:r w:rsidR="0094735D" w:rsidRPr="00E87622">
        <w:rPr>
          <w:lang w:val="fr-FR"/>
        </w:rPr>
        <w:t xml:space="preserve">tenue à Genève du </w:t>
      </w:r>
      <w:r w:rsidR="00F60D96" w:rsidRPr="00E87622">
        <w:rPr>
          <w:lang w:val="fr-FR"/>
        </w:rPr>
        <w:t xml:space="preserve">3 </w:t>
      </w:r>
      <w:r w:rsidR="0094735D" w:rsidRPr="00E87622">
        <w:rPr>
          <w:lang w:val="fr-FR"/>
        </w:rPr>
        <w:t>au 11</w:t>
      </w:r>
      <w:r w:rsidR="00F60D96" w:rsidRPr="00E87622">
        <w:rPr>
          <w:lang w:val="fr-FR"/>
        </w:rPr>
        <w:t> </w:t>
      </w:r>
      <w:r w:rsidR="0094735D" w:rsidRPr="00E87622">
        <w:rPr>
          <w:lang w:val="fr-FR"/>
        </w:rPr>
        <w:t>octobre </w:t>
      </w:r>
      <w:r w:rsidR="00F60D96" w:rsidRPr="00E87622">
        <w:rPr>
          <w:lang w:val="fr-FR"/>
        </w:rPr>
        <w:t xml:space="preserve">2016, </w:t>
      </w:r>
      <w:r w:rsidR="0094735D" w:rsidRPr="00E87622">
        <w:rPr>
          <w:lang w:val="fr-FR"/>
        </w:rPr>
        <w:t>l</w:t>
      </w:r>
      <w:r w:rsidR="002E0360">
        <w:rPr>
          <w:lang w:val="fr-FR"/>
        </w:rPr>
        <w:t>’</w:t>
      </w:r>
      <w:r w:rsidR="00F60D96" w:rsidRPr="00E87622">
        <w:rPr>
          <w:lang w:val="fr-FR"/>
        </w:rPr>
        <w:t>Assembl</w:t>
      </w:r>
      <w:r w:rsidR="0094735D" w:rsidRPr="00E87622">
        <w:rPr>
          <w:lang w:val="fr-FR"/>
        </w:rPr>
        <w:t>ée de l</w:t>
      </w:r>
      <w:r w:rsidR="002E0360">
        <w:rPr>
          <w:lang w:val="fr-FR"/>
        </w:rPr>
        <w:t>’</w:t>
      </w:r>
      <w:r w:rsidR="0094735D" w:rsidRPr="00E87622">
        <w:rPr>
          <w:lang w:val="fr-FR"/>
        </w:rPr>
        <w:t xml:space="preserve">Union de </w:t>
      </w:r>
      <w:r w:rsidR="002E0360">
        <w:rPr>
          <w:lang w:val="fr-FR"/>
        </w:rPr>
        <w:t>La Haye</w:t>
      </w:r>
      <w:r w:rsidR="00F60D96" w:rsidRPr="00E87622">
        <w:rPr>
          <w:lang w:val="fr-FR"/>
        </w:rPr>
        <w:t xml:space="preserve"> </w:t>
      </w:r>
      <w:r w:rsidR="0094735D" w:rsidRPr="00E87622">
        <w:rPr>
          <w:lang w:val="fr-FR"/>
        </w:rPr>
        <w:t>a adopté des modifications de la règle 5 du règlement d</w:t>
      </w:r>
      <w:r w:rsidR="002E0360">
        <w:rPr>
          <w:lang w:val="fr-FR"/>
        </w:rPr>
        <w:t>’</w:t>
      </w:r>
      <w:r w:rsidR="0094735D" w:rsidRPr="00E87622">
        <w:rPr>
          <w:lang w:val="fr-FR"/>
        </w:rPr>
        <w:t>exécution commun à l</w:t>
      </w:r>
      <w:r w:rsidR="002E0360">
        <w:rPr>
          <w:lang w:val="fr-FR"/>
        </w:rPr>
        <w:t>’</w:t>
      </w:r>
      <w:r w:rsidR="0094735D" w:rsidRPr="00E87622">
        <w:rPr>
          <w:lang w:val="fr-FR"/>
        </w:rPr>
        <w:t>Acte de</w:t>
      </w:r>
      <w:r w:rsidR="00C432C7" w:rsidRPr="00E87622">
        <w:rPr>
          <w:lang w:val="fr-FR"/>
        </w:rPr>
        <w:t> </w:t>
      </w:r>
      <w:r w:rsidR="0094735D" w:rsidRPr="00E87622">
        <w:rPr>
          <w:lang w:val="fr-FR"/>
        </w:rPr>
        <w:t>1999 et l</w:t>
      </w:r>
      <w:r w:rsidR="002E0360">
        <w:rPr>
          <w:lang w:val="fr-FR"/>
        </w:rPr>
        <w:t>’</w:t>
      </w:r>
      <w:r w:rsidR="0094735D" w:rsidRPr="00E87622">
        <w:rPr>
          <w:lang w:val="fr-FR"/>
        </w:rPr>
        <w:t>Acte de</w:t>
      </w:r>
      <w:r w:rsidR="00C432C7" w:rsidRPr="00E87622">
        <w:rPr>
          <w:lang w:val="fr-FR"/>
        </w:rPr>
        <w:t> </w:t>
      </w:r>
      <w:r w:rsidR="0094735D" w:rsidRPr="00E87622">
        <w:rPr>
          <w:lang w:val="fr-FR"/>
        </w:rPr>
        <w:t>1960 de l</w:t>
      </w:r>
      <w:r w:rsidR="002E0360">
        <w:rPr>
          <w:lang w:val="fr-FR"/>
        </w:rPr>
        <w:t>’</w:t>
      </w:r>
      <w:r w:rsidR="0094735D" w:rsidRPr="00E87622">
        <w:rPr>
          <w:lang w:val="fr-FR"/>
        </w:rPr>
        <w:t>Arrangement de</w:t>
      </w:r>
      <w:r w:rsidR="00125976">
        <w:rPr>
          <w:lang w:val="fr-FR"/>
        </w:rPr>
        <w:t> </w:t>
      </w:r>
      <w:r w:rsidR="002E0360">
        <w:rPr>
          <w:lang w:val="fr-FR"/>
        </w:rPr>
        <w:t>La Haye</w:t>
      </w:r>
      <w:r w:rsidR="0094735D" w:rsidRPr="00E87622">
        <w:rPr>
          <w:lang w:val="fr-FR"/>
        </w:rPr>
        <w:t xml:space="preserve"> (ci</w:t>
      </w:r>
      <w:r w:rsidR="00B4549C">
        <w:rPr>
          <w:lang w:val="fr-FR"/>
        </w:rPr>
        <w:noBreakHyphen/>
      </w:r>
      <w:r w:rsidR="0094735D" w:rsidRPr="00E87622">
        <w:rPr>
          <w:lang w:val="fr-FR"/>
        </w:rPr>
        <w:t xml:space="preserve">après dénommé </w:t>
      </w:r>
      <w:r w:rsidR="00777B67" w:rsidRPr="00E87622">
        <w:rPr>
          <w:lang w:val="fr-FR"/>
        </w:rPr>
        <w:t>“</w:t>
      </w:r>
      <w:r w:rsidR="0094735D" w:rsidRPr="00E87622">
        <w:rPr>
          <w:lang w:val="fr-FR"/>
        </w:rPr>
        <w:t>règlement d</w:t>
      </w:r>
      <w:r w:rsidR="002E0360">
        <w:rPr>
          <w:lang w:val="fr-FR"/>
        </w:rPr>
        <w:t>’</w:t>
      </w:r>
      <w:r w:rsidR="0094735D" w:rsidRPr="00E87622">
        <w:rPr>
          <w:lang w:val="fr-FR"/>
        </w:rPr>
        <w:t>exécution commun</w:t>
      </w:r>
      <w:r w:rsidR="00777B67" w:rsidRPr="00E87622">
        <w:rPr>
          <w:lang w:val="fr-FR"/>
        </w:rPr>
        <w:t>”</w:t>
      </w:r>
      <w:r w:rsidR="0094735D" w:rsidRPr="00E87622">
        <w:rPr>
          <w:lang w:val="fr-FR"/>
        </w:rPr>
        <w:t>).</w:t>
      </w:r>
    </w:p>
    <w:p w:rsidR="00777B67" w:rsidRPr="00E87622" w:rsidRDefault="00E336F3" w:rsidP="00F35BCC">
      <w:pPr>
        <w:pStyle w:val="ONUME"/>
        <w:rPr>
          <w:lang w:val="fr-FR"/>
        </w:rPr>
      </w:pPr>
      <w:r w:rsidRPr="00E87622">
        <w:rPr>
          <w:lang w:val="fr-FR"/>
        </w:rPr>
        <w:t>Les modifications apportées à la règle 5 visent à fournir une garantie contre un défaut de transmission d</w:t>
      </w:r>
      <w:r w:rsidR="002E0360">
        <w:rPr>
          <w:lang w:val="fr-FR"/>
        </w:rPr>
        <w:t>’</w:t>
      </w:r>
      <w:r w:rsidRPr="00E87622">
        <w:rPr>
          <w:lang w:val="fr-FR"/>
        </w:rPr>
        <w:t>une communication électroniq</w:t>
      </w:r>
      <w:r w:rsidR="00B4549C" w:rsidRPr="00E87622">
        <w:rPr>
          <w:lang w:val="fr-FR"/>
        </w:rPr>
        <w:t>ue</w:t>
      </w:r>
      <w:r w:rsidR="00B4549C">
        <w:rPr>
          <w:lang w:val="fr-FR"/>
        </w:rPr>
        <w:t xml:space="preserve">.  </w:t>
      </w:r>
      <w:r w:rsidR="00B4549C" w:rsidRPr="00E87622">
        <w:rPr>
          <w:lang w:val="fr-FR"/>
        </w:rPr>
        <w:t>Il</w:t>
      </w:r>
      <w:r w:rsidRPr="00E87622">
        <w:rPr>
          <w:lang w:val="fr-FR"/>
        </w:rPr>
        <w:t xml:space="preserve"> est probable qu</w:t>
      </w:r>
      <w:r w:rsidR="002E0360">
        <w:rPr>
          <w:lang w:val="fr-FR"/>
        </w:rPr>
        <w:t>’</w:t>
      </w:r>
      <w:r w:rsidRPr="00E87622">
        <w:rPr>
          <w:lang w:val="fr-FR"/>
        </w:rPr>
        <w:t>à l</w:t>
      </w:r>
      <w:r w:rsidR="002E0360">
        <w:rPr>
          <w:lang w:val="fr-FR"/>
        </w:rPr>
        <w:t>’</w:t>
      </w:r>
      <w:r w:rsidRPr="00E87622">
        <w:rPr>
          <w:lang w:val="fr-FR"/>
        </w:rPr>
        <w:t>avenir les communications avec le Bureau international se feront surtout sous forme électronique.</w:t>
      </w:r>
    </w:p>
    <w:p w:rsidR="00091897" w:rsidRPr="00E87622" w:rsidRDefault="00777B67" w:rsidP="002B5373">
      <w:pPr>
        <w:pStyle w:val="Heading1"/>
        <w:spacing w:before="480"/>
        <w:rPr>
          <w:lang w:val="fr-FR"/>
        </w:rPr>
      </w:pPr>
      <w:r w:rsidRPr="00E87622">
        <w:rPr>
          <w:lang w:val="fr-FR"/>
        </w:rPr>
        <w:t>“</w:t>
      </w:r>
      <w:r w:rsidR="00621957">
        <w:rPr>
          <w:lang w:val="fr-FR"/>
        </w:rPr>
        <w:t>M</w:t>
      </w:r>
      <w:bookmarkStart w:id="0" w:name="_GoBack"/>
      <w:bookmarkEnd w:id="0"/>
      <w:r w:rsidR="00621957">
        <w:rPr>
          <w:lang w:val="fr-FR"/>
        </w:rPr>
        <w:t>écanisme</w:t>
      </w:r>
      <w:r w:rsidR="00E336F3" w:rsidRPr="00E87622">
        <w:rPr>
          <w:lang w:val="fr-FR"/>
        </w:rPr>
        <w:t xml:space="preserve"> de </w:t>
      </w:r>
      <w:r w:rsidR="00B55CFB" w:rsidRPr="00E87622">
        <w:rPr>
          <w:lang w:val="fr-FR"/>
        </w:rPr>
        <w:t>garantie</w:t>
      </w:r>
      <w:r w:rsidRPr="00E87622">
        <w:rPr>
          <w:lang w:val="fr-FR"/>
        </w:rPr>
        <w:t>”</w:t>
      </w:r>
      <w:r w:rsidR="00091897" w:rsidRPr="00E87622">
        <w:rPr>
          <w:lang w:val="fr-FR"/>
        </w:rPr>
        <w:t xml:space="preserve"> </w:t>
      </w:r>
      <w:r w:rsidR="00E336F3" w:rsidRPr="00E87622">
        <w:rPr>
          <w:lang w:val="fr-FR"/>
        </w:rPr>
        <w:t>dans le cadre du syst</w:t>
      </w:r>
      <w:r w:rsidR="00F90588">
        <w:rPr>
          <w:lang w:val="fr-FR"/>
        </w:rPr>
        <w:t>è</w:t>
      </w:r>
      <w:r w:rsidR="00E336F3" w:rsidRPr="00E87622">
        <w:rPr>
          <w:lang w:val="fr-FR"/>
        </w:rPr>
        <w:t xml:space="preserve">me de </w:t>
      </w:r>
      <w:r w:rsidR="002E0360">
        <w:rPr>
          <w:lang w:val="fr-FR"/>
        </w:rPr>
        <w:t>La Haye</w:t>
      </w:r>
    </w:p>
    <w:p w:rsidR="00091897" w:rsidRPr="00E87622" w:rsidRDefault="00091897" w:rsidP="00F35BCC">
      <w:pPr>
        <w:rPr>
          <w:lang w:val="fr-FR"/>
        </w:rPr>
      </w:pPr>
    </w:p>
    <w:p w:rsidR="00777B67" w:rsidRPr="002461F7" w:rsidRDefault="00C014CE" w:rsidP="00F35BCC">
      <w:pPr>
        <w:pStyle w:val="ONUME"/>
        <w:rPr>
          <w:lang w:val="fr-FR"/>
        </w:rPr>
      </w:pPr>
      <w:r w:rsidRPr="002461F7">
        <w:rPr>
          <w:lang w:val="fr-FR"/>
        </w:rPr>
        <w:t>En vertu du nouvel alinéa </w:t>
      </w:r>
      <w:r w:rsidR="00F60D96" w:rsidRPr="002461F7">
        <w:rPr>
          <w:lang w:val="fr-FR"/>
        </w:rPr>
        <w:t xml:space="preserve">3) </w:t>
      </w:r>
      <w:r w:rsidRPr="002461F7">
        <w:rPr>
          <w:lang w:val="fr-FR"/>
        </w:rPr>
        <w:t>de la règle </w:t>
      </w:r>
      <w:r w:rsidR="00F60D96" w:rsidRPr="002461F7">
        <w:rPr>
          <w:lang w:val="fr-FR"/>
        </w:rPr>
        <w:t xml:space="preserve">5, </w:t>
      </w:r>
      <w:r w:rsidRPr="002461F7">
        <w:rPr>
          <w:lang w:val="fr-FR"/>
        </w:rPr>
        <w:t>l</w:t>
      </w:r>
      <w:r w:rsidR="002E0360">
        <w:rPr>
          <w:lang w:val="fr-FR"/>
        </w:rPr>
        <w:t>’</w:t>
      </w:r>
      <w:r w:rsidRPr="002461F7">
        <w:rPr>
          <w:lang w:val="fr-FR"/>
        </w:rPr>
        <w:t>inobservation par une partie intéressée d</w:t>
      </w:r>
      <w:r w:rsidR="002E0360">
        <w:rPr>
          <w:lang w:val="fr-FR"/>
        </w:rPr>
        <w:t>’</w:t>
      </w:r>
      <w:r w:rsidRPr="002461F7">
        <w:rPr>
          <w:lang w:val="fr-FR"/>
        </w:rPr>
        <w:t xml:space="preserve">un délai pour une communication adressée au Bureau international et envoyée par voie électronique serait excusée </w:t>
      </w:r>
      <w:r w:rsidR="00592F15" w:rsidRPr="002461F7">
        <w:rPr>
          <w:lang w:val="fr-FR"/>
        </w:rPr>
        <w:t xml:space="preserve">si </w:t>
      </w:r>
      <w:r w:rsidR="00DE693E">
        <w:rPr>
          <w:lang w:val="fr-FR"/>
        </w:rPr>
        <w:t>la partie intéressée prouv</w:t>
      </w:r>
      <w:r w:rsidR="00280F5A">
        <w:rPr>
          <w:lang w:val="fr-FR"/>
        </w:rPr>
        <w:t>ai</w:t>
      </w:r>
      <w:r w:rsidRPr="002461F7">
        <w:rPr>
          <w:lang w:val="fr-FR"/>
        </w:rPr>
        <w:t>t de manière satisfaisante que le délai n</w:t>
      </w:r>
      <w:r w:rsidR="002E0360">
        <w:rPr>
          <w:lang w:val="fr-FR"/>
        </w:rPr>
        <w:t>’</w:t>
      </w:r>
      <w:r w:rsidRPr="002461F7">
        <w:rPr>
          <w:lang w:val="fr-FR"/>
        </w:rPr>
        <w:t>a pas été respecté en raison d</w:t>
      </w:r>
      <w:r w:rsidR="002E0360">
        <w:rPr>
          <w:lang w:val="fr-FR"/>
        </w:rPr>
        <w:t>’</w:t>
      </w:r>
      <w:r w:rsidRPr="002461F7">
        <w:rPr>
          <w:lang w:val="fr-FR"/>
        </w:rPr>
        <w:t>une défaillance dans la communication électronique avec le Bureau international ou d</w:t>
      </w:r>
      <w:r w:rsidR="002E0360">
        <w:rPr>
          <w:lang w:val="fr-FR"/>
        </w:rPr>
        <w:t>’</w:t>
      </w:r>
      <w:r w:rsidRPr="002461F7">
        <w:rPr>
          <w:lang w:val="fr-FR"/>
        </w:rPr>
        <w:t>une défaillance concernant la localité de la partie intéressée en raison de circonstances extraordinair</w:t>
      </w:r>
      <w:r w:rsidR="00B4549C" w:rsidRPr="002461F7">
        <w:rPr>
          <w:lang w:val="fr-FR"/>
        </w:rPr>
        <w:t>es</w:t>
      </w:r>
      <w:r w:rsidR="00B4549C">
        <w:rPr>
          <w:lang w:val="fr-FR"/>
        </w:rPr>
        <w:t xml:space="preserve">.  </w:t>
      </w:r>
      <w:r w:rsidR="00B4549C" w:rsidRPr="002461F7">
        <w:rPr>
          <w:lang w:val="fr-FR"/>
        </w:rPr>
        <w:t>Il</w:t>
      </w:r>
      <w:r w:rsidR="00616D89" w:rsidRPr="002461F7">
        <w:rPr>
          <w:lang w:val="fr-FR"/>
        </w:rPr>
        <w:t xml:space="preserve"> convient de noter que </w:t>
      </w:r>
      <w:r w:rsidR="00592F15" w:rsidRPr="002461F7">
        <w:rPr>
          <w:lang w:val="fr-FR"/>
        </w:rPr>
        <w:t xml:space="preserve">ce dernier cas </w:t>
      </w:r>
      <w:r w:rsidR="00616D89" w:rsidRPr="002461F7">
        <w:rPr>
          <w:lang w:val="fr-FR"/>
        </w:rPr>
        <w:t>s</w:t>
      </w:r>
      <w:r w:rsidR="002E0360">
        <w:rPr>
          <w:lang w:val="fr-FR"/>
        </w:rPr>
        <w:t>’</w:t>
      </w:r>
      <w:r w:rsidR="00616D89" w:rsidRPr="002461F7">
        <w:rPr>
          <w:lang w:val="fr-FR"/>
        </w:rPr>
        <w:t>applique aux interruptions de service affectant un grand nombre d</w:t>
      </w:r>
      <w:r w:rsidR="002E0360">
        <w:rPr>
          <w:lang w:val="fr-FR"/>
        </w:rPr>
        <w:t>’</w:t>
      </w:r>
      <w:r w:rsidR="00616D89" w:rsidRPr="002461F7">
        <w:rPr>
          <w:lang w:val="fr-FR"/>
        </w:rPr>
        <w:t>utilisateurs, par exemple tous les utilisateurs d</w:t>
      </w:r>
      <w:r w:rsidR="002E0360">
        <w:rPr>
          <w:lang w:val="fr-FR"/>
        </w:rPr>
        <w:t>’</w:t>
      </w:r>
      <w:r w:rsidR="00616D89" w:rsidRPr="002461F7">
        <w:rPr>
          <w:lang w:val="fr-FR"/>
        </w:rPr>
        <w:t xml:space="preserve">une grande </w:t>
      </w:r>
      <w:r w:rsidR="003B3DAE" w:rsidRPr="002461F7">
        <w:rPr>
          <w:lang w:val="fr-FR"/>
        </w:rPr>
        <w:t xml:space="preserve">zone </w:t>
      </w:r>
      <w:r w:rsidR="00616D89" w:rsidRPr="002461F7">
        <w:rPr>
          <w:lang w:val="fr-FR"/>
        </w:rPr>
        <w:t>d</w:t>
      </w:r>
      <w:r w:rsidR="002E0360">
        <w:rPr>
          <w:lang w:val="fr-FR"/>
        </w:rPr>
        <w:t>’</w:t>
      </w:r>
      <w:r w:rsidR="00616D89" w:rsidRPr="002461F7">
        <w:rPr>
          <w:lang w:val="fr-FR"/>
        </w:rPr>
        <w:t>une ville ou d</w:t>
      </w:r>
      <w:r w:rsidR="002E0360">
        <w:rPr>
          <w:lang w:val="fr-FR"/>
        </w:rPr>
        <w:t>’</w:t>
      </w:r>
      <w:r w:rsidR="00616D89" w:rsidRPr="002461F7">
        <w:rPr>
          <w:lang w:val="fr-FR"/>
        </w:rPr>
        <w:t>un pays, plutôt qu</w:t>
      </w:r>
      <w:r w:rsidR="002E0360">
        <w:rPr>
          <w:lang w:val="fr-FR"/>
        </w:rPr>
        <w:t>’</w:t>
      </w:r>
      <w:r w:rsidR="00616D89" w:rsidRPr="002461F7">
        <w:rPr>
          <w:lang w:val="fr-FR"/>
        </w:rPr>
        <w:t>à des problèmes localisés dans un bâtiment don</w:t>
      </w:r>
      <w:r w:rsidR="00B4549C" w:rsidRPr="002461F7">
        <w:rPr>
          <w:lang w:val="fr-FR"/>
        </w:rPr>
        <w:t>né</w:t>
      </w:r>
      <w:r w:rsidR="00B4549C">
        <w:rPr>
          <w:lang w:val="fr-FR"/>
        </w:rPr>
        <w:t xml:space="preserve">.  </w:t>
      </w:r>
      <w:r w:rsidR="00B4549C" w:rsidRPr="002461F7">
        <w:rPr>
          <w:lang w:val="fr-FR"/>
        </w:rPr>
        <w:t>Da</w:t>
      </w:r>
      <w:r w:rsidRPr="002461F7">
        <w:rPr>
          <w:lang w:val="fr-FR"/>
        </w:rPr>
        <w:t xml:space="preserve">ns </w:t>
      </w:r>
      <w:r w:rsidR="00592F15" w:rsidRPr="002461F7">
        <w:rPr>
          <w:lang w:val="fr-FR"/>
        </w:rPr>
        <w:t xml:space="preserve">les </w:t>
      </w:r>
      <w:r w:rsidRPr="002461F7">
        <w:rPr>
          <w:lang w:val="fr-FR"/>
        </w:rPr>
        <w:t>cas</w:t>
      </w:r>
      <w:r w:rsidR="00592F15" w:rsidRPr="002461F7">
        <w:rPr>
          <w:lang w:val="fr-FR"/>
        </w:rPr>
        <w:t xml:space="preserve"> susmentionnés</w:t>
      </w:r>
      <w:r w:rsidRPr="002461F7">
        <w:rPr>
          <w:lang w:val="fr-FR"/>
        </w:rPr>
        <w:t>, une nouvelle communication devrait être effectuée dans les cinq</w:t>
      </w:r>
      <w:r w:rsidR="00C432C7" w:rsidRPr="002461F7">
        <w:rPr>
          <w:lang w:val="fr-FR"/>
        </w:rPr>
        <w:t> </w:t>
      </w:r>
      <w:r w:rsidRPr="002461F7">
        <w:rPr>
          <w:lang w:val="fr-FR"/>
        </w:rPr>
        <w:t>jours suivant la reprise des services de communication électronique</w:t>
      </w:r>
      <w:r w:rsidR="00F60D96" w:rsidRPr="00E87622">
        <w:rPr>
          <w:rStyle w:val="FootnoteReference"/>
          <w:szCs w:val="22"/>
          <w:lang w:val="fr-FR"/>
        </w:rPr>
        <w:footnoteReference w:id="2"/>
      </w:r>
      <w:r w:rsidR="00A4276B" w:rsidRPr="002461F7">
        <w:rPr>
          <w:lang w:val="fr-FR"/>
        </w:rPr>
        <w:t>.</w:t>
      </w:r>
    </w:p>
    <w:p w:rsidR="002461F7" w:rsidRPr="00E87622" w:rsidRDefault="002461F7" w:rsidP="00F35BCC">
      <w:pPr>
        <w:pStyle w:val="ONUME"/>
        <w:rPr>
          <w:lang w:val="fr-FR"/>
        </w:rPr>
      </w:pPr>
      <w:r>
        <w:rPr>
          <w:lang w:val="fr-FR"/>
        </w:rPr>
        <w:br w:type="page"/>
      </w:r>
      <w:r w:rsidR="006B15AF">
        <w:rPr>
          <w:lang w:val="fr-FR"/>
        </w:rPr>
        <w:lastRenderedPageBreak/>
        <w:t>En outre,</w:t>
      </w:r>
      <w:r w:rsidRPr="00E87622">
        <w:rPr>
          <w:lang w:val="fr-FR"/>
        </w:rPr>
        <w:t xml:space="preserve"> le </w:t>
      </w:r>
      <w:r w:rsidR="006B15AF">
        <w:rPr>
          <w:i/>
          <w:lang w:val="fr-FR"/>
        </w:rPr>
        <w:t xml:space="preserve">Hague </w:t>
      </w:r>
      <w:r w:rsidRPr="00F70B3B">
        <w:rPr>
          <w:i/>
          <w:lang w:val="fr-FR"/>
        </w:rPr>
        <w:t>Portfolio Manager</w:t>
      </w:r>
      <w:r w:rsidRPr="00E87622">
        <w:rPr>
          <w:lang w:val="fr-FR"/>
        </w:rPr>
        <w:t>, qui est accessible sur le site Web de l</w:t>
      </w:r>
      <w:r w:rsidR="002E0360">
        <w:rPr>
          <w:lang w:val="fr-FR"/>
        </w:rPr>
        <w:t>’</w:t>
      </w:r>
      <w:r w:rsidRPr="00E87622">
        <w:rPr>
          <w:lang w:val="fr-FR"/>
        </w:rPr>
        <w:t>OMPI, permet à un déposant de répondre par voie électronique à une notification d</w:t>
      </w:r>
      <w:r w:rsidR="002E0360">
        <w:rPr>
          <w:lang w:val="fr-FR"/>
        </w:rPr>
        <w:t>’</w:t>
      </w:r>
      <w:r w:rsidRPr="00E87622">
        <w:rPr>
          <w:lang w:val="fr-FR"/>
        </w:rPr>
        <w:t>irrégularité émise par le Bureau international à </w:t>
      </w:r>
      <w:r>
        <w:rPr>
          <w:lang w:val="fr-FR"/>
        </w:rPr>
        <w:t>l</w:t>
      </w:r>
      <w:r w:rsidR="002E0360">
        <w:rPr>
          <w:lang w:val="fr-FR"/>
        </w:rPr>
        <w:t>’</w:t>
      </w:r>
      <w:r>
        <w:rPr>
          <w:lang w:val="fr-FR"/>
        </w:rPr>
        <w:t>encontre</w:t>
      </w:r>
      <w:r w:rsidRPr="00E87622">
        <w:rPr>
          <w:lang w:val="fr-FR"/>
        </w:rPr>
        <w:t xml:space="preserve"> d</w:t>
      </w:r>
      <w:r w:rsidR="002E0360">
        <w:rPr>
          <w:lang w:val="fr-FR"/>
        </w:rPr>
        <w:t>’</w:t>
      </w:r>
      <w:r w:rsidRPr="00E87622">
        <w:rPr>
          <w:lang w:val="fr-FR"/>
        </w:rPr>
        <w:t xml:space="preserve">une demande </w:t>
      </w:r>
      <w:r>
        <w:rPr>
          <w:lang w:val="fr-FR"/>
        </w:rPr>
        <w:t>d</w:t>
      </w:r>
      <w:r w:rsidR="002E0360">
        <w:rPr>
          <w:lang w:val="fr-FR"/>
        </w:rPr>
        <w:t>’</w:t>
      </w:r>
      <w:r>
        <w:rPr>
          <w:lang w:val="fr-FR"/>
        </w:rPr>
        <w:t xml:space="preserve">enregistrement </w:t>
      </w:r>
      <w:r w:rsidRPr="00E87622">
        <w:rPr>
          <w:lang w:val="fr-FR"/>
        </w:rPr>
        <w:t>internation</w:t>
      </w:r>
      <w:r w:rsidR="00B4549C" w:rsidRPr="00E87622">
        <w:rPr>
          <w:lang w:val="fr-FR"/>
        </w:rPr>
        <w:t>al</w:t>
      </w:r>
      <w:r w:rsidR="00B4549C">
        <w:rPr>
          <w:lang w:val="fr-FR"/>
        </w:rPr>
        <w:t xml:space="preserve">.  </w:t>
      </w:r>
      <w:r w:rsidR="00B4549C" w:rsidRPr="00E87622">
        <w:rPr>
          <w:lang w:val="fr-FR"/>
        </w:rPr>
        <w:t>Le</w:t>
      </w:r>
      <w:r w:rsidRPr="00E87622">
        <w:rPr>
          <w:lang w:val="fr-FR"/>
        </w:rPr>
        <w:t xml:space="preserve"> </w:t>
      </w:r>
      <w:r w:rsidRPr="00125976">
        <w:rPr>
          <w:i/>
          <w:lang w:val="fr-FR"/>
        </w:rPr>
        <w:t>Portfolio Manager</w:t>
      </w:r>
      <w:r w:rsidRPr="00E87622">
        <w:rPr>
          <w:lang w:val="fr-FR"/>
        </w:rPr>
        <w:t xml:space="preserve"> sera étendu à d</w:t>
      </w:r>
      <w:r w:rsidR="002E0360">
        <w:rPr>
          <w:lang w:val="fr-FR"/>
        </w:rPr>
        <w:t>’</w:t>
      </w:r>
      <w:r w:rsidRPr="00E87622">
        <w:rPr>
          <w:lang w:val="fr-FR"/>
        </w:rPr>
        <w:t xml:space="preserve">autres types de </w:t>
      </w:r>
      <w:r>
        <w:rPr>
          <w:lang w:val="fr-FR"/>
        </w:rPr>
        <w:t>démarches</w:t>
      </w:r>
      <w:r w:rsidRPr="00E87622">
        <w:rPr>
          <w:lang w:val="fr-FR"/>
        </w:rPr>
        <w:t xml:space="preserve">, </w:t>
      </w:r>
      <w:r>
        <w:rPr>
          <w:lang w:val="fr-FR"/>
        </w:rPr>
        <w:t>telles que,</w:t>
      </w:r>
      <w:r w:rsidRPr="00E87622">
        <w:rPr>
          <w:lang w:val="fr-FR"/>
        </w:rPr>
        <w:t xml:space="preserve"> par exemple</w:t>
      </w:r>
      <w:r>
        <w:rPr>
          <w:lang w:val="fr-FR"/>
        </w:rPr>
        <w:t>, les demandes d</w:t>
      </w:r>
      <w:r w:rsidR="002E0360">
        <w:rPr>
          <w:lang w:val="fr-FR"/>
        </w:rPr>
        <w:t>’</w:t>
      </w:r>
      <w:r w:rsidRPr="00E87622">
        <w:rPr>
          <w:lang w:val="fr-FR"/>
        </w:rPr>
        <w:t>inscription d</w:t>
      </w:r>
      <w:r w:rsidR="002E0360">
        <w:rPr>
          <w:lang w:val="fr-FR"/>
        </w:rPr>
        <w:t>’</w:t>
      </w:r>
      <w:r w:rsidRPr="00E87622">
        <w:rPr>
          <w:lang w:val="fr-FR"/>
        </w:rPr>
        <w:t xml:space="preserve">un changement de titulaire ou </w:t>
      </w:r>
      <w:r>
        <w:rPr>
          <w:lang w:val="fr-FR"/>
        </w:rPr>
        <w:t>d</w:t>
      </w:r>
      <w:r w:rsidR="002E0360">
        <w:rPr>
          <w:lang w:val="fr-FR"/>
        </w:rPr>
        <w:t>’</w:t>
      </w:r>
      <w:r>
        <w:rPr>
          <w:lang w:val="fr-FR"/>
        </w:rPr>
        <w:t>inscription d</w:t>
      </w:r>
      <w:r w:rsidR="002E0360">
        <w:rPr>
          <w:lang w:val="fr-FR"/>
        </w:rPr>
        <w:t>’</w:t>
      </w:r>
      <w:r>
        <w:rPr>
          <w:lang w:val="fr-FR"/>
        </w:rPr>
        <w:t xml:space="preserve">un changement </w:t>
      </w:r>
      <w:r w:rsidRPr="00E87622">
        <w:rPr>
          <w:lang w:val="fr-FR"/>
        </w:rPr>
        <w:t xml:space="preserve">du nom </w:t>
      </w:r>
      <w:r>
        <w:rPr>
          <w:lang w:val="fr-FR"/>
        </w:rPr>
        <w:t>et/</w:t>
      </w:r>
      <w:r w:rsidRPr="00E87622">
        <w:rPr>
          <w:lang w:val="fr-FR"/>
        </w:rPr>
        <w:t>ou de l</w:t>
      </w:r>
      <w:r w:rsidR="002E0360">
        <w:rPr>
          <w:lang w:val="fr-FR"/>
        </w:rPr>
        <w:t>’</w:t>
      </w:r>
      <w:r w:rsidRPr="00E87622">
        <w:rPr>
          <w:lang w:val="fr-FR"/>
        </w:rPr>
        <w:t>adresse du titulaire, de façon à couvrir l</w:t>
      </w:r>
      <w:r w:rsidR="002E0360">
        <w:rPr>
          <w:lang w:val="fr-FR"/>
        </w:rPr>
        <w:t>’</w:t>
      </w:r>
      <w:r w:rsidRPr="00E87622">
        <w:rPr>
          <w:lang w:val="fr-FR"/>
        </w:rPr>
        <w:t xml:space="preserve">intégralité de la durée </w:t>
      </w:r>
      <w:r>
        <w:rPr>
          <w:lang w:val="fr-FR"/>
        </w:rPr>
        <w:t xml:space="preserve">de protection </w:t>
      </w:r>
      <w:r w:rsidRPr="00E87622">
        <w:rPr>
          <w:lang w:val="fr-FR"/>
        </w:rPr>
        <w:t>de l</w:t>
      </w:r>
      <w:r w:rsidR="002E0360">
        <w:rPr>
          <w:lang w:val="fr-FR"/>
        </w:rPr>
        <w:t>’</w:t>
      </w:r>
      <w:r w:rsidRPr="00E87622">
        <w:rPr>
          <w:lang w:val="fr-FR"/>
        </w:rPr>
        <w:t>enregistrement internation</w:t>
      </w:r>
      <w:r w:rsidR="00B4549C" w:rsidRPr="00E87622">
        <w:rPr>
          <w:lang w:val="fr-FR"/>
        </w:rPr>
        <w:t>al</w:t>
      </w:r>
      <w:r w:rsidR="00B4549C">
        <w:rPr>
          <w:lang w:val="fr-FR"/>
        </w:rPr>
        <w:t xml:space="preserve">.  </w:t>
      </w:r>
      <w:r w:rsidR="00B4549C" w:rsidRPr="00E87622">
        <w:rPr>
          <w:lang w:val="fr-FR"/>
        </w:rPr>
        <w:t>Le</w:t>
      </w:r>
      <w:r w:rsidRPr="00E87622">
        <w:rPr>
          <w:lang w:val="fr-FR"/>
        </w:rPr>
        <w:t>s modification</w:t>
      </w:r>
      <w:r>
        <w:rPr>
          <w:lang w:val="fr-FR"/>
        </w:rPr>
        <w:t>s proposées</w:t>
      </w:r>
      <w:r w:rsidRPr="00E87622">
        <w:rPr>
          <w:lang w:val="fr-FR"/>
        </w:rPr>
        <w:t xml:space="preserve"> </w:t>
      </w:r>
      <w:r>
        <w:rPr>
          <w:lang w:val="fr-FR"/>
        </w:rPr>
        <w:t>de</w:t>
      </w:r>
      <w:r w:rsidRPr="00E87622">
        <w:rPr>
          <w:lang w:val="fr-FR"/>
        </w:rPr>
        <w:t xml:space="preserve"> la règle 5 fourniraient aussi une garantie contre un défaut de transmission d</w:t>
      </w:r>
      <w:r w:rsidR="002E0360">
        <w:rPr>
          <w:lang w:val="fr-FR"/>
        </w:rPr>
        <w:t>’</w:t>
      </w:r>
      <w:r w:rsidRPr="00E87622">
        <w:rPr>
          <w:lang w:val="fr-FR"/>
        </w:rPr>
        <w:t>une communication électronique adressée au Bureau international en cas d</w:t>
      </w:r>
      <w:r w:rsidR="002E0360">
        <w:rPr>
          <w:lang w:val="fr-FR"/>
        </w:rPr>
        <w:t>’</w:t>
      </w:r>
      <w:r w:rsidRPr="00E87622">
        <w:rPr>
          <w:lang w:val="fr-FR"/>
        </w:rPr>
        <w:t>indisponibilité des services de communication électronique.</w:t>
      </w:r>
    </w:p>
    <w:p w:rsidR="00777B67" w:rsidRPr="00E87622" w:rsidRDefault="006B15AF" w:rsidP="00F35BCC">
      <w:pPr>
        <w:pStyle w:val="ONUME"/>
        <w:rPr>
          <w:lang w:val="fr-FR"/>
        </w:rPr>
      </w:pPr>
      <w:r>
        <w:rPr>
          <w:lang w:val="fr-FR"/>
        </w:rPr>
        <w:t>Après l</w:t>
      </w:r>
      <w:r w:rsidR="002E0360">
        <w:rPr>
          <w:lang w:val="fr-FR"/>
        </w:rPr>
        <w:t>’</w:t>
      </w:r>
      <w:r>
        <w:rPr>
          <w:lang w:val="fr-FR"/>
        </w:rPr>
        <w:t xml:space="preserve">insertion du nouvel </w:t>
      </w:r>
      <w:r w:rsidR="002E0360">
        <w:rPr>
          <w:lang w:val="fr-FR"/>
        </w:rPr>
        <w:t>alinéa 3</w:t>
      </w:r>
      <w:r>
        <w:rPr>
          <w:lang w:val="fr-FR"/>
        </w:rPr>
        <w:t xml:space="preserve">), </w:t>
      </w:r>
      <w:r w:rsidR="00661FA3" w:rsidRPr="00E87622">
        <w:rPr>
          <w:lang w:val="fr-FR"/>
        </w:rPr>
        <w:t>le précédent alinéa 3</w:t>
      </w:r>
      <w:r w:rsidR="00F60D96" w:rsidRPr="00E87622">
        <w:rPr>
          <w:lang w:val="fr-FR"/>
        </w:rPr>
        <w:t xml:space="preserve">) </w:t>
      </w:r>
      <w:r w:rsidR="00661FA3" w:rsidRPr="00E87622">
        <w:rPr>
          <w:lang w:val="fr-FR"/>
        </w:rPr>
        <w:t>de la règle 5 a été renuméroté de manière à devenir l</w:t>
      </w:r>
      <w:r w:rsidR="002E0360">
        <w:rPr>
          <w:lang w:val="fr-FR"/>
        </w:rPr>
        <w:t>’</w:t>
      </w:r>
      <w:r w:rsidR="00661FA3" w:rsidRPr="00E87622">
        <w:rPr>
          <w:lang w:val="fr-FR"/>
        </w:rPr>
        <w:t>alinéa </w:t>
      </w:r>
      <w:r w:rsidR="00F60D96" w:rsidRPr="00E87622">
        <w:rPr>
          <w:lang w:val="fr-FR"/>
        </w:rPr>
        <w:t>4)</w:t>
      </w:r>
      <w:r w:rsidR="00661FA3" w:rsidRPr="00E87622">
        <w:rPr>
          <w:lang w:val="fr-FR"/>
        </w:rPr>
        <w:t xml:space="preserve"> et un renvoi au nouvel alinéa </w:t>
      </w:r>
      <w:r w:rsidR="00F60D96" w:rsidRPr="00E87622">
        <w:rPr>
          <w:lang w:val="fr-FR"/>
        </w:rPr>
        <w:t xml:space="preserve">3) </w:t>
      </w:r>
      <w:r w:rsidR="00661FA3" w:rsidRPr="00E87622">
        <w:rPr>
          <w:lang w:val="fr-FR"/>
        </w:rPr>
        <w:t>a été ajouté à l</w:t>
      </w:r>
      <w:r w:rsidR="002E0360">
        <w:rPr>
          <w:lang w:val="fr-FR"/>
        </w:rPr>
        <w:t>’</w:t>
      </w:r>
      <w:r w:rsidR="00661FA3" w:rsidRPr="00E87622">
        <w:rPr>
          <w:lang w:val="fr-FR"/>
        </w:rPr>
        <w:t>alinéa 4)</w:t>
      </w:r>
      <w:r w:rsidR="00E87622" w:rsidRPr="00E87622">
        <w:rPr>
          <w:lang w:val="fr-FR"/>
        </w:rPr>
        <w:t xml:space="preserve">.  </w:t>
      </w:r>
      <w:r w:rsidR="00A6712A">
        <w:rPr>
          <w:lang w:val="fr-FR"/>
        </w:rPr>
        <w:t>Ainsi, l</w:t>
      </w:r>
      <w:r w:rsidR="00E87622" w:rsidRPr="00E87622">
        <w:rPr>
          <w:lang w:val="fr-FR"/>
        </w:rPr>
        <w:t>e</w:t>
      </w:r>
      <w:r w:rsidR="00661FA3" w:rsidRPr="00E87622">
        <w:rPr>
          <w:lang w:val="fr-FR"/>
        </w:rPr>
        <w:t xml:space="preserve"> délai pour la remise de la preuve</w:t>
      </w:r>
      <w:r w:rsidR="00C90CF7">
        <w:rPr>
          <w:lang w:val="fr-FR"/>
        </w:rPr>
        <w:t xml:space="preserve"> de la défaillance</w:t>
      </w:r>
      <w:r>
        <w:rPr>
          <w:lang w:val="fr-FR"/>
        </w:rPr>
        <w:t xml:space="preserve"> et</w:t>
      </w:r>
      <w:r w:rsidR="00661FA3" w:rsidRPr="00E87622">
        <w:rPr>
          <w:lang w:val="fr-FR"/>
        </w:rPr>
        <w:t xml:space="preserve"> de la communication manquante restera de six</w:t>
      </w:r>
      <w:r w:rsidR="00295115" w:rsidRPr="00E87622">
        <w:rPr>
          <w:lang w:val="fr-FR"/>
        </w:rPr>
        <w:t> </w:t>
      </w:r>
      <w:r w:rsidR="00661FA3" w:rsidRPr="00E87622">
        <w:rPr>
          <w:lang w:val="fr-FR"/>
        </w:rPr>
        <w:t xml:space="preserve">mois, soit </w:t>
      </w:r>
      <w:r w:rsidR="00295115" w:rsidRPr="00E87622">
        <w:rPr>
          <w:lang w:val="fr-FR"/>
        </w:rPr>
        <w:t xml:space="preserve">un délai </w:t>
      </w:r>
      <w:r w:rsidR="00661FA3" w:rsidRPr="00E87622">
        <w:rPr>
          <w:lang w:val="fr-FR"/>
        </w:rPr>
        <w:t>identique à celui applicable aux communications envoyées par l</w:t>
      </w:r>
      <w:r w:rsidR="002E0360">
        <w:rPr>
          <w:lang w:val="fr-FR"/>
        </w:rPr>
        <w:t>’</w:t>
      </w:r>
      <w:r w:rsidR="00661FA3" w:rsidRPr="00E87622">
        <w:rPr>
          <w:lang w:val="fr-FR"/>
        </w:rPr>
        <w:t>intermédiaire d</w:t>
      </w:r>
      <w:r w:rsidR="002E0360">
        <w:rPr>
          <w:lang w:val="fr-FR"/>
        </w:rPr>
        <w:t>’</w:t>
      </w:r>
      <w:r w:rsidR="00661FA3" w:rsidRPr="00E87622">
        <w:rPr>
          <w:lang w:val="fr-FR"/>
        </w:rPr>
        <w:t>un service postal ou d</w:t>
      </w:r>
      <w:r w:rsidR="002E0360">
        <w:rPr>
          <w:lang w:val="fr-FR"/>
        </w:rPr>
        <w:t>’</w:t>
      </w:r>
      <w:r w:rsidR="00661FA3" w:rsidRPr="00E87622">
        <w:rPr>
          <w:lang w:val="fr-FR"/>
        </w:rPr>
        <w:t>une entrep</w:t>
      </w:r>
      <w:r w:rsidR="00295115" w:rsidRPr="00E87622">
        <w:rPr>
          <w:lang w:val="fr-FR"/>
        </w:rPr>
        <w:t>rise d</w:t>
      </w:r>
      <w:r w:rsidR="002E0360">
        <w:rPr>
          <w:lang w:val="fr-FR"/>
        </w:rPr>
        <w:t>’</w:t>
      </w:r>
      <w:r w:rsidR="00295115" w:rsidRPr="00E87622">
        <w:rPr>
          <w:lang w:val="fr-FR"/>
        </w:rPr>
        <w:t>acheminement du courrier</w:t>
      </w:r>
      <w:r w:rsidR="00F60D96" w:rsidRPr="00E87622">
        <w:rPr>
          <w:rStyle w:val="FootnoteReference"/>
          <w:lang w:val="fr-FR"/>
        </w:rPr>
        <w:footnoteReference w:id="3"/>
      </w:r>
      <w:r w:rsidR="00A4276B" w:rsidRPr="00E87622">
        <w:rPr>
          <w:lang w:val="fr-FR"/>
        </w:rPr>
        <w:t>.</w:t>
      </w:r>
    </w:p>
    <w:p w:rsidR="00F60D96" w:rsidRPr="00E87622" w:rsidRDefault="00295115" w:rsidP="00F35BCC">
      <w:pPr>
        <w:pStyle w:val="ONUME"/>
        <w:rPr>
          <w:lang w:val="fr-FR"/>
        </w:rPr>
      </w:pPr>
      <w:r w:rsidRPr="00E87622">
        <w:rPr>
          <w:lang w:val="fr-FR"/>
        </w:rPr>
        <w:t>Enfin, conformément à la règle</w:t>
      </w:r>
      <w:r w:rsidR="00C432C7" w:rsidRPr="00E87622">
        <w:rPr>
          <w:lang w:val="fr-FR"/>
        </w:rPr>
        <w:t> </w:t>
      </w:r>
      <w:r w:rsidRPr="00E87622">
        <w:rPr>
          <w:lang w:val="fr-FR"/>
        </w:rPr>
        <w:t>12.3) du règlement d</w:t>
      </w:r>
      <w:r w:rsidR="002E0360">
        <w:rPr>
          <w:lang w:val="fr-FR"/>
        </w:rPr>
        <w:t>’</w:t>
      </w:r>
      <w:r w:rsidRPr="00E87622">
        <w:rPr>
          <w:lang w:val="fr-FR"/>
        </w:rPr>
        <w:t xml:space="preserve">exécution commun, une déclaration </w:t>
      </w:r>
      <w:r w:rsidRPr="00F35BCC">
        <w:rPr>
          <w:lang w:val="fr-FR"/>
        </w:rPr>
        <w:t>en vertu de l</w:t>
      </w:r>
      <w:r w:rsidR="002E0360" w:rsidRPr="00F35BCC">
        <w:rPr>
          <w:lang w:val="fr-FR"/>
        </w:rPr>
        <w:t>’</w:t>
      </w:r>
      <w:r w:rsidRPr="00F35BCC">
        <w:rPr>
          <w:lang w:val="fr-FR"/>
        </w:rPr>
        <w:t>article</w:t>
      </w:r>
      <w:r w:rsidR="00C432C7" w:rsidRPr="00F35BCC">
        <w:rPr>
          <w:lang w:val="fr-FR"/>
        </w:rPr>
        <w:t> </w:t>
      </w:r>
      <w:r w:rsidRPr="00F35BCC">
        <w:rPr>
          <w:lang w:val="fr-FR"/>
        </w:rPr>
        <w:t>7.2)</w:t>
      </w:r>
      <w:r w:rsidR="00C90CF7" w:rsidRPr="00F35BCC">
        <w:rPr>
          <w:lang w:val="fr-FR"/>
        </w:rPr>
        <w:t xml:space="preserve"> de l</w:t>
      </w:r>
      <w:r w:rsidR="002E0360" w:rsidRPr="00F35BCC">
        <w:rPr>
          <w:lang w:val="fr-FR"/>
        </w:rPr>
        <w:t>’</w:t>
      </w:r>
      <w:r w:rsidR="00F35BCC" w:rsidRPr="00F35BCC">
        <w:rPr>
          <w:lang w:val="fr-FR"/>
        </w:rPr>
        <w:t>A</w:t>
      </w:r>
      <w:r w:rsidR="00C90CF7" w:rsidRPr="00F35BCC">
        <w:rPr>
          <w:lang w:val="fr-FR"/>
        </w:rPr>
        <w:t xml:space="preserve">cte de Genève </w:t>
      </w:r>
      <w:r w:rsidR="002E0360" w:rsidRPr="00F35BCC">
        <w:rPr>
          <w:lang w:val="fr-FR"/>
        </w:rPr>
        <w:t>de 1999</w:t>
      </w:r>
      <w:r w:rsidR="00527946" w:rsidRPr="00F35BCC">
        <w:rPr>
          <w:lang w:val="fr-FR"/>
        </w:rPr>
        <w:t xml:space="preserve"> </w:t>
      </w:r>
      <w:r w:rsidRPr="00F35BCC">
        <w:rPr>
          <w:lang w:val="fr-FR"/>
        </w:rPr>
        <w:t>concernant la taxe de désignation</w:t>
      </w:r>
      <w:r w:rsidRPr="00E87622">
        <w:rPr>
          <w:lang w:val="fr-FR"/>
        </w:rPr>
        <w:t xml:space="preserve"> individuelle peut préciser que la taxe de désignation individuelle due pour la partie contractante concernée comprend deux</w:t>
      </w:r>
      <w:r w:rsidR="00C432C7" w:rsidRPr="00E87622">
        <w:rPr>
          <w:lang w:val="fr-FR"/>
        </w:rPr>
        <w:t> </w:t>
      </w:r>
      <w:r w:rsidRPr="00E87622">
        <w:rPr>
          <w:lang w:val="fr-FR"/>
        </w:rPr>
        <w:t>parties, la première devant être payée au moment du dépôt de la demande internationale et la seconde à une date ultérieure qui est fixée conformément à la législation de la partie contractante concern</w:t>
      </w:r>
      <w:r w:rsidR="00B4549C" w:rsidRPr="00E87622">
        <w:rPr>
          <w:lang w:val="fr-FR"/>
        </w:rPr>
        <w:t>ée</w:t>
      </w:r>
      <w:r w:rsidR="00B4549C">
        <w:rPr>
          <w:lang w:val="fr-FR"/>
        </w:rPr>
        <w:t xml:space="preserve">.  </w:t>
      </w:r>
      <w:r w:rsidR="00B4549C" w:rsidRPr="00E87622">
        <w:rPr>
          <w:lang w:val="fr-FR"/>
        </w:rPr>
        <w:t>Co</w:t>
      </w:r>
      <w:r w:rsidRPr="00E87622">
        <w:rPr>
          <w:lang w:val="fr-FR"/>
        </w:rPr>
        <w:t xml:space="preserve">mpte tenu du fait que la législation applicable fixe le délai de paiement de la seconde partie de la taxe de désignation individuelle, </w:t>
      </w:r>
      <w:r w:rsidR="002E0360">
        <w:rPr>
          <w:lang w:val="fr-FR"/>
        </w:rPr>
        <w:t>y compris</w:t>
      </w:r>
      <w:r w:rsidRPr="00E87622">
        <w:rPr>
          <w:lang w:val="fr-FR"/>
        </w:rPr>
        <w:t xml:space="preserve"> les conditions à remplir pour que soit excusé un retard dans l</w:t>
      </w:r>
      <w:r w:rsidR="002E0360">
        <w:rPr>
          <w:lang w:val="fr-FR"/>
        </w:rPr>
        <w:t>’</w:t>
      </w:r>
      <w:r w:rsidRPr="00E87622">
        <w:rPr>
          <w:lang w:val="fr-FR"/>
        </w:rPr>
        <w:t xml:space="preserve">observation du délai, et que la seconde partie de la taxe de désignation individuelle peut également être payée </w:t>
      </w:r>
      <w:r w:rsidR="00751005">
        <w:rPr>
          <w:lang w:val="fr-FR"/>
        </w:rPr>
        <w:t xml:space="preserve">directement </w:t>
      </w:r>
      <w:r w:rsidRPr="00E87622">
        <w:rPr>
          <w:lang w:val="fr-FR"/>
        </w:rPr>
        <w:t>à l</w:t>
      </w:r>
      <w:r w:rsidR="002E0360">
        <w:rPr>
          <w:lang w:val="fr-FR"/>
        </w:rPr>
        <w:t>’</w:t>
      </w:r>
      <w:r w:rsidRPr="00E87622">
        <w:rPr>
          <w:lang w:val="fr-FR"/>
        </w:rPr>
        <w:t>office national concerné</w:t>
      </w:r>
      <w:r w:rsidR="00F60D96" w:rsidRPr="00E87622">
        <w:rPr>
          <w:lang w:val="fr-FR"/>
        </w:rPr>
        <w:t xml:space="preserve">, </w:t>
      </w:r>
      <w:r w:rsidRPr="00E87622">
        <w:rPr>
          <w:lang w:val="fr-FR"/>
        </w:rPr>
        <w:t>le nouvel alinéa 5) prévoit que la règle</w:t>
      </w:r>
      <w:r w:rsidR="00C432C7" w:rsidRPr="00E87622">
        <w:rPr>
          <w:lang w:val="fr-FR"/>
        </w:rPr>
        <w:t> </w:t>
      </w:r>
      <w:r w:rsidRPr="00E87622">
        <w:rPr>
          <w:lang w:val="fr-FR"/>
        </w:rPr>
        <w:t>5 ne s</w:t>
      </w:r>
      <w:r w:rsidR="002E0360">
        <w:rPr>
          <w:lang w:val="fr-FR"/>
        </w:rPr>
        <w:t>’</w:t>
      </w:r>
      <w:r w:rsidRPr="00E87622">
        <w:rPr>
          <w:lang w:val="fr-FR"/>
        </w:rPr>
        <w:t>applique pas au paiement de la deuxième partie de la taxe de désignation individuelle par l</w:t>
      </w:r>
      <w:r w:rsidR="002E0360">
        <w:rPr>
          <w:lang w:val="fr-FR"/>
        </w:rPr>
        <w:t>’</w:t>
      </w:r>
      <w:r w:rsidRPr="00E87622">
        <w:rPr>
          <w:lang w:val="fr-FR"/>
        </w:rPr>
        <w:t>intermédiaire du Bureau international</w:t>
      </w:r>
      <w:r w:rsidR="00F60D96" w:rsidRPr="00E87622">
        <w:rPr>
          <w:lang w:val="fr-FR"/>
        </w:rPr>
        <w:t>.</w:t>
      </w:r>
    </w:p>
    <w:p w:rsidR="00F60D96" w:rsidRPr="00E87622" w:rsidRDefault="00295115" w:rsidP="00F35BCC">
      <w:pPr>
        <w:pStyle w:val="ONUME"/>
        <w:rPr>
          <w:lang w:val="fr-FR"/>
        </w:rPr>
      </w:pPr>
      <w:r w:rsidRPr="00E87622">
        <w:rPr>
          <w:lang w:val="fr-FR"/>
        </w:rPr>
        <w:t>Le texte modifié du règlement d</w:t>
      </w:r>
      <w:r w:rsidR="002E0360">
        <w:rPr>
          <w:lang w:val="fr-FR"/>
        </w:rPr>
        <w:t>’</w:t>
      </w:r>
      <w:r w:rsidRPr="00E87622">
        <w:rPr>
          <w:lang w:val="fr-FR"/>
        </w:rPr>
        <w:t>exécution commun est reproduit dans l</w:t>
      </w:r>
      <w:r w:rsidR="002E0360">
        <w:rPr>
          <w:lang w:val="fr-FR"/>
        </w:rPr>
        <w:t>’</w:t>
      </w:r>
      <w:r w:rsidRPr="00E87622">
        <w:rPr>
          <w:lang w:val="fr-FR"/>
        </w:rPr>
        <w:t>annexe du présent avis</w:t>
      </w:r>
      <w:r w:rsidR="00F60D96" w:rsidRPr="00E87622">
        <w:rPr>
          <w:lang w:val="fr-FR"/>
        </w:rPr>
        <w:t>.</w:t>
      </w:r>
    </w:p>
    <w:p w:rsidR="00F60D96" w:rsidRPr="00E87622" w:rsidRDefault="00AF4AC9" w:rsidP="00F35BCC">
      <w:pPr>
        <w:pStyle w:val="ONUME"/>
        <w:rPr>
          <w:lang w:val="fr-FR"/>
        </w:rPr>
      </w:pPr>
      <w:r w:rsidRPr="00E87622">
        <w:rPr>
          <w:lang w:val="fr-FR" w:eastAsia="ja-JP"/>
        </w:rPr>
        <w:t>Des informations plus détaillées sur les modifications susmentionnées figurent dans le document </w:t>
      </w:r>
      <w:r w:rsidR="00F60D96" w:rsidRPr="00E87622">
        <w:rPr>
          <w:lang w:val="fr-FR" w:eastAsia="ja-JP"/>
        </w:rPr>
        <w:t>H/A/36/1</w:t>
      </w:r>
      <w:r w:rsidRPr="00E87622">
        <w:rPr>
          <w:lang w:val="fr-FR" w:eastAsia="ja-JP"/>
        </w:rPr>
        <w:t xml:space="preserve"> de l</w:t>
      </w:r>
      <w:r w:rsidR="002E0360">
        <w:rPr>
          <w:lang w:val="fr-FR" w:eastAsia="ja-JP"/>
        </w:rPr>
        <w:t>’</w:t>
      </w:r>
      <w:r w:rsidRPr="00E87622">
        <w:rPr>
          <w:lang w:val="fr-FR" w:eastAsia="ja-JP"/>
        </w:rPr>
        <w:t>Assemblée de l</w:t>
      </w:r>
      <w:r w:rsidR="002E0360">
        <w:rPr>
          <w:lang w:val="fr-FR" w:eastAsia="ja-JP"/>
        </w:rPr>
        <w:t>’</w:t>
      </w:r>
      <w:r w:rsidRPr="00E87622">
        <w:rPr>
          <w:lang w:val="fr-FR" w:eastAsia="ja-JP"/>
        </w:rPr>
        <w:t xml:space="preserve">Union de </w:t>
      </w:r>
      <w:r w:rsidR="002E0360">
        <w:rPr>
          <w:lang w:val="fr-FR" w:eastAsia="ja-JP"/>
        </w:rPr>
        <w:t>La Haye</w:t>
      </w:r>
      <w:r w:rsidR="00F60D96" w:rsidRPr="00E87622">
        <w:rPr>
          <w:lang w:val="fr-FR" w:eastAsia="ja-JP"/>
        </w:rPr>
        <w:t xml:space="preserve">, </w:t>
      </w:r>
      <w:r w:rsidRPr="00E87622">
        <w:rPr>
          <w:lang w:val="fr-FR" w:eastAsia="ja-JP"/>
        </w:rPr>
        <w:t>qui peut être consulté sur le site Web de l</w:t>
      </w:r>
      <w:r w:rsidR="002E0360">
        <w:rPr>
          <w:lang w:val="fr-FR" w:eastAsia="ja-JP"/>
        </w:rPr>
        <w:t>’</w:t>
      </w:r>
      <w:r w:rsidRPr="00E87622">
        <w:rPr>
          <w:lang w:val="fr-FR" w:eastAsia="ja-JP"/>
        </w:rPr>
        <w:t>OMPI à l</w:t>
      </w:r>
      <w:r w:rsidR="002E0360">
        <w:rPr>
          <w:lang w:val="fr-FR" w:eastAsia="ja-JP"/>
        </w:rPr>
        <w:t>’</w:t>
      </w:r>
      <w:r w:rsidRPr="00E87622">
        <w:rPr>
          <w:lang w:val="fr-FR" w:eastAsia="ja-JP"/>
        </w:rPr>
        <w:t xml:space="preserve">adresse </w:t>
      </w:r>
      <w:hyperlink r:id="rId10" w:history="1">
        <w:r w:rsidRPr="00527946">
          <w:rPr>
            <w:rStyle w:val="Hyperlink"/>
            <w:u w:val="none"/>
            <w:lang w:val="fr-FR" w:eastAsia="ja-JP"/>
          </w:rPr>
          <w:t>http://www.wipo.int/meetings/fr/doc_details.jsp?doc_id=345176</w:t>
        </w:r>
      </w:hyperlink>
      <w:r w:rsidR="00F60D96" w:rsidRPr="00E87622">
        <w:rPr>
          <w:lang w:val="fr-FR" w:eastAsia="ja-JP"/>
        </w:rPr>
        <w:t xml:space="preserve">, </w:t>
      </w:r>
      <w:r w:rsidRPr="00E87622">
        <w:rPr>
          <w:lang w:val="fr-FR" w:eastAsia="ja-JP"/>
        </w:rPr>
        <w:t>et dans le document H/LD/WG/5/2 du groupe de travail</w:t>
      </w:r>
      <w:r w:rsidR="00F60D96" w:rsidRPr="00E87622">
        <w:rPr>
          <w:lang w:val="fr-FR" w:eastAsia="ja-JP"/>
        </w:rPr>
        <w:t xml:space="preserve">, </w:t>
      </w:r>
      <w:r w:rsidR="00B67383" w:rsidRPr="00E87622">
        <w:rPr>
          <w:lang w:val="fr-FR" w:eastAsia="ja-JP"/>
        </w:rPr>
        <w:t>qui peut être consulté sur le site</w:t>
      </w:r>
      <w:r w:rsidR="00C432C7" w:rsidRPr="00E87622">
        <w:rPr>
          <w:lang w:val="fr-FR" w:eastAsia="ja-JP"/>
        </w:rPr>
        <w:t> </w:t>
      </w:r>
      <w:r w:rsidR="00B67383" w:rsidRPr="00E87622">
        <w:rPr>
          <w:lang w:val="fr-FR" w:eastAsia="ja-JP"/>
        </w:rPr>
        <w:t>Web de l</w:t>
      </w:r>
      <w:r w:rsidR="002E0360">
        <w:rPr>
          <w:lang w:val="fr-FR" w:eastAsia="ja-JP"/>
        </w:rPr>
        <w:t>’</w:t>
      </w:r>
      <w:r w:rsidR="00B67383" w:rsidRPr="00E87622">
        <w:rPr>
          <w:lang w:val="fr-FR" w:eastAsia="ja-JP"/>
        </w:rPr>
        <w:t>OMPI à l</w:t>
      </w:r>
      <w:r w:rsidR="002E0360">
        <w:rPr>
          <w:lang w:val="fr-FR" w:eastAsia="ja-JP"/>
        </w:rPr>
        <w:t>’</w:t>
      </w:r>
      <w:r w:rsidR="00B67383" w:rsidRPr="00E87622">
        <w:rPr>
          <w:lang w:val="fr-FR" w:eastAsia="ja-JP"/>
        </w:rPr>
        <w:t xml:space="preserve">adresse </w:t>
      </w:r>
      <w:hyperlink r:id="rId11" w:history="1">
        <w:r w:rsidR="00B67383" w:rsidRPr="00527946">
          <w:rPr>
            <w:rStyle w:val="Hyperlink"/>
            <w:u w:val="none"/>
            <w:lang w:val="fr-FR" w:eastAsia="ja-JP"/>
          </w:rPr>
          <w:t>http://www.wipo.int/edocs/mdocs/hague/fr/h_ld_wg_5/h_ld_wg_5_2.pdf</w:t>
        </w:r>
      </w:hyperlink>
      <w:r w:rsidR="00A4276B" w:rsidRPr="00E87622">
        <w:rPr>
          <w:lang w:val="fr-FR"/>
        </w:rPr>
        <w:t>.</w:t>
      </w:r>
    </w:p>
    <w:p w:rsidR="00F60D96" w:rsidRPr="00E87622" w:rsidRDefault="00B67383" w:rsidP="00F35BCC">
      <w:pPr>
        <w:pStyle w:val="ONUME"/>
        <w:rPr>
          <w:lang w:val="fr-FR"/>
        </w:rPr>
      </w:pPr>
      <w:r w:rsidRPr="00E87622">
        <w:rPr>
          <w:lang w:val="fr-FR"/>
        </w:rPr>
        <w:t>Les modifications susmentionnées de la règle </w:t>
      </w:r>
      <w:r w:rsidR="00F60D96" w:rsidRPr="00E87622">
        <w:rPr>
          <w:lang w:val="fr-FR"/>
        </w:rPr>
        <w:t xml:space="preserve">5 </w:t>
      </w:r>
      <w:r w:rsidRPr="00E87622">
        <w:rPr>
          <w:lang w:val="fr-FR"/>
        </w:rPr>
        <w:t>du règlement d</w:t>
      </w:r>
      <w:r w:rsidR="002E0360">
        <w:rPr>
          <w:lang w:val="fr-FR"/>
        </w:rPr>
        <w:t>’</w:t>
      </w:r>
      <w:r w:rsidRPr="00E87622">
        <w:rPr>
          <w:lang w:val="fr-FR"/>
        </w:rPr>
        <w:t>exécution commun entreront en vigueur le</w:t>
      </w:r>
      <w:r w:rsidR="002E0360">
        <w:rPr>
          <w:lang w:val="fr-FR"/>
        </w:rPr>
        <w:t xml:space="preserve"> 1</w:t>
      </w:r>
      <w:r w:rsidR="002E0360" w:rsidRPr="002E0360">
        <w:rPr>
          <w:vertAlign w:val="superscript"/>
          <w:lang w:val="fr-FR"/>
        </w:rPr>
        <w:t>er</w:t>
      </w:r>
      <w:r w:rsidR="002E0360">
        <w:rPr>
          <w:lang w:val="fr-FR"/>
        </w:rPr>
        <w:t> </w:t>
      </w:r>
      <w:r w:rsidRPr="00E87622">
        <w:rPr>
          <w:lang w:val="fr-FR"/>
        </w:rPr>
        <w:t>janvier </w:t>
      </w:r>
      <w:r w:rsidR="00F60D96" w:rsidRPr="00E87622">
        <w:rPr>
          <w:lang w:val="fr-FR"/>
        </w:rPr>
        <w:t>2017.</w:t>
      </w:r>
    </w:p>
    <w:p w:rsidR="00F60D96" w:rsidRPr="00E87622" w:rsidRDefault="00F60D96" w:rsidP="00F35BCC">
      <w:pPr>
        <w:rPr>
          <w:lang w:val="fr-FR"/>
        </w:rPr>
      </w:pPr>
    </w:p>
    <w:p w:rsidR="00F60D96" w:rsidRPr="00E87622" w:rsidRDefault="00F60D96" w:rsidP="00F35BCC">
      <w:pPr>
        <w:pStyle w:val="Endofdocument-Annex"/>
        <w:rPr>
          <w:lang w:val="fr-FR"/>
        </w:rPr>
      </w:pPr>
    </w:p>
    <w:p w:rsidR="00022521" w:rsidRPr="00E87622" w:rsidRDefault="00B67383" w:rsidP="00F35BCC">
      <w:pPr>
        <w:pStyle w:val="Endofdocument-Annex"/>
        <w:jc w:val="both"/>
        <w:rPr>
          <w:lang w:val="fr-FR"/>
        </w:rPr>
      </w:pPr>
      <w:r w:rsidRPr="00E87622">
        <w:rPr>
          <w:lang w:val="fr-FR"/>
        </w:rPr>
        <w:t xml:space="preserve">Le </w:t>
      </w:r>
      <w:r w:rsidR="00F53D2E">
        <w:rPr>
          <w:lang w:val="fr-FR"/>
        </w:rPr>
        <w:t>7</w:t>
      </w:r>
      <w:r w:rsidRPr="00E87622">
        <w:rPr>
          <w:lang w:val="fr-FR"/>
        </w:rPr>
        <w:t> </w:t>
      </w:r>
      <w:r w:rsidR="00F53D2E">
        <w:rPr>
          <w:lang w:val="fr-FR"/>
        </w:rPr>
        <w:t>décembre</w:t>
      </w:r>
      <w:r w:rsidRPr="00E87622">
        <w:rPr>
          <w:lang w:val="fr-FR"/>
        </w:rPr>
        <w:t> </w:t>
      </w:r>
      <w:r w:rsidR="00022521" w:rsidRPr="00E87622">
        <w:rPr>
          <w:lang w:val="fr-FR"/>
        </w:rPr>
        <w:t>2016</w:t>
      </w:r>
    </w:p>
    <w:p w:rsidR="006A2499" w:rsidRPr="00E87622" w:rsidRDefault="006A2499" w:rsidP="00F35BCC">
      <w:pPr>
        <w:pStyle w:val="Endofdocument-Annex"/>
        <w:jc w:val="both"/>
        <w:rPr>
          <w:lang w:val="fr-FR"/>
        </w:rPr>
      </w:pPr>
    </w:p>
    <w:p w:rsidR="006A2499" w:rsidRPr="00E87622" w:rsidRDefault="006A2499" w:rsidP="00F35BCC">
      <w:pPr>
        <w:pStyle w:val="Endofdocument-Annex"/>
        <w:jc w:val="both"/>
        <w:rPr>
          <w:lang w:val="fr-FR"/>
        </w:rPr>
        <w:sectPr w:rsidR="006A2499" w:rsidRPr="00E87622" w:rsidSect="002E0360">
          <w:headerReference w:type="default" r:id="rId12"/>
          <w:endnotePr>
            <w:numFmt w:val="decimal"/>
          </w:endnotePr>
          <w:pgSz w:w="11907" w:h="16840" w:code="9"/>
          <w:pgMar w:top="567" w:right="1134" w:bottom="1417" w:left="1417" w:header="510" w:footer="1020" w:gutter="0"/>
          <w:cols w:space="720"/>
          <w:titlePg/>
          <w:docGrid w:linePitch="299"/>
        </w:sectPr>
      </w:pPr>
    </w:p>
    <w:p w:rsidR="00B67383" w:rsidRPr="00E87622" w:rsidRDefault="00B67383" w:rsidP="00F35BCC">
      <w:pPr>
        <w:autoSpaceDE w:val="0"/>
        <w:autoSpaceDN w:val="0"/>
        <w:adjustRightInd w:val="0"/>
        <w:jc w:val="center"/>
        <w:rPr>
          <w:rFonts w:eastAsia="MS Mincho"/>
          <w:b/>
          <w:bCs/>
          <w:szCs w:val="22"/>
          <w:lang w:val="fr-FR" w:eastAsia="en-US"/>
        </w:rPr>
      </w:pPr>
      <w:r w:rsidRPr="00E87622">
        <w:rPr>
          <w:rFonts w:eastAsia="MS Mincho"/>
          <w:b/>
          <w:bCs/>
          <w:szCs w:val="22"/>
          <w:lang w:val="fr-FR" w:eastAsia="en-US"/>
        </w:rPr>
        <w:lastRenderedPageBreak/>
        <w:t>Règlement d</w:t>
      </w:r>
      <w:r w:rsidR="002E0360">
        <w:rPr>
          <w:rFonts w:eastAsia="MS Mincho"/>
          <w:b/>
          <w:bCs/>
          <w:szCs w:val="22"/>
          <w:lang w:val="fr-FR" w:eastAsia="en-US"/>
        </w:rPr>
        <w:t>’</w:t>
      </w:r>
      <w:r w:rsidRPr="00E87622">
        <w:rPr>
          <w:rFonts w:eastAsia="MS Mincho"/>
          <w:b/>
          <w:bCs/>
          <w:szCs w:val="22"/>
          <w:lang w:val="fr-FR" w:eastAsia="en-US"/>
        </w:rPr>
        <w:t>exécution commun</w:t>
      </w:r>
    </w:p>
    <w:p w:rsidR="00B67383" w:rsidRPr="00E87622" w:rsidRDefault="00B67383" w:rsidP="00F35BCC">
      <w:pPr>
        <w:autoSpaceDE w:val="0"/>
        <w:autoSpaceDN w:val="0"/>
        <w:adjustRightInd w:val="0"/>
        <w:jc w:val="center"/>
        <w:rPr>
          <w:rFonts w:eastAsia="MS Mincho"/>
          <w:b/>
          <w:bCs/>
          <w:szCs w:val="22"/>
          <w:lang w:val="fr-FR" w:eastAsia="en-US"/>
        </w:rPr>
      </w:pPr>
      <w:r w:rsidRPr="00E87622">
        <w:rPr>
          <w:rFonts w:eastAsia="MS Mincho"/>
          <w:b/>
          <w:bCs/>
          <w:szCs w:val="22"/>
          <w:lang w:val="fr-FR" w:eastAsia="en-US"/>
        </w:rPr>
        <w:t>à l</w:t>
      </w:r>
      <w:r w:rsidR="002E0360">
        <w:rPr>
          <w:rFonts w:eastAsia="MS Mincho"/>
          <w:b/>
          <w:bCs/>
          <w:szCs w:val="22"/>
          <w:lang w:val="fr-FR" w:eastAsia="en-US"/>
        </w:rPr>
        <w:t>’</w:t>
      </w:r>
      <w:r w:rsidRPr="00E87622">
        <w:rPr>
          <w:rFonts w:eastAsia="MS Mincho"/>
          <w:b/>
          <w:bCs/>
          <w:szCs w:val="22"/>
          <w:lang w:val="fr-FR" w:eastAsia="en-US"/>
        </w:rPr>
        <w:t>Acte de</w:t>
      </w:r>
      <w:r w:rsidR="00C432C7" w:rsidRPr="00E87622">
        <w:rPr>
          <w:rFonts w:eastAsia="MS Mincho"/>
          <w:b/>
          <w:bCs/>
          <w:szCs w:val="22"/>
          <w:lang w:val="fr-FR" w:eastAsia="en-US"/>
        </w:rPr>
        <w:t> </w:t>
      </w:r>
      <w:r w:rsidRPr="00E87622">
        <w:rPr>
          <w:rFonts w:eastAsia="MS Mincho"/>
          <w:b/>
          <w:bCs/>
          <w:szCs w:val="22"/>
          <w:lang w:val="fr-FR" w:eastAsia="en-US"/>
        </w:rPr>
        <w:t>1999 et l</w:t>
      </w:r>
      <w:r w:rsidR="002E0360">
        <w:rPr>
          <w:rFonts w:eastAsia="MS Mincho"/>
          <w:b/>
          <w:bCs/>
          <w:szCs w:val="22"/>
          <w:lang w:val="fr-FR" w:eastAsia="en-US"/>
        </w:rPr>
        <w:t>’</w:t>
      </w:r>
      <w:r w:rsidRPr="00E87622">
        <w:rPr>
          <w:rFonts w:eastAsia="MS Mincho"/>
          <w:b/>
          <w:bCs/>
          <w:szCs w:val="22"/>
          <w:lang w:val="fr-FR" w:eastAsia="en-US"/>
        </w:rPr>
        <w:t>Acte de</w:t>
      </w:r>
      <w:r w:rsidR="00C432C7" w:rsidRPr="00E87622">
        <w:rPr>
          <w:rFonts w:eastAsia="MS Mincho"/>
          <w:b/>
          <w:bCs/>
          <w:szCs w:val="22"/>
          <w:lang w:val="fr-FR" w:eastAsia="en-US"/>
        </w:rPr>
        <w:t> </w:t>
      </w:r>
      <w:r w:rsidRPr="00E87622">
        <w:rPr>
          <w:rFonts w:eastAsia="MS Mincho"/>
          <w:b/>
          <w:bCs/>
          <w:szCs w:val="22"/>
          <w:lang w:val="fr-FR" w:eastAsia="en-US"/>
        </w:rPr>
        <w:t>1960</w:t>
      </w:r>
    </w:p>
    <w:p w:rsidR="006A2499" w:rsidRPr="00E87622" w:rsidRDefault="00B67383" w:rsidP="00F35BCC">
      <w:pPr>
        <w:autoSpaceDE w:val="0"/>
        <w:autoSpaceDN w:val="0"/>
        <w:adjustRightInd w:val="0"/>
        <w:jc w:val="center"/>
        <w:rPr>
          <w:rFonts w:eastAsia="MS Mincho"/>
          <w:b/>
          <w:bCs/>
          <w:szCs w:val="22"/>
          <w:lang w:val="fr-FR" w:eastAsia="en-US"/>
        </w:rPr>
      </w:pPr>
      <w:r w:rsidRPr="00E87622">
        <w:rPr>
          <w:rFonts w:eastAsia="MS Mincho"/>
          <w:b/>
          <w:bCs/>
          <w:szCs w:val="22"/>
          <w:lang w:val="fr-FR" w:eastAsia="en-US"/>
        </w:rPr>
        <w:t>de l</w:t>
      </w:r>
      <w:r w:rsidR="002E0360">
        <w:rPr>
          <w:rFonts w:eastAsia="MS Mincho"/>
          <w:b/>
          <w:bCs/>
          <w:szCs w:val="22"/>
          <w:lang w:val="fr-FR" w:eastAsia="en-US"/>
        </w:rPr>
        <w:t>’</w:t>
      </w:r>
      <w:r w:rsidRPr="00E87622">
        <w:rPr>
          <w:rFonts w:eastAsia="MS Mincho"/>
          <w:b/>
          <w:bCs/>
          <w:szCs w:val="22"/>
          <w:lang w:val="fr-FR" w:eastAsia="en-US"/>
        </w:rPr>
        <w:t xml:space="preserve">Arrangement de </w:t>
      </w:r>
      <w:r w:rsidR="002E0360">
        <w:rPr>
          <w:rFonts w:eastAsia="MS Mincho"/>
          <w:b/>
          <w:bCs/>
          <w:szCs w:val="22"/>
          <w:lang w:val="fr-FR" w:eastAsia="en-US"/>
        </w:rPr>
        <w:t>La Haye</w:t>
      </w:r>
    </w:p>
    <w:p w:rsidR="006A2499" w:rsidRPr="00E87622" w:rsidRDefault="006A2499" w:rsidP="00F35BCC">
      <w:pPr>
        <w:autoSpaceDE w:val="0"/>
        <w:autoSpaceDN w:val="0"/>
        <w:adjustRightInd w:val="0"/>
        <w:jc w:val="center"/>
        <w:rPr>
          <w:rFonts w:eastAsia="MS Mincho"/>
          <w:b/>
          <w:bCs/>
          <w:szCs w:val="22"/>
          <w:lang w:val="fr-FR" w:eastAsia="en-US"/>
        </w:rPr>
      </w:pPr>
    </w:p>
    <w:p w:rsidR="006A2499" w:rsidRPr="00E87622" w:rsidRDefault="006A2499" w:rsidP="00F35BCC">
      <w:pPr>
        <w:pStyle w:val="Endofdocument-Annex"/>
        <w:ind w:left="0"/>
        <w:jc w:val="center"/>
        <w:rPr>
          <w:rFonts w:eastAsia="MS Mincho"/>
          <w:szCs w:val="22"/>
          <w:lang w:val="fr-FR" w:eastAsia="en-US"/>
        </w:rPr>
      </w:pPr>
      <w:r w:rsidRPr="00E87622">
        <w:rPr>
          <w:rFonts w:eastAsia="MS Mincho"/>
          <w:szCs w:val="22"/>
          <w:lang w:val="fr-FR" w:eastAsia="en-US"/>
        </w:rPr>
        <w:t>(</w:t>
      </w:r>
      <w:r w:rsidR="00B67383" w:rsidRPr="00E87622">
        <w:rPr>
          <w:rFonts w:eastAsia="MS Mincho"/>
          <w:szCs w:val="22"/>
          <w:lang w:val="fr-FR" w:eastAsia="en-US"/>
        </w:rPr>
        <w:t>texte en vigueur le</w:t>
      </w:r>
      <w:r w:rsidR="002E0360">
        <w:rPr>
          <w:rFonts w:eastAsia="MS Mincho"/>
          <w:szCs w:val="22"/>
          <w:lang w:val="fr-FR" w:eastAsia="en-US"/>
        </w:rPr>
        <w:t xml:space="preserve"> 1</w:t>
      </w:r>
      <w:r w:rsidR="002E0360" w:rsidRPr="002E0360">
        <w:rPr>
          <w:rFonts w:eastAsia="MS Mincho"/>
          <w:szCs w:val="22"/>
          <w:vertAlign w:val="superscript"/>
          <w:lang w:val="fr-FR" w:eastAsia="en-US"/>
        </w:rPr>
        <w:t>er</w:t>
      </w:r>
      <w:r w:rsidR="002E0360">
        <w:rPr>
          <w:rFonts w:eastAsia="MS Mincho"/>
          <w:szCs w:val="22"/>
          <w:lang w:val="fr-FR" w:eastAsia="en-US"/>
        </w:rPr>
        <w:t> </w:t>
      </w:r>
      <w:r w:rsidR="00B67383" w:rsidRPr="00E87622">
        <w:rPr>
          <w:rFonts w:eastAsia="MS Mincho"/>
          <w:szCs w:val="22"/>
          <w:lang w:val="fr-FR" w:eastAsia="en-US"/>
        </w:rPr>
        <w:t>janvier</w:t>
      </w:r>
      <w:r w:rsidR="006D6544" w:rsidRPr="00E87622">
        <w:rPr>
          <w:rFonts w:eastAsia="MS Mincho"/>
          <w:szCs w:val="22"/>
          <w:lang w:val="fr-FR" w:eastAsia="en-US"/>
        </w:rPr>
        <w:t> </w:t>
      </w:r>
      <w:r w:rsidR="00B67383" w:rsidRPr="00E87622">
        <w:rPr>
          <w:rFonts w:eastAsia="MS Mincho"/>
          <w:szCs w:val="22"/>
          <w:lang w:val="fr-FR" w:eastAsia="en-US"/>
        </w:rPr>
        <w:t>2017</w:t>
      </w:r>
      <w:r w:rsidRPr="00E87622">
        <w:rPr>
          <w:rFonts w:eastAsia="MS Mincho"/>
          <w:szCs w:val="22"/>
          <w:lang w:val="fr-FR" w:eastAsia="en-US"/>
        </w:rPr>
        <w:t>)</w:t>
      </w:r>
    </w:p>
    <w:p w:rsidR="006A2499" w:rsidRPr="00E87622" w:rsidRDefault="006A2499" w:rsidP="00F35BCC">
      <w:pPr>
        <w:pStyle w:val="Endofdocument-Annex"/>
        <w:ind w:left="0"/>
        <w:jc w:val="center"/>
        <w:rPr>
          <w:rFonts w:eastAsia="MS Mincho"/>
          <w:szCs w:val="22"/>
          <w:lang w:val="fr-FR" w:eastAsia="en-US"/>
        </w:rPr>
      </w:pPr>
    </w:p>
    <w:p w:rsidR="006A2499" w:rsidRPr="00E87622" w:rsidRDefault="006A2499" w:rsidP="00F35BCC">
      <w:pPr>
        <w:pStyle w:val="Endofdocument-Annex"/>
        <w:ind w:left="0"/>
        <w:jc w:val="center"/>
        <w:rPr>
          <w:rFonts w:eastAsia="MS Mincho"/>
          <w:szCs w:val="22"/>
          <w:lang w:val="fr-FR" w:eastAsia="en-US"/>
        </w:rPr>
      </w:pPr>
    </w:p>
    <w:p w:rsidR="006A2499" w:rsidRPr="00E87622" w:rsidRDefault="006A2499" w:rsidP="00F35BCC">
      <w:pPr>
        <w:pStyle w:val="Heading4"/>
        <w:keepNext w:val="0"/>
        <w:spacing w:before="0" w:after="0"/>
        <w:jc w:val="center"/>
        <w:rPr>
          <w:lang w:val="fr-FR"/>
        </w:rPr>
      </w:pPr>
      <w:r w:rsidRPr="00E87622">
        <w:rPr>
          <w:lang w:val="fr-FR"/>
        </w:rPr>
        <w:t>R</w:t>
      </w:r>
      <w:r w:rsidR="00B67383" w:rsidRPr="00E87622">
        <w:rPr>
          <w:lang w:val="fr-FR"/>
        </w:rPr>
        <w:t>èg</w:t>
      </w:r>
      <w:r w:rsidRPr="00E87622">
        <w:rPr>
          <w:lang w:val="fr-FR"/>
        </w:rPr>
        <w:t>le</w:t>
      </w:r>
      <w:r w:rsidR="00C432C7" w:rsidRPr="00E87622">
        <w:rPr>
          <w:lang w:val="fr-FR"/>
        </w:rPr>
        <w:t> </w:t>
      </w:r>
      <w:r w:rsidRPr="00E87622">
        <w:rPr>
          <w:lang w:val="fr-FR"/>
        </w:rPr>
        <w:t>5</w:t>
      </w:r>
    </w:p>
    <w:p w:rsidR="006A2499" w:rsidRPr="00E87622" w:rsidRDefault="00B67383" w:rsidP="00F35BCC">
      <w:pPr>
        <w:pStyle w:val="Heading4"/>
        <w:keepNext w:val="0"/>
        <w:spacing w:before="0" w:after="0"/>
        <w:jc w:val="center"/>
        <w:rPr>
          <w:lang w:val="fr-FR"/>
        </w:rPr>
      </w:pPr>
      <w:r w:rsidRPr="00E87622">
        <w:rPr>
          <w:lang w:val="fr-FR"/>
        </w:rPr>
        <w:t>Excuse de retard dans l</w:t>
      </w:r>
      <w:r w:rsidR="002E0360">
        <w:rPr>
          <w:lang w:val="fr-FR"/>
        </w:rPr>
        <w:t>’</w:t>
      </w:r>
      <w:r w:rsidRPr="00E87622">
        <w:rPr>
          <w:lang w:val="fr-FR"/>
        </w:rPr>
        <w:t>observation de délais</w:t>
      </w:r>
    </w:p>
    <w:p w:rsidR="006A2499" w:rsidRPr="00E87622" w:rsidRDefault="006A2499" w:rsidP="00F35BCC">
      <w:pPr>
        <w:pStyle w:val="indent1"/>
        <w:rPr>
          <w:rFonts w:ascii="Arial" w:hAnsi="Arial" w:cs="Arial"/>
          <w:sz w:val="22"/>
          <w:szCs w:val="22"/>
          <w:lang w:val="fr-FR"/>
        </w:rPr>
      </w:pPr>
    </w:p>
    <w:p w:rsidR="006A2499" w:rsidRPr="00E87622" w:rsidRDefault="006A2499" w:rsidP="00F35BCC">
      <w:pPr>
        <w:pStyle w:val="indent1"/>
        <w:rPr>
          <w:rFonts w:ascii="Arial" w:hAnsi="Arial" w:cs="Arial"/>
          <w:sz w:val="22"/>
          <w:szCs w:val="22"/>
          <w:lang w:val="fr-FR"/>
        </w:rPr>
      </w:pPr>
      <w:r w:rsidRPr="00E87622">
        <w:rPr>
          <w:rFonts w:ascii="Arial" w:hAnsi="Arial" w:cs="Arial"/>
          <w:sz w:val="22"/>
          <w:szCs w:val="22"/>
          <w:lang w:val="fr-FR"/>
        </w:rPr>
        <w:t>[…]</w:t>
      </w:r>
    </w:p>
    <w:p w:rsidR="006A2499" w:rsidRPr="00E87622" w:rsidRDefault="006A2499" w:rsidP="00F35BCC">
      <w:pPr>
        <w:pStyle w:val="indent1"/>
        <w:rPr>
          <w:rFonts w:ascii="Arial" w:hAnsi="Arial" w:cs="Arial"/>
          <w:sz w:val="22"/>
          <w:szCs w:val="22"/>
          <w:lang w:val="fr-FR"/>
        </w:rPr>
      </w:pPr>
    </w:p>
    <w:p w:rsidR="006A2499" w:rsidRPr="00E87622" w:rsidRDefault="006A2499" w:rsidP="00F35BCC">
      <w:pPr>
        <w:pStyle w:val="indent1"/>
        <w:rPr>
          <w:rFonts w:ascii="Arial" w:hAnsi="Arial" w:cs="Arial"/>
          <w:sz w:val="22"/>
          <w:szCs w:val="22"/>
          <w:lang w:val="fr-FR"/>
        </w:rPr>
      </w:pPr>
      <w:r w:rsidRPr="00E87622">
        <w:rPr>
          <w:rFonts w:ascii="Arial" w:hAnsi="Arial" w:cs="Arial"/>
          <w:sz w:val="22"/>
          <w:szCs w:val="22"/>
          <w:lang w:val="fr-FR"/>
        </w:rPr>
        <w:t>3)</w:t>
      </w:r>
      <w:r w:rsidRPr="00E87622">
        <w:rPr>
          <w:rFonts w:ascii="Arial" w:hAnsi="Arial" w:cs="Arial"/>
          <w:sz w:val="22"/>
          <w:szCs w:val="22"/>
          <w:lang w:val="fr-FR"/>
        </w:rPr>
        <w:tab/>
      </w:r>
      <w:r w:rsidRPr="00E87622">
        <w:rPr>
          <w:rFonts w:ascii="Arial" w:hAnsi="Arial" w:cs="Arial"/>
          <w:iCs/>
          <w:sz w:val="22"/>
          <w:szCs w:val="22"/>
          <w:lang w:val="fr-FR"/>
        </w:rPr>
        <w:t>[</w:t>
      </w:r>
      <w:r w:rsidR="00B67383" w:rsidRPr="00E87622">
        <w:rPr>
          <w:rFonts w:ascii="Arial" w:hAnsi="Arial" w:cs="Arial"/>
          <w:i/>
          <w:iCs/>
          <w:sz w:val="22"/>
          <w:szCs w:val="22"/>
          <w:lang w:val="fr-FR"/>
        </w:rPr>
        <w:t>Communication envoyée par voie électronique</w:t>
      </w:r>
      <w:r w:rsidRPr="00E87622">
        <w:rPr>
          <w:rFonts w:ascii="Arial" w:hAnsi="Arial" w:cs="Arial"/>
          <w:iCs/>
          <w:sz w:val="22"/>
          <w:szCs w:val="22"/>
          <w:lang w:val="fr-FR"/>
        </w:rPr>
        <w:t>]</w:t>
      </w:r>
      <w:r w:rsidR="00CF40C4">
        <w:rPr>
          <w:rFonts w:ascii="Arial" w:hAnsi="Arial" w:cs="Arial"/>
          <w:iCs/>
          <w:sz w:val="22"/>
          <w:szCs w:val="22"/>
          <w:lang w:val="fr-FR"/>
        </w:rPr>
        <w:t>  </w:t>
      </w:r>
      <w:r w:rsidR="00B67383" w:rsidRPr="00E87622">
        <w:rPr>
          <w:rFonts w:ascii="Arial" w:hAnsi="Arial" w:cs="Arial"/>
          <w:sz w:val="22"/>
          <w:szCs w:val="22"/>
          <w:lang w:val="fr-FR"/>
        </w:rPr>
        <w:t>L</w:t>
      </w:r>
      <w:r w:rsidR="002E0360">
        <w:rPr>
          <w:rFonts w:ascii="Arial" w:hAnsi="Arial" w:cs="Arial"/>
          <w:sz w:val="22"/>
          <w:szCs w:val="22"/>
          <w:lang w:val="fr-FR"/>
        </w:rPr>
        <w:t>’</w:t>
      </w:r>
      <w:r w:rsidR="00B67383" w:rsidRPr="00E87622">
        <w:rPr>
          <w:rFonts w:ascii="Arial" w:hAnsi="Arial" w:cs="Arial"/>
          <w:sz w:val="22"/>
          <w:szCs w:val="22"/>
          <w:lang w:val="fr-FR"/>
        </w:rPr>
        <w:t>inobservation, par une partie intéressée, d</w:t>
      </w:r>
      <w:r w:rsidR="002E0360">
        <w:rPr>
          <w:rFonts w:ascii="Arial" w:hAnsi="Arial" w:cs="Arial"/>
          <w:sz w:val="22"/>
          <w:szCs w:val="22"/>
          <w:lang w:val="fr-FR"/>
        </w:rPr>
        <w:t>’</w:t>
      </w:r>
      <w:r w:rsidR="00B67383" w:rsidRPr="00E87622">
        <w:rPr>
          <w:rFonts w:ascii="Arial" w:hAnsi="Arial" w:cs="Arial"/>
          <w:sz w:val="22"/>
          <w:szCs w:val="22"/>
          <w:lang w:val="fr-FR"/>
        </w:rPr>
        <w:t>un délai pour une communication adressée au Bureau international et envoyée par voie électronique est excusée si la partie intéressée apporte la preuve, d</w:t>
      </w:r>
      <w:r w:rsidR="002E0360">
        <w:rPr>
          <w:rFonts w:ascii="Arial" w:hAnsi="Arial" w:cs="Arial"/>
          <w:sz w:val="22"/>
          <w:szCs w:val="22"/>
          <w:lang w:val="fr-FR"/>
        </w:rPr>
        <w:t>’</w:t>
      </w:r>
      <w:r w:rsidR="00B67383" w:rsidRPr="00E87622">
        <w:rPr>
          <w:rFonts w:ascii="Arial" w:hAnsi="Arial" w:cs="Arial"/>
          <w:sz w:val="22"/>
          <w:szCs w:val="22"/>
          <w:lang w:val="fr-FR"/>
        </w:rPr>
        <w:t>une façon satisfaisante pour le Bureau international, que le délai n</w:t>
      </w:r>
      <w:r w:rsidR="002E0360">
        <w:rPr>
          <w:rFonts w:ascii="Arial" w:hAnsi="Arial" w:cs="Arial"/>
          <w:sz w:val="22"/>
          <w:szCs w:val="22"/>
          <w:lang w:val="fr-FR"/>
        </w:rPr>
        <w:t>’</w:t>
      </w:r>
      <w:r w:rsidR="00B67383" w:rsidRPr="00E87622">
        <w:rPr>
          <w:rFonts w:ascii="Arial" w:hAnsi="Arial" w:cs="Arial"/>
          <w:sz w:val="22"/>
          <w:szCs w:val="22"/>
          <w:lang w:val="fr-FR"/>
        </w:rPr>
        <w: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w:t>
      </w:r>
      <w:r w:rsidR="00C432C7" w:rsidRPr="00E87622">
        <w:rPr>
          <w:rFonts w:ascii="Arial" w:hAnsi="Arial" w:cs="Arial"/>
          <w:sz w:val="22"/>
          <w:szCs w:val="22"/>
          <w:lang w:val="fr-FR"/>
        </w:rPr>
        <w:t> </w:t>
      </w:r>
      <w:r w:rsidR="00B67383" w:rsidRPr="00E87622">
        <w:rPr>
          <w:rFonts w:ascii="Arial" w:hAnsi="Arial" w:cs="Arial"/>
          <w:sz w:val="22"/>
          <w:szCs w:val="22"/>
          <w:lang w:val="fr-FR"/>
        </w:rPr>
        <w:t>jours après la reprise du service de communication électronique</w:t>
      </w:r>
      <w:r w:rsidRPr="00E87622">
        <w:rPr>
          <w:rFonts w:ascii="Arial" w:hAnsi="Arial" w:cs="Arial"/>
          <w:sz w:val="22"/>
          <w:szCs w:val="22"/>
          <w:lang w:val="fr-FR"/>
        </w:rPr>
        <w:t>.</w:t>
      </w:r>
    </w:p>
    <w:p w:rsidR="006A2499" w:rsidRPr="00E87622" w:rsidRDefault="006A2499" w:rsidP="00F35BCC">
      <w:pPr>
        <w:pStyle w:val="indent1"/>
        <w:rPr>
          <w:rFonts w:ascii="Arial" w:hAnsi="Arial" w:cs="Arial"/>
          <w:sz w:val="22"/>
          <w:szCs w:val="22"/>
          <w:lang w:val="fr-FR"/>
        </w:rPr>
      </w:pPr>
    </w:p>
    <w:p w:rsidR="006A2499" w:rsidRPr="00E87622" w:rsidRDefault="006A2499" w:rsidP="00F35BCC">
      <w:pPr>
        <w:pStyle w:val="indent1"/>
        <w:rPr>
          <w:rFonts w:ascii="Arial" w:hAnsi="Arial" w:cs="Arial"/>
          <w:sz w:val="22"/>
          <w:szCs w:val="22"/>
          <w:lang w:val="fr-FR"/>
        </w:rPr>
      </w:pPr>
      <w:r w:rsidRPr="00E87622">
        <w:rPr>
          <w:rFonts w:ascii="Arial" w:hAnsi="Arial" w:cs="Arial"/>
          <w:sz w:val="22"/>
          <w:szCs w:val="22"/>
          <w:lang w:val="fr-FR"/>
        </w:rPr>
        <w:t>4)</w:t>
      </w:r>
      <w:r w:rsidRPr="00E87622">
        <w:rPr>
          <w:rFonts w:ascii="Arial" w:hAnsi="Arial" w:cs="Arial"/>
          <w:sz w:val="22"/>
          <w:szCs w:val="22"/>
          <w:lang w:val="fr-FR"/>
        </w:rPr>
        <w:tab/>
        <w:t>[</w:t>
      </w:r>
      <w:r w:rsidR="00B67383" w:rsidRPr="00E87622">
        <w:rPr>
          <w:rFonts w:ascii="Arial" w:hAnsi="Arial" w:cs="Arial"/>
          <w:i/>
          <w:sz w:val="22"/>
          <w:szCs w:val="22"/>
          <w:lang w:val="fr-FR"/>
        </w:rPr>
        <w:t>Limites à l</w:t>
      </w:r>
      <w:r w:rsidR="002E0360">
        <w:rPr>
          <w:rFonts w:ascii="Arial" w:hAnsi="Arial" w:cs="Arial"/>
          <w:i/>
          <w:sz w:val="22"/>
          <w:szCs w:val="22"/>
          <w:lang w:val="fr-FR"/>
        </w:rPr>
        <w:t>’</w:t>
      </w:r>
      <w:r w:rsidR="00B67383" w:rsidRPr="00E87622">
        <w:rPr>
          <w:rFonts w:ascii="Arial" w:hAnsi="Arial" w:cs="Arial"/>
          <w:i/>
          <w:sz w:val="22"/>
          <w:szCs w:val="22"/>
          <w:lang w:val="fr-FR"/>
        </w:rPr>
        <w:t>excuse</w:t>
      </w:r>
      <w:r w:rsidRPr="00E87622">
        <w:rPr>
          <w:rFonts w:ascii="Arial" w:hAnsi="Arial" w:cs="Arial"/>
          <w:sz w:val="22"/>
          <w:szCs w:val="22"/>
          <w:lang w:val="fr-FR"/>
        </w:rPr>
        <w:t>]</w:t>
      </w:r>
      <w:r w:rsidR="00CF40C4">
        <w:rPr>
          <w:rFonts w:ascii="Arial" w:hAnsi="Arial" w:cs="Arial"/>
          <w:sz w:val="22"/>
          <w:szCs w:val="22"/>
          <w:lang w:val="fr-FR"/>
        </w:rPr>
        <w:t>  </w:t>
      </w:r>
      <w:r w:rsidR="00B67383" w:rsidRPr="00E87622">
        <w:rPr>
          <w:rFonts w:ascii="Arial" w:hAnsi="Arial" w:cs="Arial"/>
          <w:sz w:val="22"/>
          <w:szCs w:val="22"/>
          <w:lang w:val="fr-FR"/>
        </w:rPr>
        <w:t>L</w:t>
      </w:r>
      <w:r w:rsidR="002E0360">
        <w:rPr>
          <w:rFonts w:ascii="Arial" w:hAnsi="Arial" w:cs="Arial"/>
          <w:sz w:val="22"/>
          <w:szCs w:val="22"/>
          <w:lang w:val="fr-FR"/>
        </w:rPr>
        <w:t>’</w:t>
      </w:r>
      <w:r w:rsidR="00B67383" w:rsidRPr="00E87622">
        <w:rPr>
          <w:rFonts w:ascii="Arial" w:hAnsi="Arial" w:cs="Arial"/>
          <w:sz w:val="22"/>
          <w:szCs w:val="22"/>
          <w:lang w:val="fr-FR"/>
        </w:rPr>
        <w:t>inobservation d</w:t>
      </w:r>
      <w:r w:rsidR="002E0360">
        <w:rPr>
          <w:rFonts w:ascii="Arial" w:hAnsi="Arial" w:cs="Arial"/>
          <w:sz w:val="22"/>
          <w:szCs w:val="22"/>
          <w:lang w:val="fr-FR"/>
        </w:rPr>
        <w:t>’</w:t>
      </w:r>
      <w:r w:rsidR="00B67383" w:rsidRPr="00E87622">
        <w:rPr>
          <w:rFonts w:ascii="Arial" w:hAnsi="Arial" w:cs="Arial"/>
          <w:sz w:val="22"/>
          <w:szCs w:val="22"/>
          <w:lang w:val="fr-FR"/>
        </w:rPr>
        <w:t>un délai n</w:t>
      </w:r>
      <w:r w:rsidR="002E0360">
        <w:rPr>
          <w:rFonts w:ascii="Arial" w:hAnsi="Arial" w:cs="Arial"/>
          <w:sz w:val="22"/>
          <w:szCs w:val="22"/>
          <w:lang w:val="fr-FR"/>
        </w:rPr>
        <w:t>’</w:t>
      </w:r>
      <w:r w:rsidR="00B67383" w:rsidRPr="00E87622">
        <w:rPr>
          <w:rFonts w:ascii="Arial" w:hAnsi="Arial" w:cs="Arial"/>
          <w:sz w:val="22"/>
          <w:szCs w:val="22"/>
          <w:lang w:val="fr-FR"/>
        </w:rPr>
        <w:t>est excusée en vertu de la présente règle que si la preuve visée à l</w:t>
      </w:r>
      <w:r w:rsidR="002E0360">
        <w:rPr>
          <w:rFonts w:ascii="Arial" w:hAnsi="Arial" w:cs="Arial"/>
          <w:sz w:val="22"/>
          <w:szCs w:val="22"/>
          <w:lang w:val="fr-FR"/>
        </w:rPr>
        <w:t>’</w:t>
      </w:r>
      <w:r w:rsidR="00B67383" w:rsidRPr="00E87622">
        <w:rPr>
          <w:rFonts w:ascii="Arial" w:hAnsi="Arial" w:cs="Arial"/>
          <w:sz w:val="22"/>
          <w:szCs w:val="22"/>
          <w:lang w:val="fr-FR"/>
        </w:rPr>
        <w:t>alinéa</w:t>
      </w:r>
      <w:r w:rsidR="00C432C7" w:rsidRPr="00E87622">
        <w:rPr>
          <w:rFonts w:ascii="Arial" w:hAnsi="Arial" w:cs="Arial"/>
          <w:sz w:val="22"/>
          <w:szCs w:val="22"/>
          <w:lang w:val="fr-FR"/>
        </w:rPr>
        <w:t> </w:t>
      </w:r>
      <w:r w:rsidR="00B67383" w:rsidRPr="00E87622">
        <w:rPr>
          <w:rFonts w:ascii="Arial" w:hAnsi="Arial" w:cs="Arial"/>
          <w:sz w:val="22"/>
          <w:szCs w:val="22"/>
          <w:lang w:val="fr-FR"/>
        </w:rPr>
        <w:t>1), 2) ou 3) et la communication ou, le cas échéant, un double de celle</w:t>
      </w:r>
      <w:r w:rsidR="00B4549C">
        <w:rPr>
          <w:rFonts w:ascii="Arial" w:hAnsi="Arial" w:cs="Arial"/>
          <w:sz w:val="22"/>
          <w:szCs w:val="22"/>
          <w:lang w:val="fr-FR"/>
        </w:rPr>
        <w:noBreakHyphen/>
      </w:r>
      <w:r w:rsidR="00B67383" w:rsidRPr="00E87622">
        <w:rPr>
          <w:rFonts w:ascii="Arial" w:hAnsi="Arial" w:cs="Arial"/>
          <w:sz w:val="22"/>
          <w:szCs w:val="22"/>
          <w:lang w:val="fr-FR"/>
        </w:rPr>
        <w:t>ci, sont reçus par le Bureau international au plus tard six</w:t>
      </w:r>
      <w:r w:rsidR="00C432C7" w:rsidRPr="00E87622">
        <w:rPr>
          <w:rFonts w:ascii="Arial" w:hAnsi="Arial" w:cs="Arial"/>
          <w:sz w:val="22"/>
          <w:szCs w:val="22"/>
          <w:lang w:val="fr-FR"/>
        </w:rPr>
        <w:t> </w:t>
      </w:r>
      <w:r w:rsidR="00B67383" w:rsidRPr="00E87622">
        <w:rPr>
          <w:rFonts w:ascii="Arial" w:hAnsi="Arial" w:cs="Arial"/>
          <w:sz w:val="22"/>
          <w:szCs w:val="22"/>
          <w:lang w:val="fr-FR"/>
        </w:rPr>
        <w:t>mois après l</w:t>
      </w:r>
      <w:r w:rsidR="002E0360">
        <w:rPr>
          <w:rFonts w:ascii="Arial" w:hAnsi="Arial" w:cs="Arial"/>
          <w:sz w:val="22"/>
          <w:szCs w:val="22"/>
          <w:lang w:val="fr-FR"/>
        </w:rPr>
        <w:t>’</w:t>
      </w:r>
      <w:r w:rsidR="00B67383" w:rsidRPr="00E87622">
        <w:rPr>
          <w:rFonts w:ascii="Arial" w:hAnsi="Arial" w:cs="Arial"/>
          <w:sz w:val="22"/>
          <w:szCs w:val="22"/>
          <w:lang w:val="fr-FR"/>
        </w:rPr>
        <w:t>expiration du délai</w:t>
      </w:r>
      <w:r w:rsidRPr="00E87622">
        <w:rPr>
          <w:rFonts w:ascii="Arial" w:hAnsi="Arial" w:cs="Arial"/>
          <w:sz w:val="22"/>
          <w:szCs w:val="22"/>
          <w:lang w:val="fr-FR"/>
        </w:rPr>
        <w:t>.</w:t>
      </w:r>
    </w:p>
    <w:p w:rsidR="006A2499" w:rsidRPr="00E87622" w:rsidRDefault="006A2499" w:rsidP="00F35BCC">
      <w:pPr>
        <w:pStyle w:val="Endofdocument-Annex"/>
        <w:ind w:left="0"/>
        <w:rPr>
          <w:lang w:val="fr-FR"/>
        </w:rPr>
      </w:pPr>
    </w:p>
    <w:p w:rsidR="006A2499" w:rsidRPr="00E87622" w:rsidRDefault="006A2499" w:rsidP="00F35BCC">
      <w:pPr>
        <w:pStyle w:val="Endofdocument-Annex"/>
        <w:ind w:left="0" w:firstLine="567"/>
        <w:jc w:val="both"/>
        <w:rPr>
          <w:lang w:val="fr-FR"/>
        </w:rPr>
      </w:pPr>
      <w:r w:rsidRPr="00E87622">
        <w:rPr>
          <w:lang w:val="fr-FR"/>
        </w:rPr>
        <w:t>5)</w:t>
      </w:r>
      <w:r w:rsidRPr="00E87622">
        <w:rPr>
          <w:lang w:val="fr-FR"/>
        </w:rPr>
        <w:tab/>
        <w:t>[</w:t>
      </w:r>
      <w:r w:rsidRPr="00E87622">
        <w:rPr>
          <w:i/>
          <w:lang w:val="fr-FR"/>
        </w:rPr>
        <w:t>Exception</w:t>
      </w:r>
      <w:r w:rsidRPr="00E87622">
        <w:rPr>
          <w:lang w:val="fr-FR"/>
        </w:rPr>
        <w:t>]</w:t>
      </w:r>
      <w:r w:rsidR="00CF40C4">
        <w:rPr>
          <w:lang w:val="fr-FR"/>
        </w:rPr>
        <w:t>  </w:t>
      </w:r>
      <w:r w:rsidR="006D6544" w:rsidRPr="00E87622">
        <w:rPr>
          <w:lang w:val="fr-FR"/>
        </w:rPr>
        <w:t>La présente règle ne s</w:t>
      </w:r>
      <w:r w:rsidR="002E0360">
        <w:rPr>
          <w:lang w:val="fr-FR"/>
        </w:rPr>
        <w:t>’</w:t>
      </w:r>
      <w:r w:rsidR="006D6544" w:rsidRPr="00E87622">
        <w:rPr>
          <w:lang w:val="fr-FR"/>
        </w:rPr>
        <w:t>applique pas au paiement de la deuxième partie de la taxe de désignation individuelle par l</w:t>
      </w:r>
      <w:r w:rsidR="002E0360">
        <w:rPr>
          <w:lang w:val="fr-FR"/>
        </w:rPr>
        <w:t>’</w:t>
      </w:r>
      <w:r w:rsidR="006D6544" w:rsidRPr="00E87622">
        <w:rPr>
          <w:lang w:val="fr-FR"/>
        </w:rPr>
        <w:t>intermédiaire du Bureau international prévu à la règle 12.3)c)</w:t>
      </w:r>
      <w:r w:rsidRPr="00E87622">
        <w:rPr>
          <w:lang w:val="fr-FR"/>
        </w:rPr>
        <w:t>.</w:t>
      </w:r>
    </w:p>
    <w:p w:rsidR="006A2499" w:rsidRPr="00E87622" w:rsidRDefault="006A2499" w:rsidP="00F35BCC">
      <w:pPr>
        <w:pStyle w:val="Endofdocument-Annex"/>
        <w:ind w:left="0" w:firstLine="567"/>
        <w:jc w:val="both"/>
        <w:rPr>
          <w:lang w:val="fr-FR"/>
        </w:rPr>
      </w:pPr>
    </w:p>
    <w:p w:rsidR="006A2499" w:rsidRPr="00E87622" w:rsidRDefault="006A2499" w:rsidP="00F35BCC">
      <w:pPr>
        <w:pStyle w:val="Endofdocument-Annex"/>
        <w:ind w:left="0" w:firstLine="567"/>
        <w:jc w:val="both"/>
        <w:rPr>
          <w:lang w:val="fr-FR"/>
        </w:rPr>
      </w:pPr>
    </w:p>
    <w:p w:rsidR="006A2499" w:rsidRPr="00E87622" w:rsidRDefault="006A2499" w:rsidP="00F35BCC">
      <w:pPr>
        <w:pStyle w:val="Endofdocument-Annex"/>
        <w:ind w:left="0" w:firstLine="567"/>
        <w:jc w:val="both"/>
        <w:rPr>
          <w:lang w:val="fr-FR"/>
        </w:rPr>
      </w:pPr>
    </w:p>
    <w:p w:rsidR="006A2499" w:rsidRPr="00E87622" w:rsidRDefault="006A2499" w:rsidP="00F35BCC">
      <w:pPr>
        <w:pStyle w:val="Endofdocument-Annex"/>
        <w:rPr>
          <w:lang w:val="fr-FR"/>
        </w:rPr>
      </w:pPr>
      <w:r w:rsidRPr="00E87622">
        <w:rPr>
          <w:lang w:val="fr-FR"/>
        </w:rPr>
        <w:t>[</w:t>
      </w:r>
      <w:r w:rsidR="006D6544" w:rsidRPr="00E87622">
        <w:rPr>
          <w:lang w:val="fr-FR"/>
        </w:rPr>
        <w:t>Fin de l</w:t>
      </w:r>
      <w:r w:rsidR="002E0360">
        <w:rPr>
          <w:lang w:val="fr-FR"/>
        </w:rPr>
        <w:t>’</w:t>
      </w:r>
      <w:r w:rsidR="006D6544" w:rsidRPr="00E87622">
        <w:rPr>
          <w:lang w:val="fr-FR"/>
        </w:rPr>
        <w:t>annexe]</w:t>
      </w:r>
    </w:p>
    <w:sectPr w:rsidR="006A2499" w:rsidRPr="00E87622" w:rsidSect="002E0360">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23" w:rsidRDefault="00D47423">
      <w:r>
        <w:separator/>
      </w:r>
    </w:p>
  </w:endnote>
  <w:endnote w:type="continuationSeparator" w:id="0">
    <w:p w:rsidR="00D47423" w:rsidRDefault="00D47423" w:rsidP="003B38C1">
      <w:r>
        <w:separator/>
      </w:r>
    </w:p>
    <w:p w:rsidR="00D47423" w:rsidRPr="003B38C1" w:rsidRDefault="00D47423" w:rsidP="003B38C1">
      <w:pPr>
        <w:spacing w:after="60"/>
        <w:rPr>
          <w:sz w:val="17"/>
        </w:rPr>
      </w:pPr>
      <w:r>
        <w:rPr>
          <w:sz w:val="17"/>
        </w:rPr>
        <w:t>[Endnote continued from previous page]</w:t>
      </w:r>
    </w:p>
  </w:endnote>
  <w:endnote w:type="continuationNotice" w:id="1">
    <w:p w:rsidR="00D47423" w:rsidRPr="003B38C1" w:rsidRDefault="00D474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49C" w:rsidRPr="00B4549C" w:rsidRDefault="00B4549C" w:rsidP="00B45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23" w:rsidRDefault="00D47423">
      <w:r>
        <w:separator/>
      </w:r>
    </w:p>
  </w:footnote>
  <w:footnote w:type="continuationSeparator" w:id="0">
    <w:p w:rsidR="00D47423" w:rsidRDefault="00D47423" w:rsidP="008B60B2">
      <w:r>
        <w:separator/>
      </w:r>
    </w:p>
    <w:p w:rsidR="00D47423" w:rsidRPr="00ED77FB" w:rsidRDefault="00D47423" w:rsidP="008B60B2">
      <w:pPr>
        <w:spacing w:after="60"/>
        <w:rPr>
          <w:sz w:val="17"/>
          <w:szCs w:val="17"/>
        </w:rPr>
      </w:pPr>
      <w:r w:rsidRPr="00ED77FB">
        <w:rPr>
          <w:sz w:val="17"/>
          <w:szCs w:val="17"/>
        </w:rPr>
        <w:t>[Footnote continued from previous page]</w:t>
      </w:r>
    </w:p>
  </w:footnote>
  <w:footnote w:type="continuationNotice" w:id="1">
    <w:p w:rsidR="00D47423" w:rsidRPr="00ED77FB" w:rsidRDefault="00D47423" w:rsidP="008B60B2">
      <w:pPr>
        <w:spacing w:before="60"/>
        <w:jc w:val="right"/>
        <w:rPr>
          <w:sz w:val="17"/>
          <w:szCs w:val="17"/>
        </w:rPr>
      </w:pPr>
      <w:r w:rsidRPr="00ED77FB">
        <w:rPr>
          <w:sz w:val="17"/>
          <w:szCs w:val="17"/>
        </w:rPr>
        <w:t>[Footnote continued on next page]</w:t>
      </w:r>
    </w:p>
  </w:footnote>
  <w:footnote w:id="2">
    <w:p w:rsidR="00F60D96" w:rsidRPr="00616D89" w:rsidRDefault="00F60D96" w:rsidP="00F35BCC">
      <w:pPr>
        <w:pStyle w:val="FootnoteText"/>
        <w:rPr>
          <w:rStyle w:val="FootnoteReference"/>
          <w:vertAlign w:val="baseline"/>
          <w:lang w:val="fr-FR"/>
        </w:rPr>
      </w:pPr>
      <w:r>
        <w:rPr>
          <w:rStyle w:val="FootnoteReference"/>
        </w:rPr>
        <w:footnoteRef/>
      </w:r>
      <w:r w:rsidR="00A4276B" w:rsidRPr="002561B3">
        <w:rPr>
          <w:lang w:val="fr-CH"/>
        </w:rPr>
        <w:tab/>
      </w:r>
      <w:r w:rsidRPr="00616D89">
        <w:rPr>
          <w:rStyle w:val="FootnoteReference"/>
          <w:vertAlign w:val="baseline"/>
          <w:lang w:val="fr-FR"/>
        </w:rPr>
        <w:t>I</w:t>
      </w:r>
      <w:r w:rsidR="00616D89" w:rsidRPr="00616D89">
        <w:rPr>
          <w:lang w:val="fr-FR"/>
        </w:rPr>
        <w:t>l convient de rappeler que le même dispositif de garantie existe déjà dans le sys</w:t>
      </w:r>
      <w:r w:rsidRPr="00616D89">
        <w:rPr>
          <w:rStyle w:val="FootnoteReference"/>
          <w:vertAlign w:val="baseline"/>
          <w:lang w:val="fr-FR"/>
        </w:rPr>
        <w:t>t</w:t>
      </w:r>
      <w:r w:rsidR="00616D89" w:rsidRPr="00616D89">
        <w:rPr>
          <w:rStyle w:val="FootnoteReference"/>
          <w:vertAlign w:val="baseline"/>
          <w:lang w:val="fr-FR"/>
        </w:rPr>
        <w:t>ème de Madrid concernant l</w:t>
      </w:r>
      <w:r w:rsidR="00E958B2">
        <w:rPr>
          <w:rStyle w:val="FootnoteReference"/>
          <w:vertAlign w:val="baseline"/>
          <w:lang w:val="fr-FR"/>
        </w:rPr>
        <w:t>’</w:t>
      </w:r>
      <w:r w:rsidR="00616D89" w:rsidRPr="00616D89">
        <w:rPr>
          <w:rStyle w:val="FootnoteReference"/>
          <w:vertAlign w:val="baseline"/>
          <w:lang w:val="fr-FR"/>
        </w:rPr>
        <w:t>enregistrement international des marques</w:t>
      </w:r>
      <w:r w:rsidR="00747610">
        <w:rPr>
          <w:lang w:val="fr-FR"/>
        </w:rPr>
        <w:t xml:space="preserve">; </w:t>
      </w:r>
      <w:r w:rsidR="00616D89" w:rsidRPr="00E87622">
        <w:rPr>
          <w:lang w:val="fr-FR"/>
        </w:rPr>
        <w:t xml:space="preserve"> </w:t>
      </w:r>
      <w:r w:rsidR="00616D89" w:rsidRPr="00616D89">
        <w:rPr>
          <w:rStyle w:val="FootnoteReference"/>
          <w:vertAlign w:val="baseline"/>
          <w:lang w:val="fr-FR"/>
        </w:rPr>
        <w:t>plus précisément</w:t>
      </w:r>
      <w:r w:rsidR="00747610">
        <w:rPr>
          <w:lang w:val="fr-FR"/>
        </w:rPr>
        <w:t>,</w:t>
      </w:r>
      <w:r w:rsidR="00616D89" w:rsidRPr="00616D89">
        <w:rPr>
          <w:rStyle w:val="FootnoteReference"/>
          <w:vertAlign w:val="baseline"/>
          <w:lang w:val="fr-FR"/>
        </w:rPr>
        <w:t xml:space="preserve"> la règle 5.3) du </w:t>
      </w:r>
      <w:r w:rsidR="003855BD">
        <w:rPr>
          <w:rStyle w:val="FootnoteReference"/>
          <w:vertAlign w:val="baseline"/>
          <w:lang w:val="fr-FR"/>
        </w:rPr>
        <w:t>règle</w:t>
      </w:r>
      <w:r w:rsidR="00616D89" w:rsidRPr="00616D89">
        <w:rPr>
          <w:rStyle w:val="FootnoteReference"/>
          <w:vertAlign w:val="baseline"/>
          <w:lang w:val="fr-FR"/>
        </w:rPr>
        <w:t xml:space="preserve">ment </w:t>
      </w:r>
      <w:r w:rsidR="00616D89" w:rsidRPr="00616D89">
        <w:rPr>
          <w:lang w:val="fr-FR"/>
        </w:rPr>
        <w:t>d</w:t>
      </w:r>
      <w:r w:rsidR="00E958B2">
        <w:rPr>
          <w:lang w:val="fr-FR"/>
        </w:rPr>
        <w:t>’</w:t>
      </w:r>
      <w:r w:rsidR="00616D89" w:rsidRPr="00616D89">
        <w:rPr>
          <w:lang w:val="fr-FR"/>
        </w:rPr>
        <w:t>exécution</w:t>
      </w:r>
      <w:r w:rsidRPr="00616D89">
        <w:rPr>
          <w:rStyle w:val="FootnoteReference"/>
          <w:vertAlign w:val="baseline"/>
          <w:lang w:val="fr-FR"/>
        </w:rPr>
        <w:t xml:space="preserve"> </w:t>
      </w:r>
      <w:r w:rsidR="00616D89" w:rsidRPr="00616D89">
        <w:rPr>
          <w:lang w:val="fr-FR"/>
        </w:rPr>
        <w:t>commun à l</w:t>
      </w:r>
      <w:r w:rsidR="00E958B2">
        <w:rPr>
          <w:lang w:val="fr-FR"/>
        </w:rPr>
        <w:t>’</w:t>
      </w:r>
      <w:r w:rsidR="00616D89" w:rsidRPr="00616D89">
        <w:rPr>
          <w:lang w:val="fr-FR"/>
        </w:rPr>
        <w:t>Arrangement de Madrid concernant l</w:t>
      </w:r>
      <w:r w:rsidR="00E958B2">
        <w:rPr>
          <w:lang w:val="fr-FR"/>
        </w:rPr>
        <w:t>’</w:t>
      </w:r>
      <w:r w:rsidR="00616D89" w:rsidRPr="00616D89">
        <w:rPr>
          <w:lang w:val="fr-FR"/>
        </w:rPr>
        <w:t xml:space="preserve">enregistrement international des marques et au Protocole relatif à cet Arrangement </w:t>
      </w:r>
      <w:r w:rsidRPr="00616D89">
        <w:rPr>
          <w:rStyle w:val="FootnoteReference"/>
          <w:vertAlign w:val="baseline"/>
          <w:lang w:val="fr-FR"/>
        </w:rPr>
        <w:t>(</w:t>
      </w:r>
      <w:r w:rsidR="00616D89">
        <w:rPr>
          <w:lang w:val="fr-FR"/>
        </w:rPr>
        <w:t>ci</w:t>
      </w:r>
      <w:r w:rsidR="00B4549C">
        <w:rPr>
          <w:lang w:val="fr-FR"/>
        </w:rPr>
        <w:noBreakHyphen/>
      </w:r>
      <w:r w:rsidR="00616D89">
        <w:rPr>
          <w:lang w:val="fr-FR"/>
        </w:rPr>
        <w:t xml:space="preserve">après dénommé </w:t>
      </w:r>
      <w:r w:rsidRPr="00616D89">
        <w:rPr>
          <w:rStyle w:val="FootnoteReference"/>
          <w:vertAlign w:val="baseline"/>
          <w:lang w:val="fr-FR"/>
        </w:rPr>
        <w:t>“</w:t>
      </w:r>
      <w:r w:rsidR="00747610">
        <w:rPr>
          <w:lang w:val="fr-FR"/>
        </w:rPr>
        <w:t>r</w:t>
      </w:r>
      <w:r w:rsidR="00616D89">
        <w:rPr>
          <w:rStyle w:val="FootnoteReference"/>
          <w:vertAlign w:val="baseline"/>
          <w:lang w:val="fr-FR"/>
        </w:rPr>
        <w:t>èglement d</w:t>
      </w:r>
      <w:r w:rsidR="00E958B2">
        <w:rPr>
          <w:rStyle w:val="FootnoteReference"/>
          <w:vertAlign w:val="baseline"/>
          <w:lang w:val="fr-FR"/>
        </w:rPr>
        <w:t>’</w:t>
      </w:r>
      <w:r w:rsidR="00616D89">
        <w:rPr>
          <w:rStyle w:val="FootnoteReference"/>
          <w:vertAlign w:val="baseline"/>
          <w:lang w:val="fr-FR"/>
        </w:rPr>
        <w:t>exécution commun</w:t>
      </w:r>
      <w:r w:rsidR="00747610">
        <w:rPr>
          <w:rStyle w:val="FootnoteReference"/>
          <w:vertAlign w:val="baseline"/>
          <w:lang w:val="fr-FR"/>
        </w:rPr>
        <w:t xml:space="preserve"> à l</w:t>
      </w:r>
      <w:r w:rsidR="00E958B2">
        <w:rPr>
          <w:rStyle w:val="FootnoteReference"/>
          <w:vertAlign w:val="baseline"/>
          <w:lang w:val="fr-FR"/>
        </w:rPr>
        <w:t>’</w:t>
      </w:r>
      <w:r w:rsidR="00747610">
        <w:rPr>
          <w:rStyle w:val="FootnoteReference"/>
          <w:vertAlign w:val="baseline"/>
          <w:lang w:val="fr-FR"/>
        </w:rPr>
        <w:t>Arrangement de Madrid et au Protocole y relatif</w:t>
      </w:r>
      <w:r w:rsidRPr="00616D89">
        <w:rPr>
          <w:rStyle w:val="FootnoteReference"/>
          <w:vertAlign w:val="baseline"/>
          <w:lang w:val="fr-FR"/>
        </w:rPr>
        <w:t>”) a</w:t>
      </w:r>
      <w:r w:rsidR="00747610">
        <w:rPr>
          <w:rStyle w:val="FootnoteReference"/>
          <w:vertAlign w:val="baseline"/>
          <w:lang w:val="fr-FR"/>
        </w:rPr>
        <w:t xml:space="preserve"> les mêmes </w:t>
      </w:r>
      <w:r w:rsidRPr="00616D89">
        <w:rPr>
          <w:rStyle w:val="FootnoteReference"/>
          <w:vertAlign w:val="baseline"/>
          <w:lang w:val="fr-FR"/>
        </w:rPr>
        <w:t>f</w:t>
      </w:r>
      <w:r w:rsidR="00747610">
        <w:rPr>
          <w:rStyle w:val="FootnoteReference"/>
          <w:vertAlign w:val="baseline"/>
          <w:lang w:val="fr-FR"/>
        </w:rPr>
        <w:t>o</w:t>
      </w:r>
      <w:r w:rsidRPr="00616D89">
        <w:rPr>
          <w:rStyle w:val="FootnoteReference"/>
          <w:vertAlign w:val="baseline"/>
          <w:lang w:val="fr-FR"/>
        </w:rPr>
        <w:t xml:space="preserve">nctions </w:t>
      </w:r>
      <w:r w:rsidR="00747610">
        <w:rPr>
          <w:rStyle w:val="FootnoteReference"/>
          <w:vertAlign w:val="baseline"/>
          <w:lang w:val="fr-FR"/>
        </w:rPr>
        <w:t>et présente la m</w:t>
      </w:r>
      <w:r w:rsidR="00747610">
        <w:rPr>
          <w:lang w:val="fr-FR"/>
        </w:rPr>
        <w:t xml:space="preserve">ême </w:t>
      </w:r>
      <w:r w:rsidRPr="00616D89">
        <w:rPr>
          <w:rStyle w:val="FootnoteReference"/>
          <w:vertAlign w:val="baseline"/>
          <w:lang w:val="fr-FR"/>
        </w:rPr>
        <w:t xml:space="preserve">structure </w:t>
      </w:r>
      <w:r w:rsidR="00747610">
        <w:rPr>
          <w:rStyle w:val="FootnoteReference"/>
          <w:vertAlign w:val="baseline"/>
          <w:lang w:val="fr-FR"/>
        </w:rPr>
        <w:t>que le nouvel alinéa </w:t>
      </w:r>
      <w:r w:rsidRPr="00616D89">
        <w:rPr>
          <w:rStyle w:val="FootnoteReference"/>
          <w:vertAlign w:val="baseline"/>
          <w:lang w:val="fr-FR"/>
        </w:rPr>
        <w:t xml:space="preserve">3) </w:t>
      </w:r>
      <w:r w:rsidR="00747610">
        <w:rPr>
          <w:rStyle w:val="FootnoteReference"/>
          <w:vertAlign w:val="baseline"/>
          <w:lang w:val="fr-FR"/>
        </w:rPr>
        <w:t xml:space="preserve">de la règle 5 </w:t>
      </w:r>
      <w:r w:rsidR="00A4276B" w:rsidRPr="00616D89">
        <w:rPr>
          <w:rStyle w:val="FootnoteReference"/>
          <w:vertAlign w:val="baseline"/>
          <w:lang w:val="fr-FR"/>
        </w:rPr>
        <w:t>(</w:t>
      </w:r>
      <w:r w:rsidR="00747610">
        <w:rPr>
          <w:rStyle w:val="FootnoteReference"/>
          <w:vertAlign w:val="baseline"/>
          <w:lang w:val="fr-FR"/>
        </w:rPr>
        <w:t>voir l</w:t>
      </w:r>
      <w:r w:rsidR="00E958B2">
        <w:rPr>
          <w:rStyle w:val="FootnoteReference"/>
          <w:vertAlign w:val="baseline"/>
          <w:lang w:val="fr-FR"/>
        </w:rPr>
        <w:t>’</w:t>
      </w:r>
      <w:r w:rsidR="00747610">
        <w:rPr>
          <w:rStyle w:val="FootnoteReference"/>
          <w:vertAlign w:val="baseline"/>
          <w:lang w:val="fr-FR"/>
        </w:rPr>
        <w:t xml:space="preserve">avis </w:t>
      </w:r>
      <w:r w:rsidR="003855BD">
        <w:rPr>
          <w:rStyle w:val="FootnoteReference"/>
          <w:vertAlign w:val="baseline"/>
          <w:lang w:val="fr-FR"/>
        </w:rPr>
        <w:t>n</w:t>
      </w:r>
      <w:r w:rsidR="009A49B7" w:rsidRPr="009A49B7">
        <w:rPr>
          <w:rStyle w:val="FootnoteReference"/>
          <w:lang w:val="fr-FR"/>
        </w:rPr>
        <w:t>o</w:t>
      </w:r>
      <w:r w:rsidR="00747610">
        <w:rPr>
          <w:rStyle w:val="FootnoteReference"/>
          <w:vertAlign w:val="baseline"/>
          <w:lang w:val="fr-FR"/>
        </w:rPr>
        <w:t> </w:t>
      </w:r>
      <w:r w:rsidRPr="00616D89">
        <w:rPr>
          <w:rStyle w:val="FootnoteReference"/>
          <w:vertAlign w:val="baseline"/>
          <w:lang w:val="fr-FR"/>
        </w:rPr>
        <w:t>17/2016</w:t>
      </w:r>
      <w:r w:rsidR="00747610">
        <w:rPr>
          <w:lang w:val="fr-FR"/>
        </w:rPr>
        <w:t xml:space="preserve"> concernant le système de Madrid</w:t>
      </w:r>
      <w:r w:rsidRPr="00616D89">
        <w:rPr>
          <w:rStyle w:val="FootnoteReference"/>
          <w:vertAlign w:val="baseline"/>
          <w:lang w:val="fr-FR"/>
        </w:rPr>
        <w:t>).</w:t>
      </w:r>
    </w:p>
  </w:footnote>
  <w:footnote w:id="3">
    <w:p w:rsidR="00F60D96" w:rsidRPr="00616D89" w:rsidRDefault="00F60D96" w:rsidP="00F35BCC">
      <w:pPr>
        <w:pStyle w:val="FootnoteText"/>
        <w:rPr>
          <w:rStyle w:val="FootnoteReference"/>
          <w:vertAlign w:val="baseline"/>
          <w:lang w:val="fr-FR"/>
        </w:rPr>
      </w:pPr>
      <w:r w:rsidRPr="00616D89">
        <w:rPr>
          <w:rStyle w:val="FootnoteReference"/>
          <w:lang w:val="fr-FR"/>
        </w:rPr>
        <w:footnoteRef/>
      </w:r>
      <w:r w:rsidR="00E2173D" w:rsidRPr="00616D89">
        <w:rPr>
          <w:lang w:val="fr-FR"/>
        </w:rPr>
        <w:tab/>
      </w:r>
      <w:r w:rsidR="00295115">
        <w:rPr>
          <w:lang w:val="fr-FR"/>
        </w:rPr>
        <w:t>Ce délai est conforme à celui prévu à la règle </w:t>
      </w:r>
      <w:r w:rsidRPr="00616D89">
        <w:rPr>
          <w:rStyle w:val="FootnoteReference"/>
          <w:vertAlign w:val="baseline"/>
          <w:lang w:val="fr-FR"/>
        </w:rPr>
        <w:t>5</w:t>
      </w:r>
      <w:r w:rsidR="00295115">
        <w:rPr>
          <w:rStyle w:val="FootnoteReference"/>
          <w:vertAlign w:val="baseline"/>
          <w:lang w:val="fr-FR"/>
        </w:rPr>
        <w:t>.</w:t>
      </w:r>
      <w:r w:rsidRPr="00616D89">
        <w:rPr>
          <w:rStyle w:val="FootnoteReference"/>
          <w:vertAlign w:val="baseline"/>
          <w:lang w:val="fr-FR"/>
        </w:rPr>
        <w:t xml:space="preserve">4) </w:t>
      </w:r>
      <w:r w:rsidR="00295115">
        <w:rPr>
          <w:rStyle w:val="FootnoteReference"/>
          <w:vertAlign w:val="baseline"/>
          <w:lang w:val="fr-FR"/>
        </w:rPr>
        <w:t xml:space="preserve">du règlement </w:t>
      </w:r>
      <w:r w:rsidR="00295115" w:rsidRPr="00295115">
        <w:rPr>
          <w:rStyle w:val="FootnoteReference"/>
          <w:vertAlign w:val="baseline"/>
          <w:lang w:val="fr-FR"/>
        </w:rPr>
        <w:t>d</w:t>
      </w:r>
      <w:r w:rsidR="00E958B2">
        <w:rPr>
          <w:rStyle w:val="FootnoteReference"/>
          <w:vertAlign w:val="baseline"/>
          <w:lang w:val="fr-FR"/>
        </w:rPr>
        <w:t>’</w:t>
      </w:r>
      <w:r w:rsidR="00295115" w:rsidRPr="00295115">
        <w:rPr>
          <w:rStyle w:val="FootnoteReference"/>
          <w:vertAlign w:val="baseline"/>
          <w:lang w:val="fr-FR"/>
        </w:rPr>
        <w:t>exécution commun à l</w:t>
      </w:r>
      <w:r w:rsidR="00E958B2">
        <w:rPr>
          <w:rStyle w:val="FootnoteReference"/>
          <w:vertAlign w:val="baseline"/>
          <w:lang w:val="fr-FR"/>
        </w:rPr>
        <w:t>’</w:t>
      </w:r>
      <w:r w:rsidR="00295115" w:rsidRPr="00295115">
        <w:rPr>
          <w:rStyle w:val="FootnoteReference"/>
          <w:vertAlign w:val="baseline"/>
          <w:lang w:val="fr-FR"/>
        </w:rPr>
        <w:t>Arrangement de</w:t>
      </w:r>
      <w:r w:rsidR="00527946">
        <w:rPr>
          <w:rStyle w:val="FootnoteReference"/>
          <w:vertAlign w:val="baseline"/>
          <w:lang w:val="fr-FR"/>
        </w:rPr>
        <w:t> </w:t>
      </w:r>
      <w:r w:rsidR="00295115" w:rsidRPr="00295115">
        <w:rPr>
          <w:rStyle w:val="FootnoteReference"/>
          <w:vertAlign w:val="baseline"/>
          <w:lang w:val="fr-FR"/>
        </w:rPr>
        <w:t>Madrid et au Protocole y relatif</w:t>
      </w:r>
      <w:r w:rsidRPr="00616D89">
        <w:rPr>
          <w:rStyle w:val="FootnoteReference"/>
          <w:vertAlign w:val="baseline"/>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6A9" w:rsidRDefault="00E566A9" w:rsidP="00E566A9">
    <w:pPr>
      <w:pStyle w:val="Header"/>
      <w:jc w:val="right"/>
    </w:pPr>
    <w:proofErr w:type="gramStart"/>
    <w:r>
      <w:t>page</w:t>
    </w:r>
    <w:proofErr w:type="gramEnd"/>
    <w:r>
      <w:t xml:space="preserve"> 2</w:t>
    </w:r>
  </w:p>
  <w:p w:rsidR="00E566A9" w:rsidRDefault="00E566A9" w:rsidP="00E566A9">
    <w:pPr>
      <w:pStyle w:val="Header"/>
      <w:jc w:val="right"/>
    </w:pPr>
  </w:p>
  <w:p w:rsidR="00E566A9" w:rsidRDefault="00E566A9" w:rsidP="00E566A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499" w:rsidRDefault="006A2499" w:rsidP="006A2499">
    <w:pPr>
      <w:pStyle w:val="Header"/>
      <w:jc w:val="right"/>
    </w:pPr>
    <w:r>
      <w:t>ANNEX</w:t>
    </w:r>
    <w:r w:rsidR="00B67383">
      <w:t>E</w:t>
    </w:r>
  </w:p>
  <w:p w:rsidR="006A2499" w:rsidRDefault="006A2499" w:rsidP="006A2499">
    <w:pPr>
      <w:pStyle w:val="Header"/>
      <w:jc w:val="right"/>
    </w:pPr>
  </w:p>
  <w:p w:rsidR="006A2499" w:rsidRDefault="006A2499" w:rsidP="006A249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02D0"/>
    <w:rsid w:val="000123A6"/>
    <w:rsid w:val="00012C9D"/>
    <w:rsid w:val="0002095F"/>
    <w:rsid w:val="00022521"/>
    <w:rsid w:val="00027B79"/>
    <w:rsid w:val="00032516"/>
    <w:rsid w:val="0003763C"/>
    <w:rsid w:val="00043313"/>
    <w:rsid w:val="00043CAA"/>
    <w:rsid w:val="00044267"/>
    <w:rsid w:val="00046014"/>
    <w:rsid w:val="00050D24"/>
    <w:rsid w:val="00054671"/>
    <w:rsid w:val="00060BB1"/>
    <w:rsid w:val="00062496"/>
    <w:rsid w:val="000728FF"/>
    <w:rsid w:val="00073F34"/>
    <w:rsid w:val="0007453B"/>
    <w:rsid w:val="00075432"/>
    <w:rsid w:val="000777A0"/>
    <w:rsid w:val="00091897"/>
    <w:rsid w:val="00093F9B"/>
    <w:rsid w:val="000968ED"/>
    <w:rsid w:val="000A0FF5"/>
    <w:rsid w:val="000A525D"/>
    <w:rsid w:val="000B6BEB"/>
    <w:rsid w:val="000D0F06"/>
    <w:rsid w:val="000D3921"/>
    <w:rsid w:val="000D4623"/>
    <w:rsid w:val="000F3931"/>
    <w:rsid w:val="000F5E56"/>
    <w:rsid w:val="000F7C50"/>
    <w:rsid w:val="00110A0A"/>
    <w:rsid w:val="001207CE"/>
    <w:rsid w:val="00125976"/>
    <w:rsid w:val="001262BF"/>
    <w:rsid w:val="001272E3"/>
    <w:rsid w:val="00131BD8"/>
    <w:rsid w:val="00133F53"/>
    <w:rsid w:val="001362EE"/>
    <w:rsid w:val="00136E2F"/>
    <w:rsid w:val="0014531F"/>
    <w:rsid w:val="0015037D"/>
    <w:rsid w:val="00150F3B"/>
    <w:rsid w:val="00157C52"/>
    <w:rsid w:val="00165217"/>
    <w:rsid w:val="00166299"/>
    <w:rsid w:val="00175970"/>
    <w:rsid w:val="001832A6"/>
    <w:rsid w:val="00185E31"/>
    <w:rsid w:val="00186DE1"/>
    <w:rsid w:val="001961E1"/>
    <w:rsid w:val="001B35EF"/>
    <w:rsid w:val="001B51AA"/>
    <w:rsid w:val="001B62BE"/>
    <w:rsid w:val="001C2D7E"/>
    <w:rsid w:val="001C70A3"/>
    <w:rsid w:val="001D4F09"/>
    <w:rsid w:val="001E3850"/>
    <w:rsid w:val="001F1B95"/>
    <w:rsid w:val="001F3108"/>
    <w:rsid w:val="001F717F"/>
    <w:rsid w:val="001F7228"/>
    <w:rsid w:val="00201AFE"/>
    <w:rsid w:val="002050FD"/>
    <w:rsid w:val="0020551F"/>
    <w:rsid w:val="00206EB9"/>
    <w:rsid w:val="00212F2F"/>
    <w:rsid w:val="00221C5D"/>
    <w:rsid w:val="0022493E"/>
    <w:rsid w:val="0022794E"/>
    <w:rsid w:val="00231906"/>
    <w:rsid w:val="002461F7"/>
    <w:rsid w:val="00251552"/>
    <w:rsid w:val="00251890"/>
    <w:rsid w:val="0025278E"/>
    <w:rsid w:val="002539D3"/>
    <w:rsid w:val="00255819"/>
    <w:rsid w:val="002561B3"/>
    <w:rsid w:val="00257BF9"/>
    <w:rsid w:val="002634C4"/>
    <w:rsid w:val="00266029"/>
    <w:rsid w:val="00267FBD"/>
    <w:rsid w:val="00274D83"/>
    <w:rsid w:val="00277876"/>
    <w:rsid w:val="00280F5A"/>
    <w:rsid w:val="002913F3"/>
    <w:rsid w:val="002928D3"/>
    <w:rsid w:val="00295115"/>
    <w:rsid w:val="002A2E4F"/>
    <w:rsid w:val="002A513E"/>
    <w:rsid w:val="002B5373"/>
    <w:rsid w:val="002C1554"/>
    <w:rsid w:val="002C38D8"/>
    <w:rsid w:val="002C4107"/>
    <w:rsid w:val="002C5843"/>
    <w:rsid w:val="002E0360"/>
    <w:rsid w:val="002F1FE6"/>
    <w:rsid w:val="002F4E68"/>
    <w:rsid w:val="0030062F"/>
    <w:rsid w:val="00303961"/>
    <w:rsid w:val="00303F7F"/>
    <w:rsid w:val="003118DD"/>
    <w:rsid w:val="00312F7F"/>
    <w:rsid w:val="00317670"/>
    <w:rsid w:val="00324AF4"/>
    <w:rsid w:val="00326388"/>
    <w:rsid w:val="003331D4"/>
    <w:rsid w:val="003337E3"/>
    <w:rsid w:val="00335EC1"/>
    <w:rsid w:val="00337EE3"/>
    <w:rsid w:val="00347330"/>
    <w:rsid w:val="00357985"/>
    <w:rsid w:val="00361450"/>
    <w:rsid w:val="003673CF"/>
    <w:rsid w:val="00375BD5"/>
    <w:rsid w:val="00383EC2"/>
    <w:rsid w:val="003845C1"/>
    <w:rsid w:val="00385553"/>
    <w:rsid w:val="003855BD"/>
    <w:rsid w:val="003A1B61"/>
    <w:rsid w:val="003A6F89"/>
    <w:rsid w:val="003B38C1"/>
    <w:rsid w:val="003B3DAE"/>
    <w:rsid w:val="003C2B2C"/>
    <w:rsid w:val="003E017B"/>
    <w:rsid w:val="003E0D9F"/>
    <w:rsid w:val="003E4787"/>
    <w:rsid w:val="003F07FF"/>
    <w:rsid w:val="004052E1"/>
    <w:rsid w:val="00411FB2"/>
    <w:rsid w:val="004124AF"/>
    <w:rsid w:val="004214C8"/>
    <w:rsid w:val="00423E3E"/>
    <w:rsid w:val="00427AF4"/>
    <w:rsid w:val="00433EAE"/>
    <w:rsid w:val="004376B8"/>
    <w:rsid w:val="00454ED3"/>
    <w:rsid w:val="004630B4"/>
    <w:rsid w:val="004647DA"/>
    <w:rsid w:val="004661D4"/>
    <w:rsid w:val="0047006A"/>
    <w:rsid w:val="00474062"/>
    <w:rsid w:val="00474ABF"/>
    <w:rsid w:val="00477D6B"/>
    <w:rsid w:val="00481126"/>
    <w:rsid w:val="00492BD2"/>
    <w:rsid w:val="004936FC"/>
    <w:rsid w:val="004947C5"/>
    <w:rsid w:val="00494E4A"/>
    <w:rsid w:val="004A640C"/>
    <w:rsid w:val="004B0093"/>
    <w:rsid w:val="004B336C"/>
    <w:rsid w:val="004B33D3"/>
    <w:rsid w:val="004D47CD"/>
    <w:rsid w:val="004E08AF"/>
    <w:rsid w:val="004E2931"/>
    <w:rsid w:val="004E2E8B"/>
    <w:rsid w:val="004E3026"/>
    <w:rsid w:val="004E7B42"/>
    <w:rsid w:val="004E7BAD"/>
    <w:rsid w:val="004F5A30"/>
    <w:rsid w:val="005019FF"/>
    <w:rsid w:val="005117AA"/>
    <w:rsid w:val="005243B1"/>
    <w:rsid w:val="00527946"/>
    <w:rsid w:val="0053057A"/>
    <w:rsid w:val="00546473"/>
    <w:rsid w:val="00546A94"/>
    <w:rsid w:val="00560A29"/>
    <w:rsid w:val="00580F7A"/>
    <w:rsid w:val="005868B8"/>
    <w:rsid w:val="005926D6"/>
    <w:rsid w:val="00592F15"/>
    <w:rsid w:val="0059496E"/>
    <w:rsid w:val="005A27C7"/>
    <w:rsid w:val="005A2E4E"/>
    <w:rsid w:val="005A4466"/>
    <w:rsid w:val="005A78E1"/>
    <w:rsid w:val="005C6649"/>
    <w:rsid w:val="005C79F2"/>
    <w:rsid w:val="005D4608"/>
    <w:rsid w:val="005D6DD3"/>
    <w:rsid w:val="005E7E16"/>
    <w:rsid w:val="005F0F41"/>
    <w:rsid w:val="005F2F3B"/>
    <w:rsid w:val="005F4AAF"/>
    <w:rsid w:val="00605827"/>
    <w:rsid w:val="006062A2"/>
    <w:rsid w:val="00616D89"/>
    <w:rsid w:val="00621957"/>
    <w:rsid w:val="006223DB"/>
    <w:rsid w:val="00624B95"/>
    <w:rsid w:val="00631908"/>
    <w:rsid w:val="00635AFA"/>
    <w:rsid w:val="006406B6"/>
    <w:rsid w:val="00644AA2"/>
    <w:rsid w:val="00646050"/>
    <w:rsid w:val="00647268"/>
    <w:rsid w:val="00647B0C"/>
    <w:rsid w:val="006536A3"/>
    <w:rsid w:val="00654AE9"/>
    <w:rsid w:val="006604BE"/>
    <w:rsid w:val="00660AD7"/>
    <w:rsid w:val="00661FA3"/>
    <w:rsid w:val="006659A7"/>
    <w:rsid w:val="006713CA"/>
    <w:rsid w:val="00674ABA"/>
    <w:rsid w:val="00676C5C"/>
    <w:rsid w:val="00691D5D"/>
    <w:rsid w:val="0069270A"/>
    <w:rsid w:val="006A0C24"/>
    <w:rsid w:val="006A2499"/>
    <w:rsid w:val="006B15AF"/>
    <w:rsid w:val="006C3947"/>
    <w:rsid w:val="006D4172"/>
    <w:rsid w:val="006D6544"/>
    <w:rsid w:val="006E3324"/>
    <w:rsid w:val="006F0A44"/>
    <w:rsid w:val="006F1C3F"/>
    <w:rsid w:val="006F52C6"/>
    <w:rsid w:val="00702C36"/>
    <w:rsid w:val="007063B6"/>
    <w:rsid w:val="007077A9"/>
    <w:rsid w:val="007106C3"/>
    <w:rsid w:val="00727C64"/>
    <w:rsid w:val="007315CB"/>
    <w:rsid w:val="007330D6"/>
    <w:rsid w:val="00742210"/>
    <w:rsid w:val="007470B2"/>
    <w:rsid w:val="00747610"/>
    <w:rsid w:val="00750040"/>
    <w:rsid w:val="00751005"/>
    <w:rsid w:val="00767C4D"/>
    <w:rsid w:val="00773CE3"/>
    <w:rsid w:val="00775EBD"/>
    <w:rsid w:val="007771D3"/>
    <w:rsid w:val="00777B67"/>
    <w:rsid w:val="00780B9B"/>
    <w:rsid w:val="00790A94"/>
    <w:rsid w:val="007919C3"/>
    <w:rsid w:val="007B06CA"/>
    <w:rsid w:val="007B7EEC"/>
    <w:rsid w:val="007B7F73"/>
    <w:rsid w:val="007C26AB"/>
    <w:rsid w:val="007C3E9B"/>
    <w:rsid w:val="007C79D7"/>
    <w:rsid w:val="007D03D1"/>
    <w:rsid w:val="007D1613"/>
    <w:rsid w:val="007D250A"/>
    <w:rsid w:val="007D290D"/>
    <w:rsid w:val="007D4555"/>
    <w:rsid w:val="007F4D09"/>
    <w:rsid w:val="00804EC4"/>
    <w:rsid w:val="00815479"/>
    <w:rsid w:val="008167CA"/>
    <w:rsid w:val="00824E57"/>
    <w:rsid w:val="00833C29"/>
    <w:rsid w:val="00854071"/>
    <w:rsid w:val="00854E32"/>
    <w:rsid w:val="00861036"/>
    <w:rsid w:val="00862599"/>
    <w:rsid w:val="00864E5E"/>
    <w:rsid w:val="0087085D"/>
    <w:rsid w:val="00874ADA"/>
    <w:rsid w:val="00876A3C"/>
    <w:rsid w:val="00881AD0"/>
    <w:rsid w:val="00885472"/>
    <w:rsid w:val="00885618"/>
    <w:rsid w:val="0089033E"/>
    <w:rsid w:val="008948BE"/>
    <w:rsid w:val="00895C02"/>
    <w:rsid w:val="00895C10"/>
    <w:rsid w:val="008977D0"/>
    <w:rsid w:val="008A6724"/>
    <w:rsid w:val="008A7CDA"/>
    <w:rsid w:val="008B2141"/>
    <w:rsid w:val="008B2CC1"/>
    <w:rsid w:val="008B60B2"/>
    <w:rsid w:val="008B6115"/>
    <w:rsid w:val="008C10FD"/>
    <w:rsid w:val="008C2D2F"/>
    <w:rsid w:val="008C2FE6"/>
    <w:rsid w:val="008C67A6"/>
    <w:rsid w:val="008C67B2"/>
    <w:rsid w:val="008E15D6"/>
    <w:rsid w:val="008F1F70"/>
    <w:rsid w:val="008F7686"/>
    <w:rsid w:val="008F7963"/>
    <w:rsid w:val="00906353"/>
    <w:rsid w:val="0090731E"/>
    <w:rsid w:val="009168A2"/>
    <w:rsid w:val="00916EE2"/>
    <w:rsid w:val="00922789"/>
    <w:rsid w:val="00923F21"/>
    <w:rsid w:val="0093216E"/>
    <w:rsid w:val="00932C0F"/>
    <w:rsid w:val="009378BE"/>
    <w:rsid w:val="00940793"/>
    <w:rsid w:val="0094644F"/>
    <w:rsid w:val="0094735D"/>
    <w:rsid w:val="00957988"/>
    <w:rsid w:val="00957A59"/>
    <w:rsid w:val="00966A22"/>
    <w:rsid w:val="0096722F"/>
    <w:rsid w:val="00974827"/>
    <w:rsid w:val="00976144"/>
    <w:rsid w:val="00980843"/>
    <w:rsid w:val="00997AAD"/>
    <w:rsid w:val="009A3066"/>
    <w:rsid w:val="009A49B7"/>
    <w:rsid w:val="009A4B5F"/>
    <w:rsid w:val="009A5891"/>
    <w:rsid w:val="009A591F"/>
    <w:rsid w:val="009A6B34"/>
    <w:rsid w:val="009C0C04"/>
    <w:rsid w:val="009C50B6"/>
    <w:rsid w:val="009E152C"/>
    <w:rsid w:val="009E2791"/>
    <w:rsid w:val="009E3F6F"/>
    <w:rsid w:val="009E5F9F"/>
    <w:rsid w:val="009F0611"/>
    <w:rsid w:val="009F2A14"/>
    <w:rsid w:val="009F4153"/>
    <w:rsid w:val="009F499F"/>
    <w:rsid w:val="00A024BB"/>
    <w:rsid w:val="00A03166"/>
    <w:rsid w:val="00A053CB"/>
    <w:rsid w:val="00A131ED"/>
    <w:rsid w:val="00A1336B"/>
    <w:rsid w:val="00A1504E"/>
    <w:rsid w:val="00A21684"/>
    <w:rsid w:val="00A25430"/>
    <w:rsid w:val="00A26A24"/>
    <w:rsid w:val="00A353ED"/>
    <w:rsid w:val="00A360AA"/>
    <w:rsid w:val="00A42230"/>
    <w:rsid w:val="00A4276B"/>
    <w:rsid w:val="00A42DAF"/>
    <w:rsid w:val="00A45BD8"/>
    <w:rsid w:val="00A468E2"/>
    <w:rsid w:val="00A47F15"/>
    <w:rsid w:val="00A53E19"/>
    <w:rsid w:val="00A65D9F"/>
    <w:rsid w:val="00A6712A"/>
    <w:rsid w:val="00A73224"/>
    <w:rsid w:val="00A7792E"/>
    <w:rsid w:val="00A80E06"/>
    <w:rsid w:val="00A869B7"/>
    <w:rsid w:val="00A97423"/>
    <w:rsid w:val="00AA1EEF"/>
    <w:rsid w:val="00AB73F9"/>
    <w:rsid w:val="00AC205C"/>
    <w:rsid w:val="00AC2F5B"/>
    <w:rsid w:val="00AD38EE"/>
    <w:rsid w:val="00AE69DE"/>
    <w:rsid w:val="00AF0A6B"/>
    <w:rsid w:val="00AF49FC"/>
    <w:rsid w:val="00AF4AC9"/>
    <w:rsid w:val="00AF5108"/>
    <w:rsid w:val="00B05A69"/>
    <w:rsid w:val="00B21387"/>
    <w:rsid w:val="00B2247B"/>
    <w:rsid w:val="00B369A9"/>
    <w:rsid w:val="00B43D6F"/>
    <w:rsid w:val="00B4549C"/>
    <w:rsid w:val="00B46D7E"/>
    <w:rsid w:val="00B54D7D"/>
    <w:rsid w:val="00B55CFB"/>
    <w:rsid w:val="00B579A3"/>
    <w:rsid w:val="00B65F23"/>
    <w:rsid w:val="00B67383"/>
    <w:rsid w:val="00B764C0"/>
    <w:rsid w:val="00B8152B"/>
    <w:rsid w:val="00B83157"/>
    <w:rsid w:val="00B91056"/>
    <w:rsid w:val="00B94E9A"/>
    <w:rsid w:val="00B9734B"/>
    <w:rsid w:val="00B97A85"/>
    <w:rsid w:val="00BA59F8"/>
    <w:rsid w:val="00BA63F6"/>
    <w:rsid w:val="00BA6DE5"/>
    <w:rsid w:val="00BB08D3"/>
    <w:rsid w:val="00BB16A3"/>
    <w:rsid w:val="00BB2321"/>
    <w:rsid w:val="00BB30F3"/>
    <w:rsid w:val="00BB4419"/>
    <w:rsid w:val="00BB78C7"/>
    <w:rsid w:val="00BC04DE"/>
    <w:rsid w:val="00BE2AA1"/>
    <w:rsid w:val="00BE4C18"/>
    <w:rsid w:val="00BE55D6"/>
    <w:rsid w:val="00BE5857"/>
    <w:rsid w:val="00C014CE"/>
    <w:rsid w:val="00C11BFE"/>
    <w:rsid w:val="00C21D7B"/>
    <w:rsid w:val="00C36AA2"/>
    <w:rsid w:val="00C36B89"/>
    <w:rsid w:val="00C42DBE"/>
    <w:rsid w:val="00C432C7"/>
    <w:rsid w:val="00C45642"/>
    <w:rsid w:val="00C47421"/>
    <w:rsid w:val="00C556FE"/>
    <w:rsid w:val="00C613D5"/>
    <w:rsid w:val="00C63C1C"/>
    <w:rsid w:val="00C6430D"/>
    <w:rsid w:val="00C80362"/>
    <w:rsid w:val="00C83B93"/>
    <w:rsid w:val="00C8462A"/>
    <w:rsid w:val="00C8495B"/>
    <w:rsid w:val="00C90CF7"/>
    <w:rsid w:val="00C977DB"/>
    <w:rsid w:val="00CB132F"/>
    <w:rsid w:val="00CB4916"/>
    <w:rsid w:val="00CC5016"/>
    <w:rsid w:val="00CE0A51"/>
    <w:rsid w:val="00CE0F4D"/>
    <w:rsid w:val="00CE6390"/>
    <w:rsid w:val="00CF40C4"/>
    <w:rsid w:val="00CF4536"/>
    <w:rsid w:val="00CF45C1"/>
    <w:rsid w:val="00D07763"/>
    <w:rsid w:val="00D22BD4"/>
    <w:rsid w:val="00D30CC7"/>
    <w:rsid w:val="00D31C2F"/>
    <w:rsid w:val="00D36664"/>
    <w:rsid w:val="00D40A98"/>
    <w:rsid w:val="00D424EC"/>
    <w:rsid w:val="00D45252"/>
    <w:rsid w:val="00D47423"/>
    <w:rsid w:val="00D57F87"/>
    <w:rsid w:val="00D57F90"/>
    <w:rsid w:val="00D70F71"/>
    <w:rsid w:val="00D70FF3"/>
    <w:rsid w:val="00D71B4D"/>
    <w:rsid w:val="00D76C3A"/>
    <w:rsid w:val="00D76F38"/>
    <w:rsid w:val="00D81135"/>
    <w:rsid w:val="00D826DA"/>
    <w:rsid w:val="00D847BE"/>
    <w:rsid w:val="00D90EE5"/>
    <w:rsid w:val="00D924DB"/>
    <w:rsid w:val="00D93D55"/>
    <w:rsid w:val="00D952AD"/>
    <w:rsid w:val="00DB42CB"/>
    <w:rsid w:val="00DC3E50"/>
    <w:rsid w:val="00DD076F"/>
    <w:rsid w:val="00DD2EB5"/>
    <w:rsid w:val="00DE693E"/>
    <w:rsid w:val="00E2173D"/>
    <w:rsid w:val="00E23CCD"/>
    <w:rsid w:val="00E24971"/>
    <w:rsid w:val="00E24CA1"/>
    <w:rsid w:val="00E335FE"/>
    <w:rsid w:val="00E336F3"/>
    <w:rsid w:val="00E357A9"/>
    <w:rsid w:val="00E37A71"/>
    <w:rsid w:val="00E42B9A"/>
    <w:rsid w:val="00E43CF1"/>
    <w:rsid w:val="00E45DF9"/>
    <w:rsid w:val="00E532DC"/>
    <w:rsid w:val="00E566A9"/>
    <w:rsid w:val="00E66C2C"/>
    <w:rsid w:val="00E70358"/>
    <w:rsid w:val="00E724BB"/>
    <w:rsid w:val="00E74803"/>
    <w:rsid w:val="00E804B6"/>
    <w:rsid w:val="00E87622"/>
    <w:rsid w:val="00E87F26"/>
    <w:rsid w:val="00E941FF"/>
    <w:rsid w:val="00E958B2"/>
    <w:rsid w:val="00EB333E"/>
    <w:rsid w:val="00EC23FC"/>
    <w:rsid w:val="00EC4E49"/>
    <w:rsid w:val="00ED38E9"/>
    <w:rsid w:val="00ED4C4F"/>
    <w:rsid w:val="00ED77FB"/>
    <w:rsid w:val="00EE28AC"/>
    <w:rsid w:val="00EE45FA"/>
    <w:rsid w:val="00EE5748"/>
    <w:rsid w:val="00EF0146"/>
    <w:rsid w:val="00F0720F"/>
    <w:rsid w:val="00F07EF8"/>
    <w:rsid w:val="00F201C4"/>
    <w:rsid w:val="00F32ABD"/>
    <w:rsid w:val="00F35BCC"/>
    <w:rsid w:val="00F47560"/>
    <w:rsid w:val="00F53D2E"/>
    <w:rsid w:val="00F56536"/>
    <w:rsid w:val="00F60D96"/>
    <w:rsid w:val="00F66152"/>
    <w:rsid w:val="00F70B3B"/>
    <w:rsid w:val="00F7721F"/>
    <w:rsid w:val="00F90588"/>
    <w:rsid w:val="00FA156A"/>
    <w:rsid w:val="00FA6028"/>
    <w:rsid w:val="00FC1F36"/>
    <w:rsid w:val="00FC3D36"/>
    <w:rsid w:val="00FC4C8A"/>
    <w:rsid w:val="00FC5A27"/>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uiPriority w:val="99"/>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val="en-US" w:eastAsia="ja-JP"/>
    </w:rPr>
  </w:style>
  <w:style w:type="character" w:styleId="EndnoteReference">
    <w:name w:val="endnote reference"/>
    <w:rsid w:val="005C79F2"/>
    <w:rPr>
      <w:vertAlign w:val="superscript"/>
    </w:rPr>
  </w:style>
  <w:style w:type="character" w:customStyle="1" w:styleId="FootnoteTextChar">
    <w:name w:val="Footnote Text Char"/>
    <w:link w:val="FootnoteText"/>
    <w:uiPriority w:val="99"/>
    <w:rsid w:val="00F60D96"/>
    <w:rPr>
      <w:rFonts w:ascii="Arial" w:eastAsia="SimSun" w:hAnsi="Arial" w:cs="Arial"/>
      <w:sz w:val="18"/>
      <w:lang w:eastAsia="zh-CN"/>
    </w:rPr>
  </w:style>
  <w:style w:type="character" w:styleId="CommentReference">
    <w:name w:val="annotation reference"/>
    <w:rsid w:val="00F60D96"/>
    <w:rPr>
      <w:sz w:val="16"/>
      <w:szCs w:val="16"/>
    </w:rPr>
  </w:style>
  <w:style w:type="character" w:customStyle="1" w:styleId="CommentTextChar">
    <w:name w:val="Comment Text Char"/>
    <w:link w:val="CommentText"/>
    <w:semiHidden/>
    <w:rsid w:val="00F60D96"/>
    <w:rPr>
      <w:rFonts w:ascii="Arial" w:eastAsia="SimSun" w:hAnsi="Arial" w:cs="Arial"/>
      <w:sz w:val="18"/>
      <w:lang w:eastAsia="zh-CN"/>
    </w:rPr>
  </w:style>
  <w:style w:type="character" w:styleId="FollowedHyperlink">
    <w:name w:val="FollowedHyperlink"/>
    <w:rsid w:val="00A4276B"/>
    <w:rPr>
      <w:color w:val="800080"/>
      <w:u w:val="single"/>
    </w:rPr>
  </w:style>
  <w:style w:type="paragraph" w:customStyle="1" w:styleId="indent1">
    <w:name w:val="indent_1"/>
    <w:basedOn w:val="Normal"/>
    <w:rsid w:val="006A2499"/>
    <w:pPr>
      <w:ind w:firstLine="567"/>
      <w:jc w:val="both"/>
    </w:pPr>
    <w:rPr>
      <w:rFonts w:ascii="Times New Roman" w:eastAsia="Times New Roman" w:hAnsi="Times New Roman" w:cs="Times New Roman"/>
      <w:sz w:val="28"/>
      <w:szCs w:val="28"/>
      <w:lang w:val="en-GB" w:eastAsia="ja-JP"/>
    </w:rPr>
  </w:style>
  <w:style w:type="paragraph" w:styleId="CommentSubject">
    <w:name w:val="annotation subject"/>
    <w:basedOn w:val="CommentText"/>
    <w:next w:val="CommentText"/>
    <w:link w:val="CommentSubjectChar"/>
    <w:rsid w:val="00751005"/>
    <w:rPr>
      <w:b/>
      <w:bCs/>
      <w:sz w:val="20"/>
    </w:rPr>
  </w:style>
  <w:style w:type="character" w:customStyle="1" w:styleId="CommentSubjectChar">
    <w:name w:val="Comment Subject Char"/>
    <w:link w:val="CommentSubject"/>
    <w:rsid w:val="00751005"/>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uiPriority w:val="99"/>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val="en-US" w:eastAsia="ja-JP"/>
    </w:rPr>
  </w:style>
  <w:style w:type="character" w:styleId="EndnoteReference">
    <w:name w:val="endnote reference"/>
    <w:rsid w:val="005C79F2"/>
    <w:rPr>
      <w:vertAlign w:val="superscript"/>
    </w:rPr>
  </w:style>
  <w:style w:type="character" w:customStyle="1" w:styleId="FootnoteTextChar">
    <w:name w:val="Footnote Text Char"/>
    <w:link w:val="FootnoteText"/>
    <w:uiPriority w:val="99"/>
    <w:rsid w:val="00F60D96"/>
    <w:rPr>
      <w:rFonts w:ascii="Arial" w:eastAsia="SimSun" w:hAnsi="Arial" w:cs="Arial"/>
      <w:sz w:val="18"/>
      <w:lang w:eastAsia="zh-CN"/>
    </w:rPr>
  </w:style>
  <w:style w:type="character" w:styleId="CommentReference">
    <w:name w:val="annotation reference"/>
    <w:rsid w:val="00F60D96"/>
    <w:rPr>
      <w:sz w:val="16"/>
      <w:szCs w:val="16"/>
    </w:rPr>
  </w:style>
  <w:style w:type="character" w:customStyle="1" w:styleId="CommentTextChar">
    <w:name w:val="Comment Text Char"/>
    <w:link w:val="CommentText"/>
    <w:semiHidden/>
    <w:rsid w:val="00F60D96"/>
    <w:rPr>
      <w:rFonts w:ascii="Arial" w:eastAsia="SimSun" w:hAnsi="Arial" w:cs="Arial"/>
      <w:sz w:val="18"/>
      <w:lang w:eastAsia="zh-CN"/>
    </w:rPr>
  </w:style>
  <w:style w:type="character" w:styleId="FollowedHyperlink">
    <w:name w:val="FollowedHyperlink"/>
    <w:rsid w:val="00A4276B"/>
    <w:rPr>
      <w:color w:val="800080"/>
      <w:u w:val="single"/>
    </w:rPr>
  </w:style>
  <w:style w:type="paragraph" w:customStyle="1" w:styleId="indent1">
    <w:name w:val="indent_1"/>
    <w:basedOn w:val="Normal"/>
    <w:rsid w:val="006A2499"/>
    <w:pPr>
      <w:ind w:firstLine="567"/>
      <w:jc w:val="both"/>
    </w:pPr>
    <w:rPr>
      <w:rFonts w:ascii="Times New Roman" w:eastAsia="Times New Roman" w:hAnsi="Times New Roman" w:cs="Times New Roman"/>
      <w:sz w:val="28"/>
      <w:szCs w:val="28"/>
      <w:lang w:val="en-GB" w:eastAsia="ja-JP"/>
    </w:rPr>
  </w:style>
  <w:style w:type="paragraph" w:styleId="CommentSubject">
    <w:name w:val="annotation subject"/>
    <w:basedOn w:val="CommentText"/>
    <w:next w:val="CommentText"/>
    <w:link w:val="CommentSubjectChar"/>
    <w:rsid w:val="00751005"/>
    <w:rPr>
      <w:b/>
      <w:bCs/>
      <w:sz w:val="20"/>
    </w:rPr>
  </w:style>
  <w:style w:type="character" w:customStyle="1" w:styleId="CommentSubjectChar">
    <w:name w:val="Comment Subject Char"/>
    <w:link w:val="CommentSubject"/>
    <w:rsid w:val="00751005"/>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hague/fr/h_ld_wg_5/h_ld_wg_5_2.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meetings/fr/doc_details.jsp?doc_id=34517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F530-861B-43A2-A1FC-EB6B97A1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6379</CharactersWithSpaces>
  <SharedDoc>false</SharedDoc>
  <HLinks>
    <vt:vector size="12" baseType="variant">
      <vt:variant>
        <vt:i4>3014746</vt:i4>
      </vt:variant>
      <vt:variant>
        <vt:i4>3</vt:i4>
      </vt:variant>
      <vt:variant>
        <vt:i4>0</vt:i4>
      </vt:variant>
      <vt:variant>
        <vt:i4>5</vt:i4>
      </vt:variant>
      <vt:variant>
        <vt:lpwstr>http://www.wipo.int/edocs/mdocs/hague/fr/h_ld_wg_5/h_ld_wg_5_2.pdf</vt:lpwstr>
      </vt:variant>
      <vt:variant>
        <vt:lpwstr/>
      </vt:variant>
      <vt:variant>
        <vt:i4>5832785</vt:i4>
      </vt:variant>
      <vt:variant>
        <vt:i4>0</vt:i4>
      </vt:variant>
      <vt:variant>
        <vt:i4>0</vt:i4>
      </vt:variant>
      <vt:variant>
        <vt:i4>5</vt:i4>
      </vt:variant>
      <vt:variant>
        <vt:lpwstr>http://www.wipo.int/meetings/fr/doc_details.jsp?doc_id=345176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DB/sc</cp:keywords>
  <cp:lastModifiedBy>MAILLARD Amber</cp:lastModifiedBy>
  <cp:revision>5</cp:revision>
  <cp:lastPrinted>2016-11-29T11:12:00Z</cp:lastPrinted>
  <dcterms:created xsi:type="dcterms:W3CDTF">2016-11-29T11:09:00Z</dcterms:created>
  <dcterms:modified xsi:type="dcterms:W3CDTF">2016-12-07T12:47:00Z</dcterms:modified>
</cp:coreProperties>
</file>