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tc>
          <w:tcPr>
            <w:tcW w:w="4513" w:type="dxa"/>
            <w:tcMar>
              <w:left w:w="0" w:type="dxa"/>
              <w:right w:w="0" w:type="dxa"/>
            </w:tcMar>
          </w:tcPr>
          <w:p w:rsidR="00A953E1" w:rsidRDefault="00A953E1"/>
        </w:tc>
        <w:tc>
          <w:tcPr>
            <w:tcW w:w="0" w:type="auto"/>
            <w:tcMar>
              <w:left w:w="0" w:type="dxa"/>
              <w:bottom w:w="142" w:type="dxa"/>
              <w:right w:w="0" w:type="dxa"/>
            </w:tcMar>
          </w:tcPr>
          <w:p w:rsidR="00A953E1" w:rsidRDefault="00C61873">
            <w:r>
              <w:rPr>
                <w:noProof/>
                <w:lang w:eastAsia="en-US"/>
              </w:rPr>
              <w:drawing>
                <wp:inline distT="0" distB="0" distL="0" distR="0">
                  <wp:extent cx="1858645" cy="132124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8645" cy="1321242"/>
                          </a:xfrm>
                          <a:prstGeom prst="rect">
                            <a:avLst/>
                          </a:prstGeom>
                          <a:noFill/>
                          <a:ln>
                            <a:noFill/>
                          </a:ln>
                        </pic:spPr>
                      </pic:pic>
                    </a:graphicData>
                  </a:graphic>
                </wp:inline>
              </w:drawing>
            </w:r>
          </w:p>
        </w:tc>
      </w:tr>
    </w:tbl>
    <w:p w:rsidR="001A287A" w:rsidRPr="00CF3119" w:rsidRDefault="001A287A" w:rsidP="001A287A">
      <w:pPr>
        <w:jc w:val="right"/>
        <w:rPr>
          <w:rFonts w:ascii="Arial Black" w:hAnsi="Arial Black"/>
          <w:sz w:val="15"/>
          <w:szCs w:val="15"/>
          <w:lang w:val="pt-BR"/>
        </w:rPr>
      </w:pPr>
    </w:p>
    <w:p w:rsidR="000F5E56" w:rsidRDefault="00A03AA2" w:rsidP="004475B6">
      <w:pPr>
        <w:jc w:val="right"/>
        <w:outlineLvl w:val="0"/>
      </w:pPr>
      <w:r>
        <w:rPr>
          <w:rFonts w:ascii="Arial Black" w:hAnsi="Arial Black"/>
          <w:sz w:val="15"/>
          <w:szCs w:val="15"/>
          <w:lang w:val="pt-BR"/>
        </w:rPr>
        <w:t>AVIS N</w:t>
      </w:r>
      <w:r w:rsidR="00AE31A7" w:rsidRPr="00AE31A7">
        <w:rPr>
          <w:rFonts w:ascii="Arial Black" w:hAnsi="Arial Black"/>
          <w:sz w:val="15"/>
          <w:szCs w:val="15"/>
          <w:vertAlign w:val="superscript"/>
          <w:lang w:val="pt-BR"/>
        </w:rPr>
        <w:t>O</w:t>
      </w:r>
      <w:r>
        <w:rPr>
          <w:rFonts w:ascii="Arial Black" w:hAnsi="Arial Black"/>
          <w:sz w:val="15"/>
          <w:szCs w:val="15"/>
          <w:lang w:val="pt-BR"/>
        </w:rPr>
        <w:t> </w:t>
      </w:r>
      <w:r w:rsidR="009D54AE">
        <w:rPr>
          <w:rFonts w:ascii="Arial Black" w:hAnsi="Arial Black"/>
          <w:sz w:val="15"/>
          <w:szCs w:val="15"/>
          <w:lang w:val="pt-BR"/>
        </w:rPr>
        <w:t>15</w:t>
      </w:r>
      <w:r w:rsidR="001A287A" w:rsidRPr="0023736B">
        <w:rPr>
          <w:rFonts w:ascii="Arial Black" w:hAnsi="Arial Black"/>
          <w:sz w:val="15"/>
          <w:szCs w:val="15"/>
          <w:lang w:val="pt-BR"/>
        </w:rPr>
        <w:t>/201</w:t>
      </w:r>
      <w:r w:rsidR="00C0191B" w:rsidRPr="0023736B">
        <w:rPr>
          <w:rFonts w:ascii="Arial Black" w:hAnsi="Arial Black"/>
          <w:sz w:val="15"/>
          <w:szCs w:val="15"/>
          <w:lang w:val="pt-BR"/>
        </w:rPr>
        <w:t>8</w:t>
      </w:r>
    </w:p>
    <w:p w:rsidR="00A03AA2" w:rsidRPr="00546451" w:rsidRDefault="00A03AA2" w:rsidP="00A03AA2">
      <w:pPr>
        <w:spacing w:before="1200" w:after="240"/>
        <w:rPr>
          <w:b/>
          <w:sz w:val="28"/>
          <w:szCs w:val="28"/>
          <w:lang w:val="fr-CH"/>
        </w:rPr>
      </w:pPr>
      <w:r w:rsidRPr="00546451">
        <w:rPr>
          <w:b/>
          <w:sz w:val="28"/>
          <w:szCs w:val="28"/>
          <w:lang w:val="fr-CH"/>
        </w:rPr>
        <w:t xml:space="preserve">Arrangement de </w:t>
      </w:r>
      <w:r>
        <w:rPr>
          <w:b/>
          <w:sz w:val="28"/>
          <w:szCs w:val="28"/>
          <w:lang w:val="fr-CH"/>
        </w:rPr>
        <w:t>La Haye</w:t>
      </w:r>
      <w:r w:rsidRPr="00546451">
        <w:rPr>
          <w:b/>
          <w:sz w:val="28"/>
          <w:szCs w:val="28"/>
          <w:lang w:val="fr-CH"/>
        </w:rPr>
        <w:t xml:space="preserve"> concernant l</w:t>
      </w:r>
      <w:r>
        <w:rPr>
          <w:b/>
          <w:sz w:val="28"/>
          <w:szCs w:val="28"/>
          <w:lang w:val="fr-CH"/>
        </w:rPr>
        <w:t>’</w:t>
      </w:r>
      <w:r w:rsidRPr="00546451">
        <w:rPr>
          <w:b/>
          <w:sz w:val="28"/>
          <w:szCs w:val="28"/>
          <w:lang w:val="fr-CH"/>
        </w:rPr>
        <w:t>enregistrement international des dessins et modèles industriels</w:t>
      </w:r>
    </w:p>
    <w:p w:rsidR="00A03AA2" w:rsidRPr="00546451" w:rsidRDefault="00A03AA2" w:rsidP="00AE31A7">
      <w:pPr>
        <w:spacing w:before="720" w:after="240"/>
        <w:rPr>
          <w:b/>
          <w:sz w:val="24"/>
          <w:szCs w:val="24"/>
          <w:lang w:val="fr-CH"/>
        </w:rPr>
      </w:pPr>
      <w:r>
        <w:rPr>
          <w:b/>
          <w:sz w:val="24"/>
          <w:szCs w:val="24"/>
          <w:lang w:val="fr-CH"/>
        </w:rPr>
        <w:t>Entrée en vigueur d</w:t>
      </w:r>
      <w:r w:rsidRPr="00546451">
        <w:rPr>
          <w:b/>
          <w:sz w:val="24"/>
          <w:szCs w:val="24"/>
          <w:lang w:val="fr-CH"/>
        </w:rPr>
        <w:t>e l</w:t>
      </w:r>
      <w:r>
        <w:rPr>
          <w:b/>
          <w:sz w:val="24"/>
          <w:szCs w:val="24"/>
          <w:lang w:val="fr-CH"/>
        </w:rPr>
        <w:t>’</w:t>
      </w:r>
      <w:r w:rsidRPr="00546451">
        <w:rPr>
          <w:b/>
          <w:sz w:val="24"/>
          <w:szCs w:val="24"/>
          <w:lang w:val="fr-CH"/>
        </w:rPr>
        <w:t>Acte de</w:t>
      </w:r>
      <w:r>
        <w:rPr>
          <w:b/>
          <w:sz w:val="24"/>
          <w:szCs w:val="24"/>
          <w:lang w:val="fr-CH"/>
        </w:rPr>
        <w:t> </w:t>
      </w:r>
      <w:r w:rsidRPr="00546451">
        <w:rPr>
          <w:b/>
          <w:sz w:val="24"/>
          <w:szCs w:val="24"/>
          <w:lang w:val="fr-CH"/>
        </w:rPr>
        <w:t>1999</w:t>
      </w:r>
      <w:r>
        <w:rPr>
          <w:b/>
          <w:sz w:val="24"/>
          <w:szCs w:val="24"/>
          <w:lang w:val="fr-CH"/>
        </w:rPr>
        <w:t> :</w:t>
      </w:r>
      <w:r w:rsidRPr="00546451">
        <w:rPr>
          <w:b/>
          <w:sz w:val="24"/>
          <w:szCs w:val="24"/>
          <w:lang w:val="fr-CH"/>
        </w:rPr>
        <w:t xml:space="preserve"> </w:t>
      </w:r>
      <w:r>
        <w:rPr>
          <w:b/>
          <w:sz w:val="24"/>
          <w:szCs w:val="24"/>
          <w:lang w:val="fr-CH"/>
        </w:rPr>
        <w:t>Benelux</w:t>
      </w:r>
    </w:p>
    <w:p w:rsidR="00A03AA2" w:rsidRPr="00A54FC4" w:rsidRDefault="00A03AA2" w:rsidP="00A03AA2">
      <w:pPr>
        <w:pStyle w:val="ONUMFS"/>
        <w:rPr>
          <w:lang w:val="fr-CH"/>
        </w:rPr>
      </w:pPr>
      <w:r w:rsidRPr="00A52D1D">
        <w:rPr>
          <w:lang w:val="fr-CH"/>
        </w:rPr>
        <w:t>Le</w:t>
      </w:r>
      <w:r>
        <w:rPr>
          <w:lang w:val="fr-CH"/>
        </w:rPr>
        <w:t> 7 juin </w:t>
      </w:r>
      <w:r w:rsidRPr="00A52D1D">
        <w:rPr>
          <w:lang w:val="fr-CH"/>
        </w:rPr>
        <w:t>201</w:t>
      </w:r>
      <w:r>
        <w:rPr>
          <w:lang w:val="fr-CH"/>
        </w:rPr>
        <w:t>3</w:t>
      </w:r>
      <w:r w:rsidRPr="00A52D1D">
        <w:rPr>
          <w:lang w:val="fr-CH"/>
        </w:rPr>
        <w:t xml:space="preserve">, </w:t>
      </w:r>
      <w:r>
        <w:rPr>
          <w:lang w:val="fr-CH"/>
        </w:rPr>
        <w:t xml:space="preserve">le 3 septembre 2013 et le 18 septembre 2018, respectivement, </w:t>
      </w:r>
      <w:r w:rsidRPr="00A52D1D">
        <w:rPr>
          <w:lang w:val="fr-CH"/>
        </w:rPr>
        <w:t>le Gouvernement de</w:t>
      </w:r>
      <w:r>
        <w:rPr>
          <w:lang w:val="fr-CH"/>
        </w:rPr>
        <w:t xml:space="preserve"> la Belgique, le Gouvernement du Luxembourg et le Gouvernement de</w:t>
      </w:r>
      <w:r w:rsidRPr="00A52D1D">
        <w:rPr>
          <w:lang w:val="fr-CH"/>
        </w:rPr>
        <w:t>s Pays</w:t>
      </w:r>
      <w:r>
        <w:rPr>
          <w:lang w:val="fr-CH"/>
        </w:rPr>
        <w:noBreakHyphen/>
      </w:r>
      <w:r w:rsidRPr="00A52D1D">
        <w:rPr>
          <w:lang w:val="fr-CH"/>
        </w:rPr>
        <w:t>Bas</w:t>
      </w:r>
      <w:r>
        <w:rPr>
          <w:lang w:val="fr-CH"/>
        </w:rPr>
        <w:t xml:space="preserve"> (pour la partie européenne des Pays</w:t>
      </w:r>
      <w:r>
        <w:rPr>
          <w:lang w:val="fr-CH"/>
        </w:rPr>
        <w:noBreakHyphen/>
        <w:t>Bas)</w:t>
      </w:r>
      <w:r w:rsidRPr="00A52D1D">
        <w:rPr>
          <w:lang w:val="fr-CH"/>
        </w:rPr>
        <w:t xml:space="preserve"> </w:t>
      </w:r>
      <w:r>
        <w:rPr>
          <w:lang w:val="fr-CH"/>
        </w:rPr>
        <w:t>ont</w:t>
      </w:r>
      <w:r w:rsidRPr="00A52D1D">
        <w:rPr>
          <w:lang w:val="fr-CH"/>
        </w:rPr>
        <w:t xml:space="preserve"> déposé auprès du Directeur général de l</w:t>
      </w:r>
      <w:r>
        <w:rPr>
          <w:lang w:val="fr-CH"/>
        </w:rPr>
        <w:t>’</w:t>
      </w:r>
      <w:r w:rsidRPr="00A52D1D">
        <w:rPr>
          <w:lang w:val="fr-CH"/>
        </w:rPr>
        <w:t xml:space="preserve">Organisation Mondiale de la Propriété Intellectuelle (OMPI) </w:t>
      </w:r>
      <w:r>
        <w:rPr>
          <w:lang w:val="fr-CH"/>
        </w:rPr>
        <w:t>leur</w:t>
      </w:r>
      <w:r w:rsidRPr="00A52D1D">
        <w:rPr>
          <w:lang w:val="fr-CH"/>
        </w:rPr>
        <w:t>s instrument</w:t>
      </w:r>
      <w:r>
        <w:rPr>
          <w:lang w:val="fr-CH"/>
        </w:rPr>
        <w:t>s de ratification ou d’adhésion à</w:t>
      </w:r>
      <w:r w:rsidRPr="00A52D1D">
        <w:rPr>
          <w:lang w:val="fr-CH"/>
        </w:rPr>
        <w:t xml:space="preserve"> l</w:t>
      </w:r>
      <w:r>
        <w:rPr>
          <w:lang w:val="fr-CH"/>
        </w:rPr>
        <w:t>’</w:t>
      </w:r>
      <w:r w:rsidRPr="00A52D1D">
        <w:rPr>
          <w:lang w:val="fr-CH"/>
        </w:rPr>
        <w:t>Acte de Genève (1999) de l</w:t>
      </w:r>
      <w:r>
        <w:rPr>
          <w:lang w:val="fr-CH"/>
        </w:rPr>
        <w:t>’</w:t>
      </w:r>
      <w:r w:rsidRPr="00A52D1D">
        <w:rPr>
          <w:lang w:val="fr-CH"/>
        </w:rPr>
        <w:t xml:space="preserve">Arrangement de </w:t>
      </w:r>
      <w:r>
        <w:rPr>
          <w:lang w:val="fr-CH"/>
        </w:rPr>
        <w:t>La Haye</w:t>
      </w:r>
      <w:r w:rsidRPr="00A52D1D">
        <w:rPr>
          <w:lang w:val="fr-CH"/>
        </w:rPr>
        <w:t xml:space="preserve"> concernant l</w:t>
      </w:r>
      <w:r>
        <w:rPr>
          <w:lang w:val="fr-CH"/>
        </w:rPr>
        <w:t>’</w:t>
      </w:r>
      <w:r w:rsidRPr="00A52D1D">
        <w:rPr>
          <w:lang w:val="fr-CH"/>
        </w:rPr>
        <w:t>enregistrement international des dessins et modèles industriels</w:t>
      </w:r>
      <w:r w:rsidRPr="009C0B76">
        <w:rPr>
          <w:rStyle w:val="FootnoteReference"/>
        </w:rPr>
        <w:footnoteReference w:customMarkFollows="1" w:id="2"/>
        <w:sym w:font="Symbol" w:char="F02A"/>
      </w:r>
      <w:r w:rsidRPr="00A54FC4">
        <w:rPr>
          <w:lang w:val="fr-CH"/>
        </w:rPr>
        <w:t>.</w:t>
      </w:r>
    </w:p>
    <w:p w:rsidR="00A03AA2" w:rsidRPr="00A52D1D" w:rsidRDefault="00A03AA2" w:rsidP="00A03AA2">
      <w:pPr>
        <w:pStyle w:val="ONUMFS"/>
        <w:rPr>
          <w:lang w:val="fr-CH"/>
        </w:rPr>
      </w:pPr>
      <w:r w:rsidRPr="00A52D1D">
        <w:rPr>
          <w:lang w:val="fr-CH"/>
        </w:rPr>
        <w:t>Le</w:t>
      </w:r>
      <w:r>
        <w:rPr>
          <w:lang w:val="fr-CH"/>
        </w:rPr>
        <w:t>s</w:t>
      </w:r>
      <w:r w:rsidRPr="00A52D1D">
        <w:rPr>
          <w:lang w:val="fr-CH"/>
        </w:rPr>
        <w:t>dit</w:t>
      </w:r>
      <w:r>
        <w:rPr>
          <w:lang w:val="fr-CH"/>
        </w:rPr>
        <w:t>s</w:t>
      </w:r>
      <w:r w:rsidRPr="00A52D1D">
        <w:rPr>
          <w:lang w:val="fr-CH"/>
        </w:rPr>
        <w:t xml:space="preserve"> instrument</w:t>
      </w:r>
      <w:r>
        <w:rPr>
          <w:lang w:val="fr-CH"/>
        </w:rPr>
        <w:t>s</w:t>
      </w:r>
      <w:r w:rsidRPr="00A52D1D">
        <w:rPr>
          <w:lang w:val="fr-CH"/>
        </w:rPr>
        <w:t xml:space="preserve"> étai</w:t>
      </w:r>
      <w:r>
        <w:rPr>
          <w:lang w:val="fr-CH"/>
        </w:rPr>
        <w:t>en</w:t>
      </w:r>
      <w:r w:rsidRPr="00A52D1D">
        <w:rPr>
          <w:lang w:val="fr-CH"/>
        </w:rPr>
        <w:t>t accompagné</w:t>
      </w:r>
      <w:r>
        <w:rPr>
          <w:lang w:val="fr-CH"/>
        </w:rPr>
        <w:t>s</w:t>
      </w:r>
      <w:r w:rsidRPr="00A52D1D">
        <w:rPr>
          <w:lang w:val="fr-CH"/>
        </w:rPr>
        <w:t xml:space="preserve"> des déclarations suivantes</w:t>
      </w:r>
      <w:r>
        <w:rPr>
          <w:lang w:val="fr-CH"/>
        </w:rPr>
        <w:t> :</w:t>
      </w:r>
    </w:p>
    <w:p w:rsidR="00A03AA2" w:rsidRPr="00A52D1D" w:rsidRDefault="00A03AA2" w:rsidP="00AA6BAC">
      <w:pPr>
        <w:pStyle w:val="ONUME"/>
        <w:numPr>
          <w:ilvl w:val="0"/>
          <w:numId w:val="7"/>
        </w:numPr>
        <w:tabs>
          <w:tab w:val="clear" w:pos="1137"/>
          <w:tab w:val="num" w:pos="1134"/>
        </w:tabs>
        <w:ind w:left="567" w:firstLine="0"/>
        <w:rPr>
          <w:lang w:val="fr-CH"/>
        </w:rPr>
      </w:pPr>
      <w:r w:rsidRPr="00A52D1D">
        <w:rPr>
          <w:lang w:val="fr-CH"/>
        </w:rPr>
        <w:t>la déclaration visée à l</w:t>
      </w:r>
      <w:r>
        <w:rPr>
          <w:lang w:val="fr-CH"/>
        </w:rPr>
        <w:t>’</w:t>
      </w:r>
      <w:r w:rsidRPr="00A52D1D">
        <w:rPr>
          <w:lang w:val="fr-CH"/>
        </w:rPr>
        <w:t>article</w:t>
      </w:r>
      <w:r>
        <w:rPr>
          <w:lang w:val="fr-CH"/>
        </w:rPr>
        <w:t> </w:t>
      </w:r>
      <w:r w:rsidRPr="00A52D1D">
        <w:rPr>
          <w:lang w:val="fr-CH"/>
        </w:rPr>
        <w:t>4.1)b) de l</w:t>
      </w:r>
      <w:r>
        <w:rPr>
          <w:lang w:val="fr-CH"/>
        </w:rPr>
        <w:t>’</w:t>
      </w:r>
      <w:r w:rsidRPr="00A52D1D">
        <w:rPr>
          <w:lang w:val="fr-CH"/>
        </w:rPr>
        <w:t>Acte de</w:t>
      </w:r>
      <w:r>
        <w:rPr>
          <w:lang w:val="fr-CH"/>
        </w:rPr>
        <w:t> </w:t>
      </w:r>
      <w:r w:rsidRPr="00A52D1D">
        <w:rPr>
          <w:lang w:val="fr-CH"/>
        </w:rPr>
        <w:t>1999, selon laquelle il ne peut pas être déposé de demandes internationales par l</w:t>
      </w:r>
      <w:r>
        <w:rPr>
          <w:lang w:val="fr-CH"/>
        </w:rPr>
        <w:t>’</w:t>
      </w:r>
      <w:r w:rsidRPr="00A52D1D">
        <w:rPr>
          <w:lang w:val="fr-CH"/>
        </w:rPr>
        <w:t>intermédiaire de l</w:t>
      </w:r>
      <w:r>
        <w:rPr>
          <w:lang w:val="fr-CH"/>
        </w:rPr>
        <w:t>’</w:t>
      </w:r>
      <w:r w:rsidRPr="00A52D1D">
        <w:rPr>
          <w:lang w:val="fr-CH"/>
        </w:rPr>
        <w:t>Office Benelux de la propriété intellectuelle (OBPI);</w:t>
      </w:r>
    </w:p>
    <w:p w:rsidR="00A03AA2" w:rsidRPr="00A52D1D" w:rsidRDefault="00A03AA2" w:rsidP="00AA6BAC">
      <w:pPr>
        <w:pStyle w:val="ONUME"/>
        <w:numPr>
          <w:ilvl w:val="0"/>
          <w:numId w:val="7"/>
        </w:numPr>
        <w:tabs>
          <w:tab w:val="clear" w:pos="1137"/>
          <w:tab w:val="num" w:pos="1134"/>
        </w:tabs>
        <w:ind w:left="567" w:firstLine="0"/>
        <w:rPr>
          <w:lang w:val="fr-CH"/>
        </w:rPr>
      </w:pPr>
      <w:r w:rsidRPr="00A52D1D">
        <w:rPr>
          <w:lang w:val="fr-CH"/>
        </w:rPr>
        <w:t>la déclaration visée à l</w:t>
      </w:r>
      <w:r>
        <w:rPr>
          <w:lang w:val="fr-CH"/>
        </w:rPr>
        <w:t>’</w:t>
      </w:r>
      <w:r w:rsidRPr="00A52D1D">
        <w:rPr>
          <w:lang w:val="fr-CH"/>
        </w:rPr>
        <w:t>article</w:t>
      </w:r>
      <w:r>
        <w:rPr>
          <w:lang w:val="fr-CH"/>
        </w:rPr>
        <w:t> </w:t>
      </w:r>
      <w:r w:rsidRPr="00A52D1D">
        <w:rPr>
          <w:lang w:val="fr-CH"/>
        </w:rPr>
        <w:t>11.1)a) de l</w:t>
      </w:r>
      <w:r>
        <w:rPr>
          <w:lang w:val="fr-CH"/>
        </w:rPr>
        <w:t>’</w:t>
      </w:r>
      <w:r w:rsidRPr="00A52D1D">
        <w:rPr>
          <w:lang w:val="fr-CH"/>
        </w:rPr>
        <w:t>Acte de</w:t>
      </w:r>
      <w:r>
        <w:rPr>
          <w:lang w:val="fr-CH"/>
        </w:rPr>
        <w:t> </w:t>
      </w:r>
      <w:r w:rsidRPr="00A52D1D">
        <w:rPr>
          <w:lang w:val="fr-CH"/>
        </w:rPr>
        <w:t>1999, selon laquelle la période maximale d</w:t>
      </w:r>
      <w:r>
        <w:rPr>
          <w:lang w:val="fr-CH"/>
        </w:rPr>
        <w:t>’</w:t>
      </w:r>
      <w:r w:rsidRPr="00A52D1D">
        <w:rPr>
          <w:lang w:val="fr-CH"/>
        </w:rPr>
        <w:t>ajournement de la publication d</w:t>
      </w:r>
      <w:r>
        <w:rPr>
          <w:lang w:val="fr-CH"/>
        </w:rPr>
        <w:t>’</w:t>
      </w:r>
      <w:r w:rsidRPr="00A52D1D">
        <w:rPr>
          <w:lang w:val="fr-CH"/>
        </w:rPr>
        <w:t>un dessin ou modèle industriel prévue par la législation du Benelux est de 12</w:t>
      </w:r>
      <w:r>
        <w:rPr>
          <w:lang w:val="fr-CH"/>
        </w:rPr>
        <w:t> </w:t>
      </w:r>
      <w:r w:rsidRPr="00A52D1D">
        <w:rPr>
          <w:lang w:val="fr-CH"/>
        </w:rPr>
        <w:t>mois;</w:t>
      </w:r>
    </w:p>
    <w:p w:rsidR="00A03AA2" w:rsidRPr="00A52D1D" w:rsidRDefault="00A03AA2" w:rsidP="00AA6BAC">
      <w:pPr>
        <w:pStyle w:val="ONUME"/>
        <w:numPr>
          <w:ilvl w:val="0"/>
          <w:numId w:val="7"/>
        </w:numPr>
        <w:tabs>
          <w:tab w:val="clear" w:pos="1137"/>
          <w:tab w:val="num" w:pos="1134"/>
        </w:tabs>
        <w:ind w:left="567" w:firstLine="0"/>
        <w:rPr>
          <w:lang w:val="fr-CH"/>
        </w:rPr>
      </w:pPr>
      <w:r w:rsidRPr="00A52D1D">
        <w:rPr>
          <w:lang w:val="fr-CH"/>
        </w:rPr>
        <w:t>la déclaration exigée en vertu de l</w:t>
      </w:r>
      <w:r>
        <w:rPr>
          <w:lang w:val="fr-CH"/>
        </w:rPr>
        <w:t>’</w:t>
      </w:r>
      <w:r w:rsidRPr="00A52D1D">
        <w:rPr>
          <w:lang w:val="fr-CH"/>
        </w:rPr>
        <w:t>article 17.3)c) de l</w:t>
      </w:r>
      <w:r>
        <w:rPr>
          <w:lang w:val="fr-CH"/>
        </w:rPr>
        <w:t>’</w:t>
      </w:r>
      <w:r w:rsidRPr="00A52D1D">
        <w:rPr>
          <w:lang w:val="fr-CH"/>
        </w:rPr>
        <w:t>Acte de 1999, indiquant que la durée maximale de protection prévue par la législation du Benelux pour les dessins et modèles industriels est de 25 ans;  et</w:t>
      </w:r>
    </w:p>
    <w:p w:rsidR="00A03AA2" w:rsidRPr="00A52D1D" w:rsidRDefault="00A03AA2" w:rsidP="00AA6BAC">
      <w:pPr>
        <w:pStyle w:val="ONUME"/>
        <w:numPr>
          <w:ilvl w:val="0"/>
          <w:numId w:val="7"/>
        </w:numPr>
        <w:tabs>
          <w:tab w:val="clear" w:pos="1137"/>
          <w:tab w:val="num" w:pos="1134"/>
        </w:tabs>
        <w:ind w:left="567" w:firstLine="0"/>
        <w:rPr>
          <w:lang w:val="fr-CH"/>
        </w:rPr>
      </w:pPr>
      <w:r w:rsidRPr="00A52D1D">
        <w:rPr>
          <w:lang w:val="fr-CH"/>
        </w:rPr>
        <w:t>la déclaration visée à l</w:t>
      </w:r>
      <w:r>
        <w:rPr>
          <w:lang w:val="fr-CH"/>
        </w:rPr>
        <w:t>’</w:t>
      </w:r>
      <w:r w:rsidRPr="00A52D1D">
        <w:rPr>
          <w:lang w:val="fr-CH"/>
        </w:rPr>
        <w:t>article</w:t>
      </w:r>
      <w:r>
        <w:rPr>
          <w:lang w:val="fr-CH"/>
        </w:rPr>
        <w:t> </w:t>
      </w:r>
      <w:r w:rsidRPr="00A52D1D">
        <w:rPr>
          <w:lang w:val="fr-CH"/>
        </w:rPr>
        <w:t>19.1) de l</w:t>
      </w:r>
      <w:r>
        <w:rPr>
          <w:lang w:val="fr-CH"/>
        </w:rPr>
        <w:t>’</w:t>
      </w:r>
      <w:r w:rsidRPr="00A52D1D">
        <w:rPr>
          <w:lang w:val="fr-CH"/>
        </w:rPr>
        <w:t>Acte de</w:t>
      </w:r>
      <w:r>
        <w:rPr>
          <w:lang w:val="fr-CH"/>
        </w:rPr>
        <w:t> </w:t>
      </w:r>
      <w:r w:rsidRPr="00A52D1D">
        <w:rPr>
          <w:lang w:val="fr-CH"/>
        </w:rPr>
        <w:t>1999, selon laquelle l</w:t>
      </w:r>
      <w:r>
        <w:rPr>
          <w:lang w:val="fr-CH"/>
        </w:rPr>
        <w:t>’</w:t>
      </w:r>
      <w:r w:rsidRPr="00A52D1D">
        <w:rPr>
          <w:lang w:val="fr-CH"/>
        </w:rPr>
        <w:t>O</w:t>
      </w:r>
      <w:r>
        <w:rPr>
          <w:lang w:val="fr-CH"/>
        </w:rPr>
        <w:t>BP</w:t>
      </w:r>
      <w:r w:rsidRPr="00A52D1D">
        <w:rPr>
          <w:lang w:val="fr-CH"/>
        </w:rPr>
        <w:t>I est désigné comme office commun aux trois</w:t>
      </w:r>
      <w:r>
        <w:rPr>
          <w:lang w:val="fr-CH"/>
        </w:rPr>
        <w:t> </w:t>
      </w:r>
      <w:r w:rsidRPr="00A52D1D">
        <w:rPr>
          <w:lang w:val="fr-CH"/>
        </w:rPr>
        <w:t>pays du Benelux</w:t>
      </w:r>
      <w:r>
        <w:rPr>
          <w:lang w:val="fr-CH"/>
        </w:rPr>
        <w:t>.  Les territoires des trois pays dans lesquels s’applique la Convention Benelux en matière de propriété intellectuelle (marques, dessins et modèles industriels) sont considérés comme une seule partie contractante pour l’application des articles premier, 3 à 18 et 31 de l’Acte de 1999.</w:t>
      </w:r>
    </w:p>
    <w:p w:rsidR="00A03AA2" w:rsidRPr="00813FAB" w:rsidRDefault="00A03AA2" w:rsidP="00A03AA2">
      <w:pPr>
        <w:pStyle w:val="ONUMFS"/>
        <w:rPr>
          <w:lang w:val="fr-CH"/>
        </w:rPr>
      </w:pPr>
      <w:r>
        <w:rPr>
          <w:lang w:val="fr-CH"/>
        </w:rPr>
        <w:t>Par conséquent, conformément aux articles 27.3)c), 28.3)b), 30.1)i) et 30.2) de l’Acte de 1999, l’Acte de 1999 et les déclarations faites en vertu des articles 4.1)b), 11.1)a) et 17.3)c) du même acte entreront en vigueur le 18 décembre 2018 à l’égard du Benelux.</w:t>
      </w:r>
    </w:p>
    <w:p w:rsidR="00A03AA2" w:rsidRPr="005C3205" w:rsidRDefault="00A03AA2" w:rsidP="00A03AA2">
      <w:pPr>
        <w:pStyle w:val="ONUME"/>
        <w:numPr>
          <w:ilvl w:val="0"/>
          <w:numId w:val="0"/>
        </w:numPr>
        <w:spacing w:before="600" w:after="0"/>
        <w:ind w:left="5534"/>
        <w:rPr>
          <w:lang w:val="fr-CH"/>
        </w:rPr>
      </w:pPr>
      <w:r>
        <w:rPr>
          <w:lang w:val="fr-CH"/>
        </w:rPr>
        <w:t xml:space="preserve">Le </w:t>
      </w:r>
      <w:r w:rsidR="009D54AE">
        <w:rPr>
          <w:lang w:val="fr-CH"/>
        </w:rPr>
        <w:t>21</w:t>
      </w:r>
      <w:r w:rsidRPr="005C3205">
        <w:rPr>
          <w:lang w:val="fr-CH"/>
        </w:rPr>
        <w:t xml:space="preserve"> </w:t>
      </w:r>
      <w:r w:rsidR="00AE31A7">
        <w:rPr>
          <w:lang w:val="fr-CH"/>
        </w:rPr>
        <w:t>novembre</w:t>
      </w:r>
      <w:r w:rsidRPr="005C3205">
        <w:rPr>
          <w:lang w:val="fr-CH"/>
        </w:rPr>
        <w:t> 2018</w:t>
      </w:r>
    </w:p>
    <w:sectPr w:rsidR="00A03AA2" w:rsidRPr="005C3205" w:rsidSect="00A03AA2">
      <w:headerReference w:type="default" r:id="rId9"/>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B54" w:rsidRDefault="00FA5B54">
      <w:r>
        <w:separator/>
      </w:r>
    </w:p>
  </w:endnote>
  <w:endnote w:type="continuationSeparator" w:id="0">
    <w:p w:rsidR="00FA5B54" w:rsidRDefault="00FA5B54" w:rsidP="00A326CA">
      <w:r>
        <w:separator/>
      </w:r>
    </w:p>
    <w:p w:rsidR="00FA5B54" w:rsidRPr="00A326CA" w:rsidRDefault="00FA5B54" w:rsidP="00A326CA">
      <w:r>
        <w:rPr>
          <w:sz w:val="17"/>
        </w:rPr>
        <w:t>[Endnote continued from previous page]</w:t>
      </w:r>
    </w:p>
  </w:endnote>
  <w:endnote w:type="continuationNotice" w:id="1">
    <w:p w:rsidR="00FA5B54" w:rsidRPr="00A326CA" w:rsidRDefault="00FA5B5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B54" w:rsidRDefault="00FA5B54">
      <w:r>
        <w:separator/>
      </w:r>
    </w:p>
  </w:footnote>
  <w:footnote w:type="continuationSeparator" w:id="0">
    <w:p w:rsidR="00FA5B54" w:rsidRDefault="00FA5B54" w:rsidP="00A326CA">
      <w:r>
        <w:separator/>
      </w:r>
    </w:p>
    <w:p w:rsidR="00FA5B54" w:rsidRPr="00A326CA" w:rsidRDefault="00FA5B54"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FA5B54" w:rsidRPr="00A326CA" w:rsidRDefault="00FA5B54" w:rsidP="00A326CA">
      <w:pPr>
        <w:spacing w:before="60"/>
        <w:jc w:val="right"/>
        <w:rPr>
          <w:sz w:val="17"/>
          <w:szCs w:val="17"/>
        </w:rPr>
      </w:pPr>
      <w:r w:rsidRPr="000C7343">
        <w:rPr>
          <w:sz w:val="17"/>
          <w:szCs w:val="17"/>
        </w:rPr>
        <w:t>[F</w:t>
      </w:r>
      <w:r>
        <w:rPr>
          <w:sz w:val="17"/>
          <w:szCs w:val="17"/>
        </w:rPr>
        <w:t>ootnote continued on next page]</w:t>
      </w:r>
    </w:p>
  </w:footnote>
  <w:footnote w:id="2">
    <w:p w:rsidR="00A03AA2" w:rsidRPr="00A54FC4" w:rsidRDefault="00A03AA2" w:rsidP="00A03AA2">
      <w:pPr>
        <w:pStyle w:val="FootnoteText"/>
        <w:tabs>
          <w:tab w:val="left" w:pos="567"/>
        </w:tabs>
        <w:rPr>
          <w:szCs w:val="18"/>
          <w:lang w:val="fr-CH"/>
        </w:rPr>
      </w:pPr>
      <w:r w:rsidRPr="00D16E20">
        <w:rPr>
          <w:rStyle w:val="FootnoteReference"/>
          <w:szCs w:val="18"/>
        </w:rPr>
        <w:sym w:font="Symbol" w:char="F02A"/>
      </w:r>
      <w:r w:rsidRPr="00A54FC4">
        <w:rPr>
          <w:szCs w:val="18"/>
          <w:lang w:val="fr-CH"/>
        </w:rPr>
        <w:tab/>
        <w:t>Voir les avis</w:t>
      </w:r>
      <w:r w:rsidR="009D54AE">
        <w:rPr>
          <w:szCs w:val="18"/>
          <w:lang w:val="fr-CH"/>
        </w:rPr>
        <w:t xml:space="preserve"> </w:t>
      </w:r>
      <w:r w:rsidRPr="00A54FC4">
        <w:rPr>
          <w:szCs w:val="18"/>
          <w:lang w:val="fr-CH"/>
        </w:rPr>
        <w:t>n</w:t>
      </w:r>
      <w:r w:rsidRPr="00A54FC4">
        <w:rPr>
          <w:szCs w:val="18"/>
          <w:vertAlign w:val="superscript"/>
          <w:lang w:val="fr-CH"/>
        </w:rPr>
        <w:t>os</w:t>
      </w:r>
      <w:r w:rsidRPr="00A54FC4">
        <w:rPr>
          <w:szCs w:val="18"/>
          <w:lang w:val="fr-CH"/>
        </w:rPr>
        <w:t xml:space="preserve">4/2013, 5/2013 </w:t>
      </w:r>
      <w:r>
        <w:rPr>
          <w:szCs w:val="18"/>
          <w:lang w:val="fr-CH"/>
        </w:rPr>
        <w:t>et</w:t>
      </w:r>
      <w:r w:rsidRPr="00A54FC4">
        <w:rPr>
          <w:szCs w:val="18"/>
          <w:lang w:val="fr-CH"/>
        </w:rPr>
        <w:t xml:space="preserve"> </w:t>
      </w:r>
      <w:r w:rsidR="009D54AE">
        <w:rPr>
          <w:szCs w:val="18"/>
          <w:lang w:val="fr-CH"/>
        </w:rPr>
        <w:t>14</w:t>
      </w:r>
      <w:r w:rsidRPr="00A54FC4">
        <w:rPr>
          <w:szCs w:val="18"/>
          <w:lang w:val="fr-CH"/>
        </w:rPr>
        <w:t>/2018.</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0ED" w:rsidRDefault="00B060ED" w:rsidP="00DD4C78">
    <w:pPr>
      <w:pStyle w:val="Header"/>
      <w:jc w:val="right"/>
      <w:rPr>
        <w:lang w:val="fr-CH"/>
      </w:rPr>
    </w:pPr>
  </w:p>
  <w:p w:rsidR="00B060ED" w:rsidRDefault="00B060ED"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F87994">
      <w:rPr>
        <w:rStyle w:val="PageNumber"/>
        <w:noProof/>
      </w:rPr>
      <w:t>1</w:t>
    </w:r>
    <w:r>
      <w:rPr>
        <w:rStyle w:val="PageNumber"/>
      </w:rPr>
      <w:fldChar w:fldCharType="end"/>
    </w:r>
  </w:p>
  <w:p w:rsidR="00B060ED" w:rsidRPr="00DD4C78" w:rsidRDefault="00B060ED"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0A303D"/>
    <w:multiLevelType w:val="multilevel"/>
    <w:tmpl w:val="9156237E"/>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3F769D"/>
    <w:multiLevelType w:val="hybridMultilevel"/>
    <w:tmpl w:val="54A6ED88"/>
    <w:lvl w:ilvl="0" w:tplc="459E0B3C">
      <w:start w:val="1"/>
      <w:numFmt w:val="lowerLetter"/>
      <w:lvlText w:val="(%1)"/>
      <w:lvlJc w:val="left"/>
      <w:pPr>
        <w:tabs>
          <w:tab w:val="num" w:pos="1134"/>
        </w:tabs>
        <w:ind w:left="1134" w:firstLine="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551E3"/>
    <w:multiLevelType w:val="hybridMultilevel"/>
    <w:tmpl w:val="317854BC"/>
    <w:lvl w:ilvl="0" w:tplc="459E0B3C">
      <w:start w:val="1"/>
      <w:numFmt w:val="lowerLetter"/>
      <w:lvlText w:val="(%1)"/>
      <w:lvlJc w:val="left"/>
      <w:pPr>
        <w:tabs>
          <w:tab w:val="num" w:pos="927"/>
        </w:tabs>
        <w:ind w:left="927" w:firstLine="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5205077"/>
    <w:multiLevelType w:val="multilevel"/>
    <w:tmpl w:val="0E6A35F2"/>
    <w:lvl w:ilvl="0">
      <w:start w:val="1"/>
      <w:numFmt w:val="lowerLetter"/>
      <w:lvlText w:val="%1)"/>
      <w:lvlJc w:val="left"/>
      <w:pPr>
        <w:tabs>
          <w:tab w:val="num" w:pos="720"/>
        </w:tabs>
        <w:ind w:left="720" w:hanging="360"/>
      </w:pPr>
      <w:rPr>
        <w:rFonts w:hint="default"/>
      </w:rPr>
    </w:lvl>
    <w:lvl w:ilvl="1">
      <w:start w:val="30"/>
      <w:numFmt w:val="bullet"/>
      <w:lvlText w:val="–"/>
      <w:lvlJc w:val="left"/>
      <w:pPr>
        <w:tabs>
          <w:tab w:val="num" w:pos="1650"/>
        </w:tabs>
        <w:ind w:left="1650" w:hanging="570"/>
      </w:pPr>
      <w:rPr>
        <w:rFonts w:ascii="Arial" w:eastAsia="SimSu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F653B2A"/>
    <w:multiLevelType w:val="hybridMultilevel"/>
    <w:tmpl w:val="0E6A35F2"/>
    <w:lvl w:ilvl="0" w:tplc="04090017">
      <w:start w:val="1"/>
      <w:numFmt w:val="lowerLetter"/>
      <w:lvlText w:val="%1)"/>
      <w:lvlJc w:val="left"/>
      <w:pPr>
        <w:tabs>
          <w:tab w:val="num" w:pos="720"/>
        </w:tabs>
        <w:ind w:left="720" w:hanging="360"/>
      </w:pPr>
      <w:rPr>
        <w:rFonts w:hint="default"/>
      </w:rPr>
    </w:lvl>
    <w:lvl w:ilvl="1" w:tplc="A8B221A0">
      <w:start w:val="30"/>
      <w:numFmt w:val="bullet"/>
      <w:lvlText w:val="–"/>
      <w:lvlJc w:val="left"/>
      <w:pPr>
        <w:tabs>
          <w:tab w:val="num" w:pos="1650"/>
        </w:tabs>
        <w:ind w:left="1650" w:hanging="57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9"/>
  </w:num>
  <w:num w:numId="8">
    <w:abstractNumId w:val="11"/>
  </w:num>
  <w:num w:numId="9">
    <w:abstractNumId w:val="1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AE"/>
    <w:rsid w:val="00004E7B"/>
    <w:rsid w:val="00016693"/>
    <w:rsid w:val="00026AE2"/>
    <w:rsid w:val="00033F47"/>
    <w:rsid w:val="00044B19"/>
    <w:rsid w:val="00080B97"/>
    <w:rsid w:val="000938C5"/>
    <w:rsid w:val="00096C1D"/>
    <w:rsid w:val="000A6111"/>
    <w:rsid w:val="000B1C3C"/>
    <w:rsid w:val="000C28AE"/>
    <w:rsid w:val="000C6F0C"/>
    <w:rsid w:val="000D5B25"/>
    <w:rsid w:val="000E0229"/>
    <w:rsid w:val="000F2C9C"/>
    <w:rsid w:val="000F5E56"/>
    <w:rsid w:val="0010519E"/>
    <w:rsid w:val="00124A4C"/>
    <w:rsid w:val="00142297"/>
    <w:rsid w:val="00145B81"/>
    <w:rsid w:val="001463E5"/>
    <w:rsid w:val="00172417"/>
    <w:rsid w:val="00173669"/>
    <w:rsid w:val="00176C7E"/>
    <w:rsid w:val="001A23AF"/>
    <w:rsid w:val="001A287A"/>
    <w:rsid w:val="001A3340"/>
    <w:rsid w:val="001A7C12"/>
    <w:rsid w:val="001C25E6"/>
    <w:rsid w:val="001C3F35"/>
    <w:rsid w:val="001C4903"/>
    <w:rsid w:val="001D2D7D"/>
    <w:rsid w:val="001D6A28"/>
    <w:rsid w:val="001F5F8D"/>
    <w:rsid w:val="00204CD1"/>
    <w:rsid w:val="00210C1D"/>
    <w:rsid w:val="0022374B"/>
    <w:rsid w:val="00227D96"/>
    <w:rsid w:val="00233034"/>
    <w:rsid w:val="002364B2"/>
    <w:rsid w:val="0023736B"/>
    <w:rsid w:val="002436FE"/>
    <w:rsid w:val="00247542"/>
    <w:rsid w:val="00274D9B"/>
    <w:rsid w:val="002773CA"/>
    <w:rsid w:val="00286ADD"/>
    <w:rsid w:val="00294534"/>
    <w:rsid w:val="002E7C8D"/>
    <w:rsid w:val="002F415B"/>
    <w:rsid w:val="002F7700"/>
    <w:rsid w:val="00302257"/>
    <w:rsid w:val="003063F0"/>
    <w:rsid w:val="00311C0F"/>
    <w:rsid w:val="0032414B"/>
    <w:rsid w:val="00327F02"/>
    <w:rsid w:val="00371EF8"/>
    <w:rsid w:val="00373894"/>
    <w:rsid w:val="00375A00"/>
    <w:rsid w:val="003A464C"/>
    <w:rsid w:val="003B1414"/>
    <w:rsid w:val="003B459D"/>
    <w:rsid w:val="003C05A7"/>
    <w:rsid w:val="003C334B"/>
    <w:rsid w:val="003D73AE"/>
    <w:rsid w:val="003E741E"/>
    <w:rsid w:val="0040701E"/>
    <w:rsid w:val="00413049"/>
    <w:rsid w:val="004143EC"/>
    <w:rsid w:val="00431B1D"/>
    <w:rsid w:val="00435EFE"/>
    <w:rsid w:val="00435FD1"/>
    <w:rsid w:val="004475B6"/>
    <w:rsid w:val="00450767"/>
    <w:rsid w:val="00457662"/>
    <w:rsid w:val="004665BB"/>
    <w:rsid w:val="00477394"/>
    <w:rsid w:val="00483739"/>
    <w:rsid w:val="00484ABE"/>
    <w:rsid w:val="00485092"/>
    <w:rsid w:val="0049294C"/>
    <w:rsid w:val="004B66ED"/>
    <w:rsid w:val="004D2DE7"/>
    <w:rsid w:val="004D59D7"/>
    <w:rsid w:val="004E7E66"/>
    <w:rsid w:val="004F67D5"/>
    <w:rsid w:val="005167F3"/>
    <w:rsid w:val="0053657F"/>
    <w:rsid w:val="00575C09"/>
    <w:rsid w:val="00575CD0"/>
    <w:rsid w:val="005A0792"/>
    <w:rsid w:val="005B2656"/>
    <w:rsid w:val="005B65A7"/>
    <w:rsid w:val="005C7416"/>
    <w:rsid w:val="005E2D58"/>
    <w:rsid w:val="005E5DCE"/>
    <w:rsid w:val="005F1611"/>
    <w:rsid w:val="00604371"/>
    <w:rsid w:val="00623C8F"/>
    <w:rsid w:val="0064264E"/>
    <w:rsid w:val="00644A3F"/>
    <w:rsid w:val="00675380"/>
    <w:rsid w:val="00686E0E"/>
    <w:rsid w:val="006A04A2"/>
    <w:rsid w:val="006B162B"/>
    <w:rsid w:val="006B516C"/>
    <w:rsid w:val="006B749B"/>
    <w:rsid w:val="006C3E00"/>
    <w:rsid w:val="006C78AC"/>
    <w:rsid w:val="006D6D6F"/>
    <w:rsid w:val="006F7984"/>
    <w:rsid w:val="00707803"/>
    <w:rsid w:val="00723998"/>
    <w:rsid w:val="0073309F"/>
    <w:rsid w:val="0079429E"/>
    <w:rsid w:val="007964C7"/>
    <w:rsid w:val="007A0D39"/>
    <w:rsid w:val="007B5CAC"/>
    <w:rsid w:val="007F099A"/>
    <w:rsid w:val="00804C2F"/>
    <w:rsid w:val="00805BC0"/>
    <w:rsid w:val="00806C2F"/>
    <w:rsid w:val="00812229"/>
    <w:rsid w:val="00820142"/>
    <w:rsid w:val="0082153D"/>
    <w:rsid w:val="00832687"/>
    <w:rsid w:val="00834CB9"/>
    <w:rsid w:val="00835A3C"/>
    <w:rsid w:val="00840751"/>
    <w:rsid w:val="00843C3C"/>
    <w:rsid w:val="00850BCF"/>
    <w:rsid w:val="00851284"/>
    <w:rsid w:val="008643B9"/>
    <w:rsid w:val="00865926"/>
    <w:rsid w:val="00880F05"/>
    <w:rsid w:val="008868E1"/>
    <w:rsid w:val="008C4BCD"/>
    <w:rsid w:val="008D45E7"/>
    <w:rsid w:val="008E5A5E"/>
    <w:rsid w:val="00902763"/>
    <w:rsid w:val="00932A79"/>
    <w:rsid w:val="0095687F"/>
    <w:rsid w:val="00962F2B"/>
    <w:rsid w:val="00963C22"/>
    <w:rsid w:val="009700D3"/>
    <w:rsid w:val="0099628A"/>
    <w:rsid w:val="009C0B76"/>
    <w:rsid w:val="009C216E"/>
    <w:rsid w:val="009C444E"/>
    <w:rsid w:val="009C5007"/>
    <w:rsid w:val="009C6A2E"/>
    <w:rsid w:val="009D54AE"/>
    <w:rsid w:val="009E004E"/>
    <w:rsid w:val="00A03AA2"/>
    <w:rsid w:val="00A04FB0"/>
    <w:rsid w:val="00A16459"/>
    <w:rsid w:val="00A32056"/>
    <w:rsid w:val="00A326CA"/>
    <w:rsid w:val="00A40E7C"/>
    <w:rsid w:val="00A43694"/>
    <w:rsid w:val="00A516E0"/>
    <w:rsid w:val="00A540F0"/>
    <w:rsid w:val="00A5423E"/>
    <w:rsid w:val="00A605AD"/>
    <w:rsid w:val="00A62CB9"/>
    <w:rsid w:val="00A66401"/>
    <w:rsid w:val="00A90918"/>
    <w:rsid w:val="00A953E1"/>
    <w:rsid w:val="00AA561E"/>
    <w:rsid w:val="00AA6BAC"/>
    <w:rsid w:val="00AA79AE"/>
    <w:rsid w:val="00AC0190"/>
    <w:rsid w:val="00AD03D0"/>
    <w:rsid w:val="00AE0A3D"/>
    <w:rsid w:val="00AE31A7"/>
    <w:rsid w:val="00AE5F44"/>
    <w:rsid w:val="00B060ED"/>
    <w:rsid w:val="00B1183E"/>
    <w:rsid w:val="00B12D6F"/>
    <w:rsid w:val="00B1317F"/>
    <w:rsid w:val="00B173B3"/>
    <w:rsid w:val="00B25750"/>
    <w:rsid w:val="00B27575"/>
    <w:rsid w:val="00B318BD"/>
    <w:rsid w:val="00B377E3"/>
    <w:rsid w:val="00B569EC"/>
    <w:rsid w:val="00B64743"/>
    <w:rsid w:val="00B67382"/>
    <w:rsid w:val="00B94AE0"/>
    <w:rsid w:val="00B95FCE"/>
    <w:rsid w:val="00BC193C"/>
    <w:rsid w:val="00BC541E"/>
    <w:rsid w:val="00BE364E"/>
    <w:rsid w:val="00BF4303"/>
    <w:rsid w:val="00C0191B"/>
    <w:rsid w:val="00C31708"/>
    <w:rsid w:val="00C35445"/>
    <w:rsid w:val="00C45887"/>
    <w:rsid w:val="00C53F3F"/>
    <w:rsid w:val="00C61873"/>
    <w:rsid w:val="00C633CD"/>
    <w:rsid w:val="00C90726"/>
    <w:rsid w:val="00C930D4"/>
    <w:rsid w:val="00CB7DC9"/>
    <w:rsid w:val="00CC3837"/>
    <w:rsid w:val="00CC3925"/>
    <w:rsid w:val="00CF3119"/>
    <w:rsid w:val="00CF58E1"/>
    <w:rsid w:val="00CF5E79"/>
    <w:rsid w:val="00CF693D"/>
    <w:rsid w:val="00D00524"/>
    <w:rsid w:val="00D16E20"/>
    <w:rsid w:val="00D27FA8"/>
    <w:rsid w:val="00D34168"/>
    <w:rsid w:val="00D46C54"/>
    <w:rsid w:val="00D872E7"/>
    <w:rsid w:val="00D968F7"/>
    <w:rsid w:val="00DA4B62"/>
    <w:rsid w:val="00DA7367"/>
    <w:rsid w:val="00DB14B5"/>
    <w:rsid w:val="00DB5E65"/>
    <w:rsid w:val="00DB60CA"/>
    <w:rsid w:val="00DD36FA"/>
    <w:rsid w:val="00DD4C78"/>
    <w:rsid w:val="00DD6685"/>
    <w:rsid w:val="00DE6474"/>
    <w:rsid w:val="00E030D7"/>
    <w:rsid w:val="00E04593"/>
    <w:rsid w:val="00E04EAA"/>
    <w:rsid w:val="00E27773"/>
    <w:rsid w:val="00E3273A"/>
    <w:rsid w:val="00E43EB6"/>
    <w:rsid w:val="00E63A3E"/>
    <w:rsid w:val="00E76DE5"/>
    <w:rsid w:val="00E803B1"/>
    <w:rsid w:val="00E84BDC"/>
    <w:rsid w:val="00E941D2"/>
    <w:rsid w:val="00E9764B"/>
    <w:rsid w:val="00EC2D76"/>
    <w:rsid w:val="00ED70A7"/>
    <w:rsid w:val="00EF3175"/>
    <w:rsid w:val="00F01843"/>
    <w:rsid w:val="00F06D5E"/>
    <w:rsid w:val="00F246FA"/>
    <w:rsid w:val="00F248F7"/>
    <w:rsid w:val="00F27BD6"/>
    <w:rsid w:val="00F45DF1"/>
    <w:rsid w:val="00F47888"/>
    <w:rsid w:val="00F546DA"/>
    <w:rsid w:val="00F8439D"/>
    <w:rsid w:val="00F865F9"/>
    <w:rsid w:val="00F87994"/>
    <w:rsid w:val="00FA4A65"/>
    <w:rsid w:val="00FA579B"/>
    <w:rsid w:val="00FA5B54"/>
    <w:rsid w:val="00FE409C"/>
    <w:rsid w:val="00FE5533"/>
    <w:rsid w:val="00FF76C6"/>
    <w:rsid w:val="00FF7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B672633"/>
  <w15:docId w15:val="{812AD3CD-A32E-4FCF-8625-BB1AF7F8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val="en-US"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character" w:styleId="Hyperlink">
    <w:name w:val="Hyperlink"/>
    <w:rsid w:val="001A287A"/>
    <w:rPr>
      <w:color w:val="0000FF"/>
      <w:u w:val="single"/>
    </w:rPr>
  </w:style>
  <w:style w:type="paragraph" w:customStyle="1" w:styleId="a">
    <w:basedOn w:val="Normal"/>
    <w:rsid w:val="00176C7E"/>
    <w:pPr>
      <w:spacing w:after="160" w:line="240" w:lineRule="exact"/>
    </w:pPr>
    <w:rPr>
      <w:rFonts w:ascii="Verdana" w:eastAsia="PMingLiU" w:hAnsi="Verdana" w:cs="Times New Roman"/>
      <w:sz w:val="20"/>
      <w:lang w:eastAsia="en-US"/>
    </w:rPr>
  </w:style>
  <w:style w:type="paragraph" w:styleId="DocumentMap">
    <w:name w:val="Document Map"/>
    <w:basedOn w:val="Normal"/>
    <w:semiHidden/>
    <w:rsid w:val="004475B6"/>
    <w:pPr>
      <w:shd w:val="clear" w:color="auto" w:fill="000080"/>
    </w:pPr>
    <w:rPr>
      <w:rFonts w:ascii="Tahoma" w:hAnsi="Tahoma" w:cs="Tahoma"/>
      <w:sz w:val="20"/>
    </w:rPr>
  </w:style>
  <w:style w:type="paragraph" w:styleId="BalloonText">
    <w:name w:val="Balloon Text"/>
    <w:basedOn w:val="Normal"/>
    <w:semiHidden/>
    <w:rsid w:val="004475B6"/>
    <w:rPr>
      <w:rFonts w:ascii="Tahoma" w:hAnsi="Tahoma" w:cs="Tahoma"/>
      <w:sz w:val="16"/>
      <w:szCs w:val="16"/>
    </w:rPr>
  </w:style>
  <w:style w:type="paragraph" w:customStyle="1" w:styleId="onume00">
    <w:name w:val="onume00"/>
    <w:basedOn w:val="Normal"/>
    <w:rsid w:val="006B162B"/>
    <w:pPr>
      <w:tabs>
        <w:tab w:val="num" w:pos="567"/>
      </w:tabs>
      <w:spacing w:after="220"/>
    </w:pPr>
    <w:rPr>
      <w:rFonts w:eastAsia="MS Mincho"/>
      <w:szCs w:val="22"/>
      <w:lang w:eastAsia="ja-JP"/>
    </w:rPr>
  </w:style>
  <w:style w:type="character" w:styleId="FollowedHyperlink">
    <w:name w:val="FollowedHyperlink"/>
    <w:rsid w:val="004E7E66"/>
    <w:rPr>
      <w:color w:val="606420"/>
      <w:u w:val="single"/>
    </w:rPr>
  </w:style>
  <w:style w:type="character" w:styleId="CommentReference">
    <w:name w:val="annotation reference"/>
    <w:rsid w:val="003063F0"/>
    <w:rPr>
      <w:sz w:val="16"/>
      <w:szCs w:val="16"/>
    </w:rPr>
  </w:style>
  <w:style w:type="paragraph" w:styleId="CommentSubject">
    <w:name w:val="annotation subject"/>
    <w:basedOn w:val="CommentText"/>
    <w:next w:val="CommentText"/>
    <w:link w:val="CommentSubjectChar"/>
    <w:rsid w:val="003063F0"/>
    <w:rPr>
      <w:b/>
      <w:bCs/>
      <w:sz w:val="20"/>
    </w:rPr>
  </w:style>
  <w:style w:type="character" w:customStyle="1" w:styleId="CommentTextChar">
    <w:name w:val="Comment Text Char"/>
    <w:link w:val="CommentText"/>
    <w:semiHidden/>
    <w:rsid w:val="003063F0"/>
    <w:rPr>
      <w:rFonts w:ascii="Arial" w:eastAsia="SimSun" w:hAnsi="Arial" w:cs="Arial"/>
      <w:sz w:val="18"/>
      <w:lang w:eastAsia="zh-CN"/>
    </w:rPr>
  </w:style>
  <w:style w:type="character" w:customStyle="1" w:styleId="CommentSubjectChar">
    <w:name w:val="Comment Subject Char"/>
    <w:link w:val="CommentSubject"/>
    <w:rsid w:val="003063F0"/>
    <w:rPr>
      <w:rFonts w:ascii="Arial" w:eastAsia="SimSun" w:hAnsi="Arial" w:cs="Arial"/>
      <w:b/>
      <w:bCs/>
      <w:sz w:val="18"/>
      <w:lang w:eastAsia="zh-CN"/>
    </w:rPr>
  </w:style>
  <w:style w:type="character" w:styleId="FootnoteReference">
    <w:name w:val="footnote reference"/>
    <w:rsid w:val="00477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0785-0056-4B96-8CF2-8B28ADB0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Hague Information Notice No. 6/2011</vt:lpstr>
    </vt:vector>
  </TitlesOfParts>
  <Company>WIPO</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Hague Information Notice No. 6/2011</dc:title>
  <dc:subject>Accession by Rwanda to the 1999 Act</dc:subject>
  <dc:creator>CleaveleyA</dc:creator>
  <cp:lastModifiedBy>MAILLARD Amber</cp:lastModifiedBy>
  <cp:revision>8</cp:revision>
  <cp:lastPrinted>2018-11-21T09:11:00Z</cp:lastPrinted>
  <dcterms:created xsi:type="dcterms:W3CDTF">2018-10-11T11:15:00Z</dcterms:created>
  <dcterms:modified xsi:type="dcterms:W3CDTF">2018-11-21T09:19:00Z</dcterms:modified>
</cp:coreProperties>
</file>