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A13045" w14:paraId="378F6D4F" w14:textId="77777777" w:rsidTr="00BC3767">
        <w:tc>
          <w:tcPr>
            <w:tcW w:w="4513" w:type="dxa"/>
            <w:tcBorders>
              <w:bottom w:val="single" w:sz="4" w:space="0" w:color="auto"/>
            </w:tcBorders>
            <w:tcMar>
              <w:bottom w:w="170" w:type="dxa"/>
            </w:tcMar>
          </w:tcPr>
          <w:p w14:paraId="1E31DD41" w14:textId="77777777" w:rsidR="00EC4E49" w:rsidRPr="00FB7408" w:rsidRDefault="00EC4E49" w:rsidP="00916EE2">
            <w:pPr>
              <w:rPr>
                <w:lang w:val="fr-FR"/>
              </w:rPr>
            </w:pPr>
            <w:bookmarkStart w:id="0" w:name="_GoBack"/>
            <w:bookmarkEnd w:id="0"/>
          </w:p>
        </w:tc>
        <w:tc>
          <w:tcPr>
            <w:tcW w:w="4337" w:type="dxa"/>
            <w:tcBorders>
              <w:bottom w:val="single" w:sz="4" w:space="0" w:color="auto"/>
            </w:tcBorders>
            <w:tcMar>
              <w:left w:w="0" w:type="dxa"/>
              <w:right w:w="0" w:type="dxa"/>
            </w:tcMar>
          </w:tcPr>
          <w:p w14:paraId="7A01BD4F" w14:textId="10DD9C1C" w:rsidR="00EC4E49" w:rsidRPr="00A13045" w:rsidRDefault="008D4833" w:rsidP="00916EE2">
            <w:pPr>
              <w:rPr>
                <w:lang w:val="fr-FR"/>
              </w:rPr>
            </w:pPr>
            <w:r w:rsidRPr="00A13045">
              <w:rPr>
                <w:noProof/>
                <w:lang w:eastAsia="en-US"/>
              </w:rPr>
              <w:drawing>
                <wp:inline distT="0" distB="0" distL="0" distR="0" wp14:anchorId="45D9E410" wp14:editId="06DE1523">
                  <wp:extent cx="1858645" cy="1325245"/>
                  <wp:effectExtent l="0" t="0" r="8255" b="825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524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2FC87078" w14:textId="77777777" w:rsidR="00EC4E49" w:rsidRPr="00A13045" w:rsidRDefault="00EC4E49" w:rsidP="00916EE2">
            <w:pPr>
              <w:jc w:val="right"/>
              <w:rPr>
                <w:lang w:val="fr-FR"/>
              </w:rPr>
            </w:pPr>
          </w:p>
        </w:tc>
      </w:tr>
      <w:tr w:rsidR="008B2CC1" w:rsidRPr="00A13045" w14:paraId="6F47133B" w14:textId="77777777" w:rsidTr="00BC3767">
        <w:trPr>
          <w:trHeight w:hRule="exact" w:val="170"/>
        </w:trPr>
        <w:tc>
          <w:tcPr>
            <w:tcW w:w="9360" w:type="dxa"/>
            <w:gridSpan w:val="3"/>
            <w:noWrap/>
            <w:tcMar>
              <w:left w:w="0" w:type="dxa"/>
              <w:right w:w="0" w:type="dxa"/>
            </w:tcMar>
            <w:vAlign w:val="bottom"/>
          </w:tcPr>
          <w:p w14:paraId="14612EA4" w14:textId="77777777" w:rsidR="008B2CC1" w:rsidRPr="00A13045" w:rsidRDefault="008B2CC1" w:rsidP="00916EE2">
            <w:pPr>
              <w:jc w:val="right"/>
              <w:rPr>
                <w:rFonts w:ascii="Arial Black" w:hAnsi="Arial Black"/>
                <w:caps/>
                <w:sz w:val="15"/>
                <w:lang w:val="fr-FR"/>
              </w:rPr>
            </w:pPr>
            <w:bookmarkStart w:id="1" w:name="Original"/>
            <w:bookmarkEnd w:id="1"/>
          </w:p>
        </w:tc>
      </w:tr>
      <w:tr w:rsidR="008B2CC1" w:rsidRPr="00A13045" w14:paraId="324102A7" w14:textId="77777777" w:rsidTr="00BC3767">
        <w:trPr>
          <w:trHeight w:hRule="exact" w:val="198"/>
        </w:trPr>
        <w:tc>
          <w:tcPr>
            <w:tcW w:w="9360" w:type="dxa"/>
            <w:gridSpan w:val="3"/>
            <w:tcMar>
              <w:left w:w="0" w:type="dxa"/>
              <w:right w:w="0" w:type="dxa"/>
            </w:tcMar>
            <w:vAlign w:val="bottom"/>
          </w:tcPr>
          <w:p w14:paraId="14B9AD7B" w14:textId="394DB257" w:rsidR="008B2CC1" w:rsidRPr="00A13045" w:rsidRDefault="008D4833" w:rsidP="008D4833">
            <w:pPr>
              <w:jc w:val="right"/>
              <w:rPr>
                <w:rFonts w:ascii="Arial Black" w:hAnsi="Arial Black"/>
                <w:caps/>
                <w:sz w:val="15"/>
                <w:lang w:val="fr-FR"/>
              </w:rPr>
            </w:pPr>
            <w:r w:rsidRPr="00A13045">
              <w:rPr>
                <w:rFonts w:ascii="Arial Black" w:hAnsi="Arial Black"/>
                <w:caps/>
                <w:sz w:val="15"/>
                <w:lang w:val="fr-FR"/>
              </w:rPr>
              <w:t>avis</w:t>
            </w:r>
            <w:r w:rsidR="00CC5016" w:rsidRPr="00A13045">
              <w:rPr>
                <w:rFonts w:ascii="Arial Black" w:hAnsi="Arial Black"/>
                <w:caps/>
                <w:sz w:val="15"/>
                <w:lang w:val="fr-FR"/>
              </w:rPr>
              <w:t xml:space="preserve"> N</w:t>
            </w:r>
            <w:r w:rsidRPr="00A13045">
              <w:rPr>
                <w:rFonts w:ascii="Arial Black" w:hAnsi="Arial Black"/>
                <w:caps/>
                <w:sz w:val="15"/>
                <w:lang w:val="fr-FR"/>
              </w:rPr>
              <w:t>° </w:t>
            </w:r>
            <w:r w:rsidR="00A13045">
              <w:rPr>
                <w:rFonts w:ascii="Arial Black" w:hAnsi="Arial Black"/>
                <w:caps/>
                <w:sz w:val="15"/>
                <w:lang w:val="fr-FR"/>
              </w:rPr>
              <w:t>16</w:t>
            </w:r>
            <w:r w:rsidR="00864A35" w:rsidRPr="00A13045">
              <w:rPr>
                <w:rFonts w:ascii="Arial Black" w:hAnsi="Arial Black"/>
                <w:caps/>
                <w:sz w:val="15"/>
                <w:lang w:val="fr-FR"/>
              </w:rPr>
              <w:t>/</w:t>
            </w:r>
            <w:r w:rsidR="009B2582" w:rsidRPr="00A13045">
              <w:rPr>
                <w:rFonts w:ascii="Arial Black" w:hAnsi="Arial Black"/>
                <w:caps/>
                <w:sz w:val="15"/>
                <w:lang w:val="fr-FR"/>
              </w:rPr>
              <w:t>20</w:t>
            </w:r>
            <w:r w:rsidR="004B7696" w:rsidRPr="00A13045">
              <w:rPr>
                <w:rFonts w:ascii="Arial Black" w:hAnsi="Arial Black"/>
                <w:caps/>
                <w:sz w:val="15"/>
                <w:lang w:val="fr-FR"/>
              </w:rPr>
              <w:t>20</w:t>
            </w:r>
            <w:r w:rsidR="00A42DAF" w:rsidRPr="00A13045">
              <w:rPr>
                <w:rFonts w:ascii="Arial Black" w:hAnsi="Arial Black"/>
                <w:caps/>
                <w:sz w:val="15"/>
                <w:lang w:val="fr-FR"/>
              </w:rPr>
              <w:t xml:space="preserve"> </w:t>
            </w:r>
            <w:r w:rsidR="008B2CC1" w:rsidRPr="00A13045">
              <w:rPr>
                <w:rFonts w:ascii="Arial Black" w:hAnsi="Arial Black"/>
                <w:caps/>
                <w:sz w:val="15"/>
                <w:lang w:val="fr-FR"/>
              </w:rPr>
              <w:t xml:space="preserve"> </w:t>
            </w:r>
            <w:bookmarkStart w:id="2" w:name="Date"/>
            <w:bookmarkEnd w:id="2"/>
          </w:p>
        </w:tc>
      </w:tr>
    </w:tbl>
    <w:p w14:paraId="030F98A3" w14:textId="64BBCBFD" w:rsidR="00CC5016" w:rsidRPr="00A13045" w:rsidRDefault="00FB7408" w:rsidP="009A01DD">
      <w:pPr>
        <w:autoSpaceDE w:val="0"/>
        <w:autoSpaceDN w:val="0"/>
        <w:adjustRightInd w:val="0"/>
        <w:spacing w:before="1200"/>
        <w:rPr>
          <w:b/>
          <w:bCs/>
          <w:sz w:val="28"/>
          <w:szCs w:val="28"/>
          <w:lang w:val="fr-FR"/>
        </w:rPr>
      </w:pPr>
      <w:r w:rsidRPr="00A13045">
        <w:rPr>
          <w:b/>
          <w:bCs/>
          <w:sz w:val="28"/>
          <w:szCs w:val="28"/>
          <w:lang w:val="fr-FR"/>
        </w:rPr>
        <w:t>Arrangement de La Haye concernant l’enregistrement international des dessins et modèles industriels</w:t>
      </w:r>
    </w:p>
    <w:p w14:paraId="085F6223" w14:textId="25ADBE9B" w:rsidR="001F1B95" w:rsidRPr="00A13045" w:rsidRDefault="00FB7408" w:rsidP="009A01DD">
      <w:pPr>
        <w:autoSpaceDE w:val="0"/>
        <w:autoSpaceDN w:val="0"/>
        <w:adjustRightInd w:val="0"/>
        <w:spacing w:before="720" w:after="240"/>
        <w:rPr>
          <w:b/>
          <w:bCs/>
          <w:sz w:val="24"/>
          <w:szCs w:val="24"/>
          <w:lang w:val="fr-FR"/>
        </w:rPr>
      </w:pPr>
      <w:r w:rsidRPr="00A13045">
        <w:rPr>
          <w:b/>
          <w:bCs/>
          <w:sz w:val="24"/>
          <w:szCs w:val="24"/>
          <w:lang w:val="fr-FR"/>
        </w:rPr>
        <w:t>Taxe de désignation individuelle </w:t>
      </w:r>
      <w:r w:rsidR="006D7BD8" w:rsidRPr="00A13045">
        <w:rPr>
          <w:b/>
          <w:bCs/>
          <w:sz w:val="24"/>
          <w:szCs w:val="24"/>
          <w:lang w:val="fr-FR"/>
        </w:rPr>
        <w:t xml:space="preserve">: </w:t>
      </w:r>
      <w:r w:rsidR="004B7696" w:rsidRPr="00A13045">
        <w:rPr>
          <w:b/>
          <w:bCs/>
          <w:sz w:val="24"/>
          <w:szCs w:val="24"/>
          <w:lang w:val="fr-FR"/>
        </w:rPr>
        <w:t>Mexi</w:t>
      </w:r>
      <w:r w:rsidR="00747B48" w:rsidRPr="00A13045">
        <w:rPr>
          <w:b/>
          <w:bCs/>
          <w:sz w:val="24"/>
          <w:szCs w:val="24"/>
          <w:lang w:val="fr-FR"/>
        </w:rPr>
        <w:t>que</w:t>
      </w:r>
    </w:p>
    <w:p w14:paraId="4E447FAE" w14:textId="17C4D51A" w:rsidR="006C1E1F" w:rsidRPr="00A13045" w:rsidRDefault="00747B48" w:rsidP="001371C1">
      <w:pPr>
        <w:pStyle w:val="ONUME"/>
        <w:rPr>
          <w:color w:val="000000"/>
          <w:lang w:val="fr-FR"/>
        </w:rPr>
      </w:pPr>
      <w:r w:rsidRPr="00A13045">
        <w:rPr>
          <w:lang w:val="fr-FR"/>
        </w:rPr>
        <w:t xml:space="preserve">Le </w:t>
      </w:r>
      <w:r w:rsidR="006C1E1F" w:rsidRPr="00A13045">
        <w:rPr>
          <w:lang w:val="fr-FR"/>
        </w:rPr>
        <w:t>Go</w:t>
      </w:r>
      <w:r w:rsidRPr="00A13045">
        <w:rPr>
          <w:lang w:val="fr-FR"/>
        </w:rPr>
        <w:t>u</w:t>
      </w:r>
      <w:r w:rsidR="006C1E1F" w:rsidRPr="00A13045">
        <w:rPr>
          <w:lang w:val="fr-FR"/>
        </w:rPr>
        <w:t>vern</w:t>
      </w:r>
      <w:r w:rsidRPr="00A13045">
        <w:rPr>
          <w:lang w:val="fr-FR"/>
        </w:rPr>
        <w:t>e</w:t>
      </w:r>
      <w:r w:rsidR="006C1E1F" w:rsidRPr="00A13045">
        <w:rPr>
          <w:lang w:val="fr-FR"/>
        </w:rPr>
        <w:t xml:space="preserve">ment </w:t>
      </w:r>
      <w:r w:rsidRPr="00A13045">
        <w:rPr>
          <w:lang w:val="fr-FR"/>
        </w:rPr>
        <w:t>du Mexique a fait la déclaration visée à l’article</w:t>
      </w:r>
      <w:r w:rsidR="009A01DD" w:rsidRPr="00A13045">
        <w:rPr>
          <w:lang w:val="fr-FR"/>
        </w:rPr>
        <w:t> </w:t>
      </w:r>
      <w:r w:rsidR="00864A35" w:rsidRPr="00A13045">
        <w:rPr>
          <w:lang w:val="fr-FR"/>
        </w:rPr>
        <w:t>7</w:t>
      </w:r>
      <w:r w:rsidRPr="00A13045">
        <w:rPr>
          <w:lang w:val="fr-FR"/>
        </w:rPr>
        <w:t>.</w:t>
      </w:r>
      <w:r w:rsidR="00864A35" w:rsidRPr="00A13045">
        <w:rPr>
          <w:lang w:val="fr-FR"/>
        </w:rPr>
        <w:t xml:space="preserve">2) </w:t>
      </w:r>
      <w:r w:rsidRPr="00A13045">
        <w:rPr>
          <w:lang w:val="fr-FR"/>
        </w:rPr>
        <w:t xml:space="preserve">de l’Acte de Genève de l’Arrangement de La Haye concernant l’enregistrement international des dessins et modèles industriels </w:t>
      </w:r>
      <w:r w:rsidR="00864A35" w:rsidRPr="00A13045">
        <w:rPr>
          <w:lang w:val="fr-FR"/>
        </w:rPr>
        <w:t>(</w:t>
      </w:r>
      <w:r w:rsidRPr="00A13045">
        <w:rPr>
          <w:lang w:val="fr-FR"/>
        </w:rPr>
        <w:t>ci</w:t>
      </w:r>
      <w:r w:rsidRPr="00A13045">
        <w:rPr>
          <w:lang w:val="fr-FR"/>
        </w:rPr>
        <w:noBreakHyphen/>
        <w:t xml:space="preserve">après dénommé </w:t>
      </w:r>
      <w:r w:rsidR="00864A35" w:rsidRPr="00A13045">
        <w:rPr>
          <w:lang w:val="fr-FR"/>
        </w:rPr>
        <w:t>“</w:t>
      </w:r>
      <w:r w:rsidRPr="00A13045">
        <w:rPr>
          <w:lang w:val="fr-FR"/>
        </w:rPr>
        <w:t xml:space="preserve">Acte de </w:t>
      </w:r>
      <w:r w:rsidR="00864A35" w:rsidRPr="00A13045">
        <w:rPr>
          <w:lang w:val="fr-FR"/>
        </w:rPr>
        <w:t>1999”)</w:t>
      </w:r>
      <w:r w:rsidR="006C1E1F" w:rsidRPr="00A13045">
        <w:rPr>
          <w:lang w:val="fr-FR"/>
        </w:rPr>
        <w:t xml:space="preserve"> </w:t>
      </w:r>
      <w:r w:rsidRPr="00A13045">
        <w:rPr>
          <w:lang w:val="fr-FR"/>
        </w:rPr>
        <w:t xml:space="preserve">selon laquelle, pour </w:t>
      </w:r>
      <w:r w:rsidR="00702F51" w:rsidRPr="00A13045">
        <w:rPr>
          <w:lang w:val="fr-FR"/>
        </w:rPr>
        <w:t>toute</w:t>
      </w:r>
      <w:r w:rsidRPr="00A13045">
        <w:rPr>
          <w:lang w:val="fr-FR"/>
        </w:rPr>
        <w:t xml:space="preserve"> demande internationale dans laquelle le Mexique est désigné, ainsi que pour le renouvellement de tout enregistrement international découlant d’une telle demande internationale, la taxe de désignation prescrite est remplacée par une taxe de désignation individuelle</w:t>
      </w:r>
      <w:r w:rsidR="006C1E1F" w:rsidRPr="00A13045">
        <w:rPr>
          <w:lang w:val="fr-FR"/>
        </w:rPr>
        <w:t>.</w:t>
      </w:r>
    </w:p>
    <w:p w14:paraId="547AFCEC" w14:textId="5FE6A6E0" w:rsidR="0050232F" w:rsidRPr="00A13045" w:rsidRDefault="00747B48" w:rsidP="00982404">
      <w:pPr>
        <w:pStyle w:val="ONUME"/>
        <w:rPr>
          <w:lang w:val="fr-FR"/>
        </w:rPr>
      </w:pPr>
      <w:r w:rsidRPr="00A13045">
        <w:rPr>
          <w:color w:val="000000"/>
          <w:lang w:val="fr-FR"/>
        </w:rPr>
        <w:t>La déclaration précis</w:t>
      </w:r>
      <w:r w:rsidR="00A620DD" w:rsidRPr="00A13045">
        <w:rPr>
          <w:color w:val="000000"/>
          <w:lang w:val="fr-FR"/>
        </w:rPr>
        <w:t>e</w:t>
      </w:r>
      <w:r w:rsidR="00D97E26" w:rsidRPr="00A13045">
        <w:rPr>
          <w:color w:val="000000"/>
          <w:lang w:val="fr-FR"/>
        </w:rPr>
        <w:t xml:space="preserve">, </w:t>
      </w:r>
      <w:r w:rsidRPr="00A13045">
        <w:rPr>
          <w:color w:val="000000"/>
          <w:lang w:val="fr-FR"/>
        </w:rPr>
        <w:t>conformément à la règle </w:t>
      </w:r>
      <w:r w:rsidR="00D97E26" w:rsidRPr="00A13045">
        <w:rPr>
          <w:lang w:val="fr-FR"/>
        </w:rPr>
        <w:t>12</w:t>
      </w:r>
      <w:r w:rsidRPr="00A13045">
        <w:rPr>
          <w:lang w:val="fr-FR"/>
        </w:rPr>
        <w:t>.</w:t>
      </w:r>
      <w:r w:rsidR="00D97E26" w:rsidRPr="00A13045">
        <w:rPr>
          <w:lang w:val="fr-FR"/>
        </w:rPr>
        <w:t xml:space="preserve">3) </w:t>
      </w:r>
      <w:r w:rsidRPr="00A13045">
        <w:rPr>
          <w:lang w:val="fr-FR"/>
        </w:rPr>
        <w:t xml:space="preserve">du Règlement d’exécution </w:t>
      </w:r>
      <w:r w:rsidR="00702F51" w:rsidRPr="00A13045">
        <w:rPr>
          <w:lang w:val="fr-FR"/>
        </w:rPr>
        <w:t xml:space="preserve">commun </w:t>
      </w:r>
      <w:r w:rsidRPr="00A13045">
        <w:rPr>
          <w:lang w:val="fr-FR"/>
        </w:rPr>
        <w:t xml:space="preserve">à </w:t>
      </w:r>
      <w:r w:rsidR="0050232F" w:rsidRPr="00A13045">
        <w:rPr>
          <w:lang w:val="fr-FR"/>
        </w:rPr>
        <w:t>l’Acte de 1999 et l’Acte de 1960 de l’Arrangement de La Haye (ci</w:t>
      </w:r>
      <w:r w:rsidR="0050232F" w:rsidRPr="00A13045">
        <w:rPr>
          <w:lang w:val="fr-FR"/>
        </w:rPr>
        <w:noBreakHyphen/>
        <w:t>après dénommé “règlement d’exécution commun”)</w:t>
      </w:r>
      <w:r w:rsidR="0050232F" w:rsidRPr="00A13045">
        <w:rPr>
          <w:color w:val="000000"/>
          <w:lang w:val="fr-FR"/>
        </w:rPr>
        <w:t xml:space="preserve">, que la taxe de désignation individuelle </w:t>
      </w:r>
      <w:r w:rsidR="006D371F" w:rsidRPr="00A13045">
        <w:rPr>
          <w:color w:val="000000"/>
          <w:lang w:val="fr-FR"/>
        </w:rPr>
        <w:t xml:space="preserve">pour une demande internationale </w:t>
      </w:r>
      <w:r w:rsidR="0050232F" w:rsidRPr="00A13045">
        <w:rPr>
          <w:color w:val="000000"/>
          <w:lang w:val="fr-FR"/>
        </w:rPr>
        <w:t>comprend deux parties.</w:t>
      </w:r>
    </w:p>
    <w:p w14:paraId="0638D4E5" w14:textId="2818A4E7" w:rsidR="006C1E1F" w:rsidRPr="00A13045" w:rsidRDefault="00192127" w:rsidP="00982404">
      <w:pPr>
        <w:pStyle w:val="ONUME"/>
        <w:rPr>
          <w:lang w:val="fr-FR"/>
        </w:rPr>
      </w:pPr>
      <w:r w:rsidRPr="00A13045">
        <w:rPr>
          <w:lang w:val="fr-FR"/>
        </w:rPr>
        <w:t xml:space="preserve">La déclaration prévoit également une réduction de la taxe concernant une demande internationale ou </w:t>
      </w:r>
      <w:r w:rsidR="00702F51" w:rsidRPr="00A13045">
        <w:rPr>
          <w:lang w:val="fr-FR"/>
        </w:rPr>
        <w:t>le renouvellement d’</w:t>
      </w:r>
      <w:r w:rsidRPr="00A13045">
        <w:rPr>
          <w:lang w:val="fr-FR"/>
        </w:rPr>
        <w:t>un enregistrement international si le déposant de la demande internationale ou le titulaire de l’enregistrement international est </w:t>
      </w:r>
      <w:r w:rsidR="006C1E1F" w:rsidRPr="00A13045">
        <w:rPr>
          <w:lang w:val="fr-FR"/>
        </w:rPr>
        <w:t>:</w:t>
      </w:r>
    </w:p>
    <w:p w14:paraId="4D4C09F1" w14:textId="53BBCE96" w:rsidR="006C1E1F" w:rsidRPr="00A13045" w:rsidRDefault="00192127" w:rsidP="006C1E1F">
      <w:pPr>
        <w:pStyle w:val="ONUME"/>
        <w:numPr>
          <w:ilvl w:val="1"/>
          <w:numId w:val="5"/>
        </w:numPr>
        <w:rPr>
          <w:lang w:val="fr-FR"/>
        </w:rPr>
      </w:pPr>
      <w:r w:rsidRPr="00A13045">
        <w:rPr>
          <w:lang w:val="fr-FR"/>
        </w:rPr>
        <w:t>un créateur qui est une</w:t>
      </w:r>
      <w:r w:rsidR="006C1E1F" w:rsidRPr="00A13045">
        <w:rPr>
          <w:lang w:val="fr-FR"/>
        </w:rPr>
        <w:t xml:space="preserve"> person</w:t>
      </w:r>
      <w:r w:rsidRPr="00A13045">
        <w:rPr>
          <w:lang w:val="fr-FR"/>
        </w:rPr>
        <w:t>ne physique</w:t>
      </w:r>
      <w:r w:rsidR="006C1E1F" w:rsidRPr="00A13045">
        <w:rPr>
          <w:lang w:val="fr-FR"/>
        </w:rPr>
        <w:t>;</w:t>
      </w:r>
      <w:r w:rsidRPr="00A13045">
        <w:rPr>
          <w:lang w:val="fr-FR"/>
        </w:rPr>
        <w:t xml:space="preserve">  </w:t>
      </w:r>
    </w:p>
    <w:p w14:paraId="79263797" w14:textId="66F13F62" w:rsidR="00115B3C" w:rsidRPr="00A13045" w:rsidRDefault="00192127" w:rsidP="00115B3C">
      <w:pPr>
        <w:pStyle w:val="ONUME"/>
        <w:numPr>
          <w:ilvl w:val="1"/>
          <w:numId w:val="5"/>
        </w:numPr>
        <w:ind w:left="0" w:firstLine="567"/>
        <w:rPr>
          <w:color w:val="000000"/>
          <w:lang w:val="fr-FR"/>
        </w:rPr>
      </w:pPr>
      <w:r w:rsidRPr="00A13045">
        <w:rPr>
          <w:lang w:val="fr-FR"/>
        </w:rPr>
        <w:t>une micro ou petite entité;</w:t>
      </w:r>
      <w:r w:rsidR="00115B3C" w:rsidRPr="00A13045">
        <w:rPr>
          <w:lang w:val="fr-FR"/>
        </w:rPr>
        <w:t xml:space="preserve"> </w:t>
      </w:r>
      <w:r w:rsidRPr="00A13045">
        <w:rPr>
          <w:lang w:val="fr-FR"/>
        </w:rPr>
        <w:t xml:space="preserve"> </w:t>
      </w:r>
    </w:p>
    <w:p w14:paraId="4A2FA247" w14:textId="1D22E986" w:rsidR="00115B3C" w:rsidRPr="00A13045" w:rsidRDefault="00192127" w:rsidP="00115B3C">
      <w:pPr>
        <w:pStyle w:val="ONUME"/>
        <w:numPr>
          <w:ilvl w:val="1"/>
          <w:numId w:val="5"/>
        </w:numPr>
        <w:ind w:left="0" w:firstLine="567"/>
        <w:rPr>
          <w:color w:val="000000"/>
          <w:lang w:val="fr-FR"/>
        </w:rPr>
      </w:pPr>
      <w:r w:rsidRPr="00A13045">
        <w:rPr>
          <w:lang w:val="fr-FR"/>
        </w:rPr>
        <w:t>un établissement d’enseignement supérieur public ou privé;</w:t>
      </w:r>
      <w:r w:rsidR="00115B3C" w:rsidRPr="00A13045">
        <w:rPr>
          <w:lang w:val="fr-FR"/>
        </w:rPr>
        <w:t xml:space="preserve"> </w:t>
      </w:r>
      <w:r w:rsidR="005D33CB" w:rsidRPr="00A13045">
        <w:rPr>
          <w:lang w:val="fr-FR"/>
        </w:rPr>
        <w:t xml:space="preserve"> </w:t>
      </w:r>
      <w:r w:rsidR="00D06597" w:rsidRPr="00A13045">
        <w:rPr>
          <w:lang w:val="fr-FR"/>
        </w:rPr>
        <w:t>o</w:t>
      </w:r>
      <w:r w:rsidRPr="00A13045">
        <w:rPr>
          <w:lang w:val="fr-FR"/>
        </w:rPr>
        <w:t>u</w:t>
      </w:r>
    </w:p>
    <w:p w14:paraId="2071528A" w14:textId="0676F1EE" w:rsidR="00115B3C" w:rsidRPr="00A13045" w:rsidRDefault="00192127" w:rsidP="00DF30E4">
      <w:pPr>
        <w:pStyle w:val="ONUME"/>
        <w:numPr>
          <w:ilvl w:val="1"/>
          <w:numId w:val="5"/>
        </w:numPr>
        <w:ind w:left="0" w:firstLine="567"/>
        <w:rPr>
          <w:color w:val="000000"/>
          <w:lang w:val="fr-FR"/>
        </w:rPr>
      </w:pPr>
      <w:r w:rsidRPr="00A13045">
        <w:rPr>
          <w:lang w:val="fr-FR"/>
        </w:rPr>
        <w:t>un insti</w:t>
      </w:r>
      <w:r w:rsidR="00F92BD4" w:rsidRPr="00A13045">
        <w:rPr>
          <w:lang w:val="fr-FR"/>
        </w:rPr>
        <w:t>tut de recherche scientifique ou</w:t>
      </w:r>
      <w:r w:rsidRPr="00A13045">
        <w:rPr>
          <w:lang w:val="fr-FR"/>
        </w:rPr>
        <w:t xml:space="preserve"> technologique </w:t>
      </w:r>
      <w:r w:rsidR="003C2689" w:rsidRPr="00A13045">
        <w:rPr>
          <w:lang w:val="fr-FR"/>
        </w:rPr>
        <w:t xml:space="preserve">du secteur </w:t>
      </w:r>
      <w:r w:rsidRPr="00A13045">
        <w:rPr>
          <w:lang w:val="fr-FR"/>
        </w:rPr>
        <w:t>public</w:t>
      </w:r>
      <w:r w:rsidR="00261777" w:rsidRPr="00A13045">
        <w:rPr>
          <w:color w:val="000000"/>
          <w:lang w:val="fr-FR"/>
        </w:rPr>
        <w:t>.</w:t>
      </w:r>
      <w:r w:rsidRPr="00A13045">
        <w:rPr>
          <w:color w:val="000000"/>
          <w:lang w:val="fr-FR"/>
        </w:rPr>
        <w:t xml:space="preserve">  </w:t>
      </w:r>
    </w:p>
    <w:p w14:paraId="7BA8E67A" w14:textId="5D46B440" w:rsidR="005D33CB" w:rsidRPr="00A13045" w:rsidRDefault="005D33CB" w:rsidP="00EB6BD2">
      <w:pPr>
        <w:pStyle w:val="ONUME"/>
        <w:rPr>
          <w:lang w:val="fr-FR"/>
        </w:rPr>
      </w:pPr>
      <w:r w:rsidRPr="00A13045">
        <w:rPr>
          <w:lang w:val="fr-FR"/>
        </w:rPr>
        <w:br w:type="page"/>
      </w:r>
      <w:r w:rsidR="003C2689" w:rsidRPr="00A13045">
        <w:rPr>
          <w:lang w:val="fr-FR"/>
        </w:rPr>
        <w:lastRenderedPageBreak/>
        <w:t xml:space="preserve">Conformément à la règle 28.2)d) du </w:t>
      </w:r>
      <w:r w:rsidR="007407FF" w:rsidRPr="00A13045">
        <w:rPr>
          <w:lang w:val="fr-FR"/>
        </w:rPr>
        <w:t>règlement d’exécution commun</w:t>
      </w:r>
      <w:r w:rsidR="003C2689" w:rsidRPr="00A13045">
        <w:rPr>
          <w:lang w:val="fr-FR"/>
        </w:rPr>
        <w:t>, le Directeur général de l’Organisation Mondiale de la Propriété Intellectuelle (OMPI) a établi comme suit, après consultation de l’Institut mexicain de la propriété industrielle (IMPI), les montants de la taxe de désignation individuelle qui doit être payée à l’égard d’une désignation du Mexique dans une demande internationale, ainsi que pour le renouvellement d’un enregistrement international désignant le Mexique </w:t>
      </w:r>
      <w:r w:rsidR="003C2689" w:rsidRPr="00A13045">
        <w:rPr>
          <w:spacing w:val="-3"/>
          <w:lang w:val="fr-FR"/>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103"/>
        <w:gridCol w:w="1985"/>
      </w:tblGrid>
      <w:tr w:rsidR="005E0370" w:rsidRPr="00A13045" w14:paraId="1680251F" w14:textId="77777777" w:rsidTr="00A05862">
        <w:trPr>
          <w:trHeight w:val="736"/>
        </w:trPr>
        <w:tc>
          <w:tcPr>
            <w:tcW w:w="7513" w:type="dxa"/>
            <w:gridSpan w:val="2"/>
            <w:vAlign w:val="center"/>
          </w:tcPr>
          <w:p w14:paraId="0422EB29" w14:textId="77777777" w:rsidR="005E0370" w:rsidRPr="00A13045" w:rsidRDefault="005E0370" w:rsidP="00A05862">
            <w:pPr>
              <w:jc w:val="center"/>
              <w:rPr>
                <w:b/>
                <w:lang w:val="fr-FR"/>
              </w:rPr>
            </w:pPr>
            <w:r w:rsidRPr="00A13045">
              <w:rPr>
                <w:b/>
                <w:lang w:val="fr-FR"/>
              </w:rPr>
              <w:t>Taxe de désignation individuelle</w:t>
            </w:r>
          </w:p>
        </w:tc>
        <w:tc>
          <w:tcPr>
            <w:tcW w:w="1985" w:type="dxa"/>
            <w:vAlign w:val="center"/>
          </w:tcPr>
          <w:p w14:paraId="4AA4272F" w14:textId="77777777" w:rsidR="005E0370" w:rsidRPr="00A13045" w:rsidRDefault="005E0370" w:rsidP="00A05862">
            <w:pPr>
              <w:jc w:val="center"/>
              <w:rPr>
                <w:b/>
                <w:lang w:val="fr-FR"/>
              </w:rPr>
            </w:pPr>
            <w:r w:rsidRPr="00A13045">
              <w:rPr>
                <w:b/>
                <w:lang w:val="fr-FR"/>
              </w:rPr>
              <w:t>Montants</w:t>
            </w:r>
            <w:r w:rsidRPr="00A13045">
              <w:rPr>
                <w:b/>
                <w:lang w:val="fr-FR"/>
              </w:rPr>
              <w:br/>
            </w:r>
            <w:r w:rsidRPr="00A13045">
              <w:rPr>
                <w:lang w:val="fr-FR"/>
              </w:rPr>
              <w:t>(en francs suisses)</w:t>
            </w:r>
          </w:p>
        </w:tc>
      </w:tr>
      <w:tr w:rsidR="005E0370" w:rsidRPr="00A13045" w14:paraId="330030A0" w14:textId="77777777" w:rsidTr="00A05862">
        <w:trPr>
          <w:trHeight w:val="414"/>
        </w:trPr>
        <w:tc>
          <w:tcPr>
            <w:tcW w:w="2410" w:type="dxa"/>
            <w:vMerge w:val="restart"/>
            <w:vAlign w:val="center"/>
          </w:tcPr>
          <w:p w14:paraId="4D1CD114" w14:textId="77777777" w:rsidR="005E0370" w:rsidRPr="00A13045" w:rsidRDefault="005E0370" w:rsidP="00A05862">
            <w:pPr>
              <w:rPr>
                <w:lang w:val="fr-FR"/>
              </w:rPr>
            </w:pPr>
            <w:r w:rsidRPr="00A13045">
              <w:rPr>
                <w:lang w:val="fr-FR"/>
              </w:rPr>
              <w:t xml:space="preserve">Demande internationale </w:t>
            </w:r>
          </w:p>
        </w:tc>
        <w:tc>
          <w:tcPr>
            <w:tcW w:w="5103" w:type="dxa"/>
          </w:tcPr>
          <w:p w14:paraId="658DDCA8" w14:textId="77777777" w:rsidR="005E0370" w:rsidRPr="00A13045" w:rsidRDefault="005E0370" w:rsidP="00D77557">
            <w:pPr>
              <w:tabs>
                <w:tab w:val="left" w:pos="317"/>
              </w:tabs>
              <w:spacing w:after="120"/>
              <w:ind w:left="315" w:hanging="315"/>
              <w:rPr>
                <w:u w:val="single"/>
                <w:lang w:val="fr-FR"/>
              </w:rPr>
            </w:pPr>
            <w:r w:rsidRPr="00A13045">
              <w:rPr>
                <w:u w:val="single"/>
                <w:lang w:val="fr-FR"/>
              </w:rPr>
              <w:t>Première partie</w:t>
            </w:r>
          </w:p>
          <w:p w14:paraId="0E57048F" w14:textId="77777777" w:rsidR="005E0370" w:rsidRPr="00A13045" w:rsidRDefault="005E0370" w:rsidP="00D77557">
            <w:pPr>
              <w:pStyle w:val="ListParagraph"/>
              <w:numPr>
                <w:ilvl w:val="0"/>
                <w:numId w:val="13"/>
              </w:numPr>
              <w:tabs>
                <w:tab w:val="left" w:pos="317"/>
              </w:tabs>
              <w:ind w:left="315" w:hanging="315"/>
              <w:rPr>
                <w:lang w:val="fr-FR"/>
              </w:rPr>
            </w:pPr>
            <w:r w:rsidRPr="00A13045">
              <w:rPr>
                <w:lang w:val="fr-FR"/>
              </w:rPr>
              <w:t>montant par défaut pour un dessin ou modèle</w:t>
            </w:r>
          </w:p>
          <w:p w14:paraId="3B56882A" w14:textId="77777777" w:rsidR="005E0370" w:rsidRPr="00A13045" w:rsidRDefault="005E0370" w:rsidP="00D77557">
            <w:pPr>
              <w:pStyle w:val="ListParagraph"/>
              <w:numPr>
                <w:ilvl w:val="0"/>
                <w:numId w:val="13"/>
              </w:numPr>
              <w:tabs>
                <w:tab w:val="left" w:pos="315"/>
              </w:tabs>
              <w:ind w:left="315" w:hanging="315"/>
              <w:rPr>
                <w:lang w:val="fr-FR"/>
              </w:rPr>
            </w:pPr>
            <w:r w:rsidRPr="00A13045">
              <w:rPr>
                <w:lang w:val="fr-FR"/>
              </w:rPr>
              <w:t>montant par défaut pour chaque dessin ou modèle supplémentaire</w:t>
            </w:r>
          </w:p>
          <w:p w14:paraId="01B27F2A" w14:textId="77777777" w:rsidR="005E0370" w:rsidRPr="00A13045" w:rsidRDefault="005E0370" w:rsidP="00D77557">
            <w:pPr>
              <w:pStyle w:val="ListParagraph"/>
              <w:tabs>
                <w:tab w:val="left" w:pos="260"/>
                <w:tab w:val="left" w:pos="317"/>
              </w:tabs>
              <w:ind w:left="315"/>
              <w:rPr>
                <w:sz w:val="16"/>
                <w:szCs w:val="16"/>
                <w:lang w:val="fr-FR"/>
              </w:rPr>
            </w:pPr>
          </w:p>
          <w:p w14:paraId="37C521CF" w14:textId="77777777" w:rsidR="005E0370" w:rsidRPr="00A13045" w:rsidRDefault="005E0370" w:rsidP="00D77557">
            <w:pPr>
              <w:pStyle w:val="ListParagraph"/>
              <w:numPr>
                <w:ilvl w:val="0"/>
                <w:numId w:val="13"/>
              </w:numPr>
              <w:tabs>
                <w:tab w:val="left" w:pos="315"/>
              </w:tabs>
              <w:ind w:left="315" w:hanging="315"/>
              <w:rPr>
                <w:lang w:val="fr-FR"/>
              </w:rPr>
            </w:pPr>
            <w:r w:rsidRPr="00A13045">
              <w:rPr>
                <w:lang w:val="fr-FR"/>
              </w:rPr>
              <w:t>montant réduit pour un dessin ou modèle</w:t>
            </w:r>
          </w:p>
          <w:p w14:paraId="20AEDAD8" w14:textId="77777777" w:rsidR="005E0370" w:rsidRPr="00A13045" w:rsidRDefault="005E0370" w:rsidP="00D77557">
            <w:pPr>
              <w:pStyle w:val="ListParagraph"/>
              <w:numPr>
                <w:ilvl w:val="0"/>
                <w:numId w:val="13"/>
              </w:numPr>
              <w:tabs>
                <w:tab w:val="left" w:pos="315"/>
              </w:tabs>
              <w:ind w:left="315" w:hanging="315"/>
              <w:rPr>
                <w:lang w:val="fr-FR"/>
              </w:rPr>
            </w:pPr>
            <w:r w:rsidRPr="00A13045">
              <w:rPr>
                <w:lang w:val="fr-FR"/>
              </w:rPr>
              <w:t>montant réduit pour chaque dessin ou modèle supplémentaire</w:t>
            </w:r>
          </w:p>
        </w:tc>
        <w:tc>
          <w:tcPr>
            <w:tcW w:w="1985" w:type="dxa"/>
          </w:tcPr>
          <w:p w14:paraId="736950FB" w14:textId="77777777" w:rsidR="005E0370" w:rsidRPr="00A13045" w:rsidRDefault="005E0370" w:rsidP="00D77557">
            <w:pPr>
              <w:tabs>
                <w:tab w:val="left" w:pos="317"/>
              </w:tabs>
              <w:spacing w:before="360" w:line="360" w:lineRule="auto"/>
              <w:jc w:val="center"/>
              <w:rPr>
                <w:lang w:val="fr-FR"/>
              </w:rPr>
            </w:pPr>
            <w:r w:rsidRPr="00A13045">
              <w:rPr>
                <w:lang w:val="fr-FR"/>
              </w:rPr>
              <w:t>116</w:t>
            </w:r>
          </w:p>
          <w:p w14:paraId="2A54B135" w14:textId="77777777" w:rsidR="005E0370" w:rsidRPr="00A13045" w:rsidRDefault="005E0370" w:rsidP="00D77557">
            <w:pPr>
              <w:tabs>
                <w:tab w:val="left" w:pos="317"/>
              </w:tabs>
              <w:spacing w:line="360" w:lineRule="auto"/>
              <w:ind w:right="-249"/>
              <w:jc w:val="center"/>
              <w:rPr>
                <w:lang w:val="fr-FR"/>
              </w:rPr>
            </w:pPr>
            <w:r w:rsidRPr="00A13045">
              <w:rPr>
                <w:lang w:val="fr-FR"/>
              </w:rPr>
              <w:t>4</w:t>
            </w:r>
          </w:p>
          <w:p w14:paraId="0E1F1A32" w14:textId="77777777" w:rsidR="005E0370" w:rsidRPr="00A13045" w:rsidRDefault="005E0370" w:rsidP="00D77557">
            <w:pPr>
              <w:tabs>
                <w:tab w:val="left" w:pos="317"/>
              </w:tabs>
              <w:spacing w:line="360" w:lineRule="auto"/>
              <w:ind w:right="-249"/>
              <w:jc w:val="center"/>
              <w:rPr>
                <w:sz w:val="16"/>
                <w:szCs w:val="16"/>
                <w:lang w:val="fr-FR"/>
              </w:rPr>
            </w:pPr>
          </w:p>
          <w:p w14:paraId="435E9471" w14:textId="77777777" w:rsidR="00D77557" w:rsidRPr="00A13045" w:rsidRDefault="00D77557" w:rsidP="00D77557">
            <w:pPr>
              <w:tabs>
                <w:tab w:val="left" w:pos="317"/>
              </w:tabs>
              <w:spacing w:line="360" w:lineRule="auto"/>
              <w:ind w:right="-170"/>
              <w:jc w:val="center"/>
              <w:rPr>
                <w:lang w:val="fr-FR"/>
              </w:rPr>
            </w:pPr>
          </w:p>
          <w:p w14:paraId="62A3C4A8" w14:textId="2554DAE7" w:rsidR="005E0370" w:rsidRPr="00A13045" w:rsidRDefault="005E0370" w:rsidP="00D77557">
            <w:pPr>
              <w:tabs>
                <w:tab w:val="left" w:pos="317"/>
              </w:tabs>
              <w:spacing w:line="360" w:lineRule="auto"/>
              <w:ind w:right="-170"/>
              <w:jc w:val="center"/>
              <w:rPr>
                <w:lang w:val="fr-FR"/>
              </w:rPr>
            </w:pPr>
            <w:r w:rsidRPr="00A13045">
              <w:rPr>
                <w:lang w:val="fr-FR"/>
              </w:rPr>
              <w:t>58</w:t>
            </w:r>
          </w:p>
          <w:p w14:paraId="3FBC39BF" w14:textId="77777777" w:rsidR="005E0370" w:rsidRPr="00A13045" w:rsidRDefault="005E0370" w:rsidP="00D77557">
            <w:pPr>
              <w:tabs>
                <w:tab w:val="left" w:pos="317"/>
              </w:tabs>
              <w:spacing w:line="360" w:lineRule="auto"/>
              <w:ind w:right="-249"/>
              <w:jc w:val="center"/>
              <w:rPr>
                <w:lang w:val="fr-FR"/>
              </w:rPr>
            </w:pPr>
            <w:r w:rsidRPr="00A13045">
              <w:rPr>
                <w:lang w:val="fr-FR"/>
              </w:rPr>
              <w:t>2</w:t>
            </w:r>
          </w:p>
        </w:tc>
      </w:tr>
      <w:tr w:rsidR="005E0370" w:rsidRPr="00A13045" w14:paraId="287C545D" w14:textId="77777777" w:rsidTr="00D77557">
        <w:trPr>
          <w:trHeight w:val="1116"/>
        </w:trPr>
        <w:tc>
          <w:tcPr>
            <w:tcW w:w="2410" w:type="dxa"/>
            <w:vMerge/>
            <w:vAlign w:val="center"/>
          </w:tcPr>
          <w:p w14:paraId="2956349B" w14:textId="77777777" w:rsidR="005E0370" w:rsidRPr="00A13045" w:rsidRDefault="005E0370" w:rsidP="00A05862">
            <w:pPr>
              <w:rPr>
                <w:lang w:val="fr-FR"/>
              </w:rPr>
            </w:pPr>
          </w:p>
        </w:tc>
        <w:tc>
          <w:tcPr>
            <w:tcW w:w="5103" w:type="dxa"/>
          </w:tcPr>
          <w:p w14:paraId="6B2CE6E9" w14:textId="77777777" w:rsidR="005E0370" w:rsidRPr="00A13045" w:rsidRDefault="005E0370" w:rsidP="00D77557">
            <w:pPr>
              <w:tabs>
                <w:tab w:val="left" w:pos="317"/>
              </w:tabs>
              <w:spacing w:after="120" w:line="360" w:lineRule="auto"/>
              <w:ind w:left="315" w:hanging="315"/>
              <w:rPr>
                <w:lang w:val="fr-FR"/>
              </w:rPr>
            </w:pPr>
            <w:r w:rsidRPr="00A13045">
              <w:rPr>
                <w:u w:val="single"/>
                <w:lang w:val="fr-FR"/>
              </w:rPr>
              <w:t>Seconde partie</w:t>
            </w:r>
          </w:p>
          <w:p w14:paraId="34A37939" w14:textId="77777777" w:rsidR="005E0370" w:rsidRPr="00A13045" w:rsidRDefault="005E0370" w:rsidP="00D77557">
            <w:pPr>
              <w:tabs>
                <w:tab w:val="left" w:pos="317"/>
              </w:tabs>
              <w:spacing w:line="360" w:lineRule="auto"/>
              <w:ind w:left="315" w:hanging="315"/>
              <w:rPr>
                <w:lang w:val="fr-FR"/>
              </w:rPr>
            </w:pPr>
            <w:r w:rsidRPr="00A13045">
              <w:rPr>
                <w:lang w:val="fr-FR"/>
              </w:rPr>
              <w:t>–</w:t>
            </w:r>
            <w:r w:rsidRPr="00A13045">
              <w:rPr>
                <w:lang w:val="fr-FR"/>
              </w:rPr>
              <w:tab/>
              <w:t>montant par défaut</w:t>
            </w:r>
          </w:p>
          <w:p w14:paraId="7E6E4DDB" w14:textId="77777777" w:rsidR="005E0370" w:rsidRPr="00A13045" w:rsidRDefault="005E0370" w:rsidP="00D77557">
            <w:pPr>
              <w:tabs>
                <w:tab w:val="left" w:pos="317"/>
              </w:tabs>
              <w:spacing w:line="360" w:lineRule="auto"/>
              <w:ind w:left="315" w:hanging="315"/>
              <w:rPr>
                <w:lang w:val="fr-FR"/>
              </w:rPr>
            </w:pPr>
            <w:r w:rsidRPr="00A13045">
              <w:rPr>
                <w:lang w:val="fr-FR"/>
              </w:rPr>
              <w:t>–</w:t>
            </w:r>
            <w:r w:rsidRPr="00A13045">
              <w:rPr>
                <w:lang w:val="fr-FR"/>
              </w:rPr>
              <w:tab/>
              <w:t>montant réduit</w:t>
            </w:r>
          </w:p>
        </w:tc>
        <w:tc>
          <w:tcPr>
            <w:tcW w:w="1985" w:type="dxa"/>
          </w:tcPr>
          <w:p w14:paraId="68ADB5B4" w14:textId="77777777" w:rsidR="005E0370" w:rsidRPr="00A13045" w:rsidRDefault="005E0370" w:rsidP="00D77557">
            <w:pPr>
              <w:tabs>
                <w:tab w:val="left" w:pos="317"/>
              </w:tabs>
              <w:spacing w:before="120" w:line="360" w:lineRule="auto"/>
              <w:jc w:val="center"/>
              <w:rPr>
                <w:lang w:val="fr-FR"/>
              </w:rPr>
            </w:pPr>
          </w:p>
          <w:p w14:paraId="6B20B100" w14:textId="77777777" w:rsidR="005E0370" w:rsidRPr="00A13045" w:rsidRDefault="005E0370" w:rsidP="00D77557">
            <w:pPr>
              <w:tabs>
                <w:tab w:val="left" w:pos="317"/>
              </w:tabs>
              <w:spacing w:line="360" w:lineRule="auto"/>
              <w:jc w:val="center"/>
              <w:rPr>
                <w:lang w:val="fr-FR"/>
              </w:rPr>
            </w:pPr>
            <w:r w:rsidRPr="00A13045">
              <w:rPr>
                <w:lang w:val="fr-FR"/>
              </w:rPr>
              <w:t>334</w:t>
            </w:r>
          </w:p>
          <w:p w14:paraId="60333B71" w14:textId="77777777" w:rsidR="005E0370" w:rsidRPr="00A13045" w:rsidRDefault="005E0370" w:rsidP="00D77557">
            <w:pPr>
              <w:tabs>
                <w:tab w:val="left" w:pos="317"/>
              </w:tabs>
              <w:spacing w:line="360" w:lineRule="auto"/>
              <w:jc w:val="center"/>
              <w:rPr>
                <w:lang w:val="fr-FR"/>
              </w:rPr>
            </w:pPr>
            <w:r w:rsidRPr="00A13045">
              <w:rPr>
                <w:lang w:val="fr-FR"/>
              </w:rPr>
              <w:t>167</w:t>
            </w:r>
          </w:p>
        </w:tc>
      </w:tr>
      <w:tr w:rsidR="005E0370" w:rsidRPr="00A13045" w14:paraId="799EF834" w14:textId="77777777" w:rsidTr="00A05862">
        <w:trPr>
          <w:trHeight w:val="990"/>
        </w:trPr>
        <w:tc>
          <w:tcPr>
            <w:tcW w:w="2410" w:type="dxa"/>
            <w:vAlign w:val="center"/>
          </w:tcPr>
          <w:p w14:paraId="44BD465B" w14:textId="77777777" w:rsidR="005E0370" w:rsidRPr="00A13045" w:rsidRDefault="005E0370" w:rsidP="00A05862">
            <w:pPr>
              <w:rPr>
                <w:lang w:val="fr-FR"/>
              </w:rPr>
            </w:pPr>
            <w:r w:rsidRPr="00A13045">
              <w:rPr>
                <w:lang w:val="fr-FR"/>
              </w:rPr>
              <w:t>Renouvellement</w:t>
            </w:r>
          </w:p>
        </w:tc>
        <w:tc>
          <w:tcPr>
            <w:tcW w:w="5103" w:type="dxa"/>
          </w:tcPr>
          <w:p w14:paraId="2C40F158" w14:textId="77777777" w:rsidR="005E0370" w:rsidRPr="00A13045" w:rsidRDefault="005E0370" w:rsidP="00D77557">
            <w:pPr>
              <w:tabs>
                <w:tab w:val="left" w:pos="317"/>
              </w:tabs>
              <w:spacing w:before="120" w:line="360" w:lineRule="auto"/>
              <w:ind w:left="315" w:hanging="315"/>
              <w:rPr>
                <w:lang w:val="fr-FR"/>
              </w:rPr>
            </w:pPr>
            <w:r w:rsidRPr="00A13045">
              <w:rPr>
                <w:lang w:val="fr-FR"/>
              </w:rPr>
              <w:t>–</w:t>
            </w:r>
            <w:r w:rsidRPr="00A13045">
              <w:rPr>
                <w:lang w:val="fr-FR"/>
              </w:rPr>
              <w:tab/>
              <w:t>montant par défaut pour chaque dessin ou modèle</w:t>
            </w:r>
          </w:p>
          <w:p w14:paraId="5277801B" w14:textId="77777777" w:rsidR="005E0370" w:rsidRPr="00A13045" w:rsidRDefault="005E0370" w:rsidP="00D77557">
            <w:pPr>
              <w:pStyle w:val="ListParagraph"/>
              <w:numPr>
                <w:ilvl w:val="0"/>
                <w:numId w:val="15"/>
              </w:numPr>
              <w:tabs>
                <w:tab w:val="left" w:pos="317"/>
              </w:tabs>
              <w:ind w:left="315" w:hanging="315"/>
              <w:rPr>
                <w:lang w:val="fr-FR"/>
              </w:rPr>
            </w:pPr>
            <w:r w:rsidRPr="00A13045">
              <w:rPr>
                <w:lang w:val="fr-FR"/>
              </w:rPr>
              <w:t>montant réduit pour chaque dessin ou modèle</w:t>
            </w:r>
          </w:p>
        </w:tc>
        <w:tc>
          <w:tcPr>
            <w:tcW w:w="1985" w:type="dxa"/>
          </w:tcPr>
          <w:p w14:paraId="4D7A5C0E" w14:textId="77777777" w:rsidR="005E0370" w:rsidRPr="00A13045" w:rsidRDefault="005E0370" w:rsidP="00D77557">
            <w:pPr>
              <w:tabs>
                <w:tab w:val="right" w:pos="1310"/>
              </w:tabs>
              <w:spacing w:before="120" w:line="360" w:lineRule="auto"/>
              <w:jc w:val="center"/>
              <w:rPr>
                <w:lang w:val="fr-FR"/>
              </w:rPr>
            </w:pPr>
            <w:r w:rsidRPr="00A13045">
              <w:rPr>
                <w:lang w:val="fr-FR"/>
              </w:rPr>
              <w:t>343</w:t>
            </w:r>
          </w:p>
          <w:p w14:paraId="1482329E" w14:textId="77777777" w:rsidR="00D77557" w:rsidRPr="00A13045" w:rsidRDefault="00D77557" w:rsidP="00D77557">
            <w:pPr>
              <w:tabs>
                <w:tab w:val="right" w:pos="1310"/>
              </w:tabs>
              <w:spacing w:line="360" w:lineRule="auto"/>
              <w:jc w:val="center"/>
              <w:rPr>
                <w:lang w:val="fr-FR"/>
              </w:rPr>
            </w:pPr>
          </w:p>
          <w:p w14:paraId="6A2A7387" w14:textId="5034CBFB" w:rsidR="005E0370" w:rsidRPr="00A13045" w:rsidRDefault="005E0370" w:rsidP="00D77557">
            <w:pPr>
              <w:tabs>
                <w:tab w:val="right" w:pos="1310"/>
              </w:tabs>
              <w:spacing w:line="360" w:lineRule="auto"/>
              <w:jc w:val="center"/>
              <w:rPr>
                <w:lang w:val="fr-FR"/>
              </w:rPr>
            </w:pPr>
            <w:r w:rsidRPr="00A13045">
              <w:rPr>
                <w:lang w:val="fr-FR"/>
              </w:rPr>
              <w:t>171</w:t>
            </w:r>
          </w:p>
        </w:tc>
      </w:tr>
    </w:tbl>
    <w:p w14:paraId="6FCA9F4B" w14:textId="7830206D" w:rsidR="00E50EE4" w:rsidRPr="00A13045" w:rsidRDefault="00B03589" w:rsidP="00D77557">
      <w:pPr>
        <w:pStyle w:val="ONUME"/>
        <w:spacing w:before="240"/>
        <w:rPr>
          <w:lang w:val="fr-FR"/>
        </w:rPr>
      </w:pPr>
      <w:r w:rsidRPr="00A13045">
        <w:rPr>
          <w:lang w:val="fr-FR"/>
        </w:rPr>
        <w:t>La première partie de la taxe de désignation individuelle doit être payée au moment du dépôt</w:t>
      </w:r>
      <w:r w:rsidR="00B6125F" w:rsidRPr="00A13045">
        <w:rPr>
          <w:lang w:val="fr-FR"/>
        </w:rPr>
        <w:t xml:space="preserve"> de la demande internationale.  </w:t>
      </w:r>
      <w:r w:rsidRPr="00A13045">
        <w:rPr>
          <w:lang w:val="fr-FR"/>
        </w:rPr>
        <w:t xml:space="preserve">La </w:t>
      </w:r>
      <w:r w:rsidR="0033379E" w:rsidRPr="00A13045">
        <w:rPr>
          <w:lang w:val="fr-FR"/>
        </w:rPr>
        <w:t>seconde </w:t>
      </w:r>
      <w:r w:rsidR="00E50EE4" w:rsidRPr="00A13045">
        <w:rPr>
          <w:lang w:val="fr-FR"/>
        </w:rPr>
        <w:t>part</w:t>
      </w:r>
      <w:r w:rsidRPr="00A13045">
        <w:rPr>
          <w:lang w:val="fr-FR"/>
        </w:rPr>
        <w:t>ie doit être payée dès</w:t>
      </w:r>
      <w:r w:rsidR="00E50EE4" w:rsidRPr="00A13045">
        <w:rPr>
          <w:lang w:val="fr-FR"/>
        </w:rPr>
        <w:t xml:space="preserve"> </w:t>
      </w:r>
      <w:r w:rsidRPr="00A13045">
        <w:rPr>
          <w:lang w:val="fr-FR"/>
        </w:rPr>
        <w:t>réception de la notification de</w:t>
      </w:r>
      <w:r w:rsidR="00702F51" w:rsidRPr="00A13045">
        <w:rPr>
          <w:lang w:val="fr-FR"/>
        </w:rPr>
        <w:t xml:space="preserve"> l’</w:t>
      </w:r>
      <w:r w:rsidRPr="00A13045">
        <w:rPr>
          <w:lang w:val="fr-FR"/>
        </w:rPr>
        <w:t>IMPI selon laquelle le dessin ou modèle industriel faisant l’objet de l’enregistrement international remplit les conditions requises pour être protégé en vertu de la législation du Mexique</w:t>
      </w:r>
      <w:r w:rsidR="00E50EE4" w:rsidRPr="00A13045">
        <w:rPr>
          <w:lang w:val="fr-FR"/>
        </w:rPr>
        <w:t xml:space="preserve">.  </w:t>
      </w:r>
      <w:r w:rsidRPr="00A13045">
        <w:rPr>
          <w:lang w:val="fr-FR"/>
        </w:rPr>
        <w:t xml:space="preserve">Dès lors, le paiement de la </w:t>
      </w:r>
      <w:r w:rsidR="0033379E" w:rsidRPr="00A13045">
        <w:rPr>
          <w:lang w:val="fr-FR"/>
        </w:rPr>
        <w:t>seconde </w:t>
      </w:r>
      <w:r w:rsidRPr="00A13045">
        <w:rPr>
          <w:lang w:val="fr-FR"/>
        </w:rPr>
        <w:t>partie, le cas échéant</w:t>
      </w:r>
      <w:r w:rsidR="00F00E5C" w:rsidRPr="00A13045">
        <w:rPr>
          <w:lang w:val="fr-FR"/>
        </w:rPr>
        <w:t>, devra être effectué à une date ultérieure</w:t>
      </w:r>
      <w:r w:rsidR="00E50EE4" w:rsidRPr="00A13045">
        <w:rPr>
          <w:lang w:val="fr-FR"/>
        </w:rPr>
        <w:t xml:space="preserve">. </w:t>
      </w:r>
    </w:p>
    <w:p w14:paraId="4B4DE540" w14:textId="7B916934" w:rsidR="00E50EE4" w:rsidRPr="00A13045" w:rsidRDefault="00F00E5C" w:rsidP="00F00E5C">
      <w:pPr>
        <w:pStyle w:val="ONUME"/>
        <w:rPr>
          <w:lang w:val="fr-FR"/>
        </w:rPr>
      </w:pPr>
      <w:r w:rsidRPr="00A13045">
        <w:rPr>
          <w:lang w:val="fr-FR"/>
        </w:rPr>
        <w:t>L’</w:t>
      </w:r>
      <w:r w:rsidR="00CF4A86" w:rsidRPr="00A13045">
        <w:rPr>
          <w:lang w:val="fr-FR"/>
        </w:rPr>
        <w:t xml:space="preserve">IMPI </w:t>
      </w:r>
      <w:r w:rsidRPr="00A13045">
        <w:rPr>
          <w:lang w:val="fr-FR"/>
        </w:rPr>
        <w:t xml:space="preserve">indiquera la date à laquelle la </w:t>
      </w:r>
      <w:r w:rsidR="0033379E" w:rsidRPr="00A13045">
        <w:rPr>
          <w:lang w:val="fr-FR"/>
        </w:rPr>
        <w:t xml:space="preserve">seconde </w:t>
      </w:r>
      <w:r w:rsidRPr="00A13045">
        <w:rPr>
          <w:lang w:val="fr-FR"/>
        </w:rPr>
        <w:t>partie de la taxe de désignation individuelle doit être payée en envoyant au titulaire</w:t>
      </w:r>
      <w:r w:rsidR="00A620DD" w:rsidRPr="00A13045">
        <w:rPr>
          <w:lang w:val="fr-FR"/>
        </w:rPr>
        <w:t>,</w:t>
      </w:r>
      <w:r w:rsidRPr="00A13045">
        <w:rPr>
          <w:lang w:val="fr-FR"/>
        </w:rPr>
        <w:t xml:space="preserve"> </w:t>
      </w:r>
      <w:r w:rsidR="00A620DD" w:rsidRPr="00A13045">
        <w:rPr>
          <w:lang w:val="fr-FR"/>
        </w:rPr>
        <w:t xml:space="preserve">par l’intermédiaire du Bureau international de l’OMPI, </w:t>
      </w:r>
      <w:r w:rsidR="00925804" w:rsidRPr="00A13045">
        <w:rPr>
          <w:lang w:val="fr-FR"/>
        </w:rPr>
        <w:t>un A</w:t>
      </w:r>
      <w:r w:rsidRPr="00A13045">
        <w:rPr>
          <w:lang w:val="fr-FR"/>
        </w:rPr>
        <w:t xml:space="preserve">vis d’acceptation et invitation à payer à l’égard de chaque enregistrement international concerné.  </w:t>
      </w:r>
    </w:p>
    <w:p w14:paraId="06609C66" w14:textId="2344A635" w:rsidR="006B405C" w:rsidRPr="00A13045" w:rsidRDefault="00530CB0" w:rsidP="00E50EE4">
      <w:pPr>
        <w:pStyle w:val="ONUME"/>
        <w:tabs>
          <w:tab w:val="clear" w:pos="567"/>
        </w:tabs>
        <w:rPr>
          <w:lang w:val="fr-FR"/>
        </w:rPr>
      </w:pPr>
      <w:r w:rsidRPr="00A13045">
        <w:rPr>
          <w:lang w:val="fr-FR"/>
        </w:rPr>
        <w:t xml:space="preserve">Dès réception de </w:t>
      </w:r>
      <w:r w:rsidR="00075A25" w:rsidRPr="00A13045">
        <w:rPr>
          <w:lang w:val="fr-FR"/>
        </w:rPr>
        <w:t>l’invitation à payer</w:t>
      </w:r>
      <w:r w:rsidRPr="00A13045">
        <w:rPr>
          <w:lang w:val="fr-FR"/>
        </w:rPr>
        <w:t xml:space="preserve">, le titulaire a la possibilité de </w:t>
      </w:r>
      <w:r w:rsidR="00F62DB7" w:rsidRPr="00A13045">
        <w:rPr>
          <w:lang w:val="fr-FR"/>
        </w:rPr>
        <w:t xml:space="preserve">payer </w:t>
      </w:r>
      <w:r w:rsidR="00A078A4" w:rsidRPr="00A13045">
        <w:rPr>
          <w:lang w:val="fr-FR"/>
        </w:rPr>
        <w:t xml:space="preserve">soit </w:t>
      </w:r>
      <w:r w:rsidRPr="00A13045">
        <w:rPr>
          <w:lang w:val="fr-FR"/>
        </w:rPr>
        <w:t>directement à l’IMPI, en pesos mexicains,</w:t>
      </w:r>
      <w:r w:rsidR="00F62DB7" w:rsidRPr="00A13045">
        <w:rPr>
          <w:lang w:val="fr-FR"/>
        </w:rPr>
        <w:t xml:space="preserve"> le montant spécifié dans </w:t>
      </w:r>
      <w:r w:rsidR="00075A25" w:rsidRPr="00A13045">
        <w:rPr>
          <w:lang w:val="fr-FR"/>
        </w:rPr>
        <w:t>l’Avis d’acceptation et invitation à payer</w:t>
      </w:r>
      <w:r w:rsidR="00F62DB7" w:rsidRPr="00A13045">
        <w:rPr>
          <w:lang w:val="fr-FR"/>
        </w:rPr>
        <w:t>,</w:t>
      </w:r>
      <w:r w:rsidRPr="00A13045">
        <w:rPr>
          <w:lang w:val="fr-FR"/>
        </w:rPr>
        <w:t xml:space="preserve"> </w:t>
      </w:r>
      <w:r w:rsidR="00A078A4" w:rsidRPr="00A13045">
        <w:rPr>
          <w:lang w:val="fr-FR"/>
        </w:rPr>
        <w:t>soit</w:t>
      </w:r>
      <w:r w:rsidRPr="00A13045">
        <w:rPr>
          <w:lang w:val="fr-FR"/>
        </w:rPr>
        <w:t xml:space="preserve"> par l’intermédiaire du Bureau international de l’OMPI</w:t>
      </w:r>
      <w:r w:rsidR="006B405C" w:rsidRPr="00A13045">
        <w:rPr>
          <w:lang w:val="fr-FR"/>
        </w:rPr>
        <w:t xml:space="preserve">, </w:t>
      </w:r>
      <w:r w:rsidRPr="00A13045">
        <w:rPr>
          <w:lang w:val="fr-FR"/>
        </w:rPr>
        <w:t>en francs suisses, le montant indiqué dans le présent avis</w:t>
      </w:r>
      <w:r w:rsidR="006B405C" w:rsidRPr="00A13045">
        <w:rPr>
          <w:lang w:val="fr-FR"/>
        </w:rPr>
        <w:t>.</w:t>
      </w:r>
    </w:p>
    <w:p w14:paraId="435CA7DB" w14:textId="135179FB" w:rsidR="0023362D" w:rsidRPr="00A13045" w:rsidRDefault="00530CB0" w:rsidP="00E50EE4">
      <w:pPr>
        <w:pStyle w:val="ONUME"/>
        <w:tabs>
          <w:tab w:val="clear" w:pos="567"/>
        </w:tabs>
        <w:rPr>
          <w:lang w:val="fr-FR"/>
        </w:rPr>
      </w:pPr>
      <w:r w:rsidRPr="00A13045">
        <w:rPr>
          <w:bCs/>
          <w:lang w:val="fr-FR"/>
        </w:rPr>
        <w:t xml:space="preserve">Si la </w:t>
      </w:r>
      <w:r w:rsidR="0033379E" w:rsidRPr="00A13045">
        <w:rPr>
          <w:bCs/>
          <w:lang w:val="fr-FR"/>
        </w:rPr>
        <w:t xml:space="preserve">seconde </w:t>
      </w:r>
      <w:r w:rsidRPr="00A13045">
        <w:rPr>
          <w:bCs/>
          <w:lang w:val="fr-FR"/>
        </w:rPr>
        <w:t xml:space="preserve">partie de la taxe de désignation individuelle n’est pas intégralement payée dans le délai indiqué dans </w:t>
      </w:r>
      <w:r w:rsidR="00075A25" w:rsidRPr="00A13045">
        <w:rPr>
          <w:bCs/>
          <w:lang w:val="fr-FR"/>
        </w:rPr>
        <w:t>l’Avis d’acceptation et invitation à payer</w:t>
      </w:r>
      <w:r w:rsidRPr="00A13045">
        <w:rPr>
          <w:bCs/>
          <w:lang w:val="fr-FR"/>
        </w:rPr>
        <w:t>, l’enregistrement i</w:t>
      </w:r>
      <w:r w:rsidR="00E50EE4" w:rsidRPr="00A13045">
        <w:rPr>
          <w:bCs/>
          <w:lang w:val="fr-FR"/>
        </w:rPr>
        <w:t xml:space="preserve">nternational </w:t>
      </w:r>
      <w:r w:rsidRPr="00A13045">
        <w:rPr>
          <w:bCs/>
          <w:lang w:val="fr-FR"/>
        </w:rPr>
        <w:t xml:space="preserve">peut être radié à l’égard du </w:t>
      </w:r>
      <w:r w:rsidR="006916AE" w:rsidRPr="00A13045">
        <w:rPr>
          <w:bCs/>
          <w:lang w:val="fr-FR"/>
        </w:rPr>
        <w:t>Mexique,</w:t>
      </w:r>
      <w:r w:rsidRPr="00A13045">
        <w:rPr>
          <w:bCs/>
          <w:lang w:val="fr-FR"/>
        </w:rPr>
        <w:t xml:space="preserve"> conformément à la règle</w:t>
      </w:r>
      <w:r w:rsidR="00A620DD" w:rsidRPr="00A13045">
        <w:rPr>
          <w:bCs/>
          <w:lang w:val="fr-FR"/>
        </w:rPr>
        <w:t> </w:t>
      </w:r>
      <w:r w:rsidRPr="00A13045">
        <w:rPr>
          <w:bCs/>
          <w:lang w:val="fr-FR"/>
        </w:rPr>
        <w:t>12.3)d) du règlement d’exécution commun</w:t>
      </w:r>
      <w:r w:rsidR="00E50EE4" w:rsidRPr="00A13045">
        <w:rPr>
          <w:bCs/>
          <w:lang w:val="fr-FR"/>
        </w:rPr>
        <w:t>.</w:t>
      </w:r>
    </w:p>
    <w:p w14:paraId="54A05C3E" w14:textId="3D2AF281" w:rsidR="00012C9D" w:rsidRPr="00A13045" w:rsidRDefault="00530CB0" w:rsidP="007B5323">
      <w:pPr>
        <w:pStyle w:val="ONUME"/>
        <w:tabs>
          <w:tab w:val="clear" w:pos="567"/>
        </w:tabs>
        <w:spacing w:before="240"/>
        <w:rPr>
          <w:lang w:val="fr-FR"/>
        </w:rPr>
      </w:pPr>
      <w:r w:rsidRPr="00A13045">
        <w:rPr>
          <w:color w:val="000000"/>
          <w:lang w:val="fr-FR"/>
        </w:rPr>
        <w:t>Conformément à l’a</w:t>
      </w:r>
      <w:r w:rsidR="00467354" w:rsidRPr="00A13045">
        <w:rPr>
          <w:color w:val="000000"/>
          <w:lang w:val="fr-FR"/>
        </w:rPr>
        <w:t>rticle</w:t>
      </w:r>
      <w:r w:rsidRPr="00A13045">
        <w:rPr>
          <w:color w:val="000000"/>
          <w:lang w:val="fr-FR"/>
        </w:rPr>
        <w:t> </w:t>
      </w:r>
      <w:r w:rsidR="00467354" w:rsidRPr="00A13045">
        <w:rPr>
          <w:color w:val="000000"/>
          <w:lang w:val="fr-FR"/>
        </w:rPr>
        <w:t>30</w:t>
      </w:r>
      <w:r w:rsidRPr="00A13045">
        <w:rPr>
          <w:color w:val="000000"/>
          <w:lang w:val="fr-FR"/>
        </w:rPr>
        <w:t>.</w:t>
      </w:r>
      <w:r w:rsidR="00467354" w:rsidRPr="00A13045">
        <w:rPr>
          <w:color w:val="000000"/>
          <w:lang w:val="fr-FR"/>
        </w:rPr>
        <w:t xml:space="preserve">1)i) </w:t>
      </w:r>
      <w:r w:rsidRPr="00A13045">
        <w:rPr>
          <w:color w:val="000000"/>
          <w:lang w:val="fr-FR"/>
        </w:rPr>
        <w:t xml:space="preserve">de l’Acte de </w:t>
      </w:r>
      <w:r w:rsidR="00467354" w:rsidRPr="00A13045">
        <w:rPr>
          <w:color w:val="000000"/>
          <w:lang w:val="fr-FR"/>
        </w:rPr>
        <w:t xml:space="preserve">1999, </w:t>
      </w:r>
      <w:r w:rsidRPr="00A13045">
        <w:rPr>
          <w:color w:val="000000"/>
          <w:lang w:val="fr-FR"/>
        </w:rPr>
        <w:t xml:space="preserve">la déclaration susmentionnée relative à la taxe de désignation individuelle </w:t>
      </w:r>
      <w:r w:rsidR="00A620DD" w:rsidRPr="00A13045">
        <w:rPr>
          <w:color w:val="000000"/>
          <w:lang w:val="fr-FR"/>
        </w:rPr>
        <w:t>entrera en vigueur</w:t>
      </w:r>
      <w:r w:rsidRPr="00A13045">
        <w:rPr>
          <w:color w:val="000000"/>
          <w:lang w:val="fr-FR"/>
        </w:rPr>
        <w:t xml:space="preserve"> le 6 juin </w:t>
      </w:r>
      <w:r w:rsidR="0084460D" w:rsidRPr="00A13045">
        <w:rPr>
          <w:lang w:val="fr-FR"/>
        </w:rPr>
        <w:t>2020</w:t>
      </w:r>
      <w:r w:rsidR="0077451E" w:rsidRPr="00A13045">
        <w:rPr>
          <w:lang w:val="fr-FR"/>
        </w:rPr>
        <w:t>.</w:t>
      </w:r>
    </w:p>
    <w:p w14:paraId="26FF8EA4" w14:textId="3E770A52" w:rsidR="004936FC" w:rsidRPr="00FB7408" w:rsidRDefault="00A13045" w:rsidP="00190F37">
      <w:pPr>
        <w:pStyle w:val="Endofdocument-Annex"/>
        <w:spacing w:before="720"/>
        <w:rPr>
          <w:lang w:val="fr-FR"/>
        </w:rPr>
      </w:pPr>
      <w:r>
        <w:rPr>
          <w:lang w:val="fr-FR"/>
        </w:rPr>
        <w:t>Le 27</w:t>
      </w:r>
      <w:r w:rsidR="00530CB0" w:rsidRPr="00A13045">
        <w:rPr>
          <w:lang w:val="fr-FR"/>
        </w:rPr>
        <w:t> mai </w:t>
      </w:r>
      <w:r w:rsidR="00602890" w:rsidRPr="00A13045">
        <w:rPr>
          <w:lang w:val="fr-FR"/>
        </w:rPr>
        <w:t>20</w:t>
      </w:r>
      <w:r w:rsidR="00624E74" w:rsidRPr="00A13045">
        <w:rPr>
          <w:lang w:val="fr-FR"/>
        </w:rPr>
        <w:t>20</w:t>
      </w:r>
    </w:p>
    <w:sectPr w:rsidR="004936FC" w:rsidRPr="00FB7408" w:rsidSect="00360395">
      <w:headerReference w:type="even" r:id="rId9"/>
      <w:headerReference w:type="default" r:id="rId10"/>
      <w:footnotePr>
        <w:numFmt w:val="chicago"/>
      </w:footnotePr>
      <w:endnotePr>
        <w:numFmt w:val="decimal"/>
      </w:endnotePr>
      <w:pgSz w:w="11907" w:h="16840" w:code="9"/>
      <w:pgMar w:top="567" w:right="1134" w:bottom="426" w:left="1418" w:header="510"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A6E19" w14:textId="77777777" w:rsidR="00690F17" w:rsidRDefault="00690F17">
      <w:r>
        <w:separator/>
      </w:r>
    </w:p>
    <w:p w14:paraId="47FE67E2" w14:textId="77777777" w:rsidR="00690F17" w:rsidRDefault="00690F17"/>
  </w:endnote>
  <w:endnote w:type="continuationSeparator" w:id="0">
    <w:p w14:paraId="1CFD7F23" w14:textId="77777777" w:rsidR="00690F17" w:rsidRDefault="00690F17" w:rsidP="003B38C1">
      <w:r>
        <w:separator/>
      </w:r>
    </w:p>
    <w:p w14:paraId="44032C91" w14:textId="77777777" w:rsidR="00690F17" w:rsidRPr="003B38C1" w:rsidRDefault="00690F17" w:rsidP="003B38C1">
      <w:pPr>
        <w:spacing w:after="60"/>
        <w:rPr>
          <w:sz w:val="17"/>
        </w:rPr>
      </w:pPr>
      <w:r>
        <w:rPr>
          <w:sz w:val="17"/>
        </w:rPr>
        <w:t>[Endnote continued from previous page]</w:t>
      </w:r>
    </w:p>
    <w:p w14:paraId="48D1A21F" w14:textId="77777777" w:rsidR="00690F17" w:rsidRDefault="00690F17"/>
  </w:endnote>
  <w:endnote w:type="continuationNotice" w:id="1">
    <w:p w14:paraId="5B2FACD2" w14:textId="77777777" w:rsidR="00690F17" w:rsidRPr="003B38C1" w:rsidRDefault="00690F17" w:rsidP="003B38C1">
      <w:pPr>
        <w:spacing w:before="60"/>
        <w:jc w:val="right"/>
        <w:rPr>
          <w:sz w:val="17"/>
          <w:szCs w:val="17"/>
        </w:rPr>
      </w:pPr>
      <w:r w:rsidRPr="003B38C1">
        <w:rPr>
          <w:sz w:val="17"/>
          <w:szCs w:val="17"/>
        </w:rPr>
        <w:t>[Endnote continued on next page]</w:t>
      </w:r>
    </w:p>
    <w:p w14:paraId="4F05CDD4" w14:textId="77777777" w:rsidR="00690F17" w:rsidRDefault="00690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AEB69" w14:textId="77777777" w:rsidR="00690F17" w:rsidRDefault="00690F17">
      <w:r>
        <w:separator/>
      </w:r>
    </w:p>
    <w:p w14:paraId="7E05D0DD" w14:textId="77777777" w:rsidR="00690F17" w:rsidRDefault="00690F17"/>
  </w:footnote>
  <w:footnote w:type="continuationSeparator" w:id="0">
    <w:p w14:paraId="41D0936F" w14:textId="77777777" w:rsidR="00690F17" w:rsidRDefault="00690F17" w:rsidP="008B60B2">
      <w:r>
        <w:separator/>
      </w:r>
    </w:p>
    <w:p w14:paraId="79B4E2C9" w14:textId="77777777" w:rsidR="00690F17" w:rsidRPr="00ED77FB" w:rsidRDefault="00690F17" w:rsidP="008B60B2">
      <w:pPr>
        <w:spacing w:after="60"/>
        <w:rPr>
          <w:sz w:val="17"/>
          <w:szCs w:val="17"/>
        </w:rPr>
      </w:pPr>
      <w:r w:rsidRPr="00ED77FB">
        <w:rPr>
          <w:sz w:val="17"/>
          <w:szCs w:val="17"/>
        </w:rPr>
        <w:t>[Footnote continued from previous page]</w:t>
      </w:r>
    </w:p>
    <w:p w14:paraId="2B6D3494" w14:textId="77777777" w:rsidR="00690F17" w:rsidRDefault="00690F17"/>
  </w:footnote>
  <w:footnote w:type="continuationNotice" w:id="1">
    <w:p w14:paraId="2B51CA47" w14:textId="77777777" w:rsidR="00690F17" w:rsidRPr="00ED77FB" w:rsidRDefault="00690F17" w:rsidP="008B60B2">
      <w:pPr>
        <w:spacing w:before="60"/>
        <w:jc w:val="right"/>
        <w:rPr>
          <w:sz w:val="17"/>
          <w:szCs w:val="17"/>
        </w:rPr>
      </w:pPr>
      <w:r w:rsidRPr="00ED77FB">
        <w:rPr>
          <w:sz w:val="17"/>
          <w:szCs w:val="17"/>
        </w:rPr>
        <w:t>[Footnote continued on next page]</w:t>
      </w:r>
    </w:p>
    <w:p w14:paraId="7BC9DF07" w14:textId="77777777" w:rsidR="00690F17" w:rsidRDefault="00690F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3622" w14:textId="17A7AE24" w:rsidR="00F958AA" w:rsidRDefault="006B2214" w:rsidP="005E0370">
    <w:pPr>
      <w:jc w:val="right"/>
    </w:pPr>
    <w:r>
      <w:t xml:space="preserve">page </w:t>
    </w:r>
    <w:r>
      <w:fldChar w:fldCharType="begin"/>
    </w:r>
    <w:r>
      <w:instrText xml:space="preserve"> PAGE  \* MERGEFORMAT </w:instrText>
    </w:r>
    <w:r>
      <w:fldChar w:fldCharType="separate"/>
    </w:r>
    <w:r w:rsidR="0005110F">
      <w:rPr>
        <w:noProof/>
      </w:rPr>
      <w:t>2</w:t>
    </w:r>
    <w:r>
      <w:fldChar w:fldCharType="end"/>
    </w:r>
  </w:p>
  <w:p w14:paraId="2630A95E" w14:textId="77777777" w:rsidR="002A513E" w:rsidRDefault="002A51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6EBA" w14:textId="77777777" w:rsidR="002A513E" w:rsidRDefault="002A513E" w:rsidP="00477D6B">
    <w:pPr>
      <w:jc w:val="right"/>
    </w:pPr>
    <w:bookmarkStart w:id="3" w:name="Code2"/>
    <w:bookmarkEnd w:id="3"/>
  </w:p>
  <w:p w14:paraId="56EEC6F0" w14:textId="69B1AA68" w:rsidR="002A513E" w:rsidRDefault="002A513E" w:rsidP="00477D6B">
    <w:pPr>
      <w:jc w:val="right"/>
    </w:pPr>
    <w:r>
      <w:t xml:space="preserve">page </w:t>
    </w:r>
    <w:r>
      <w:fldChar w:fldCharType="begin"/>
    </w:r>
    <w:r>
      <w:instrText xml:space="preserve"> PAGE  \* MERGEFORMAT </w:instrText>
    </w:r>
    <w:r>
      <w:fldChar w:fldCharType="separate"/>
    </w:r>
    <w:r w:rsidR="00D77557">
      <w:rPr>
        <w:noProof/>
      </w:rPr>
      <w:t>3</w:t>
    </w:r>
    <w:r>
      <w:fldChar w:fldCharType="end"/>
    </w:r>
  </w:p>
  <w:p w14:paraId="2152B836" w14:textId="77777777" w:rsidR="002A513E" w:rsidRDefault="002A513E" w:rsidP="00477D6B">
    <w:pPr>
      <w:jc w:val="right"/>
    </w:pPr>
  </w:p>
  <w:p w14:paraId="7D71ACFB" w14:textId="77777777" w:rsidR="00C322FB" w:rsidRDefault="00C322FB" w:rsidP="00477D6B">
    <w:pPr>
      <w:jc w:val="right"/>
    </w:pPr>
  </w:p>
  <w:p w14:paraId="6DE31D62" w14:textId="77777777" w:rsidR="00F958AA" w:rsidRDefault="00F958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1179"/>
        </w:tabs>
        <w:ind w:left="1179" w:hanging="360"/>
      </w:pPr>
    </w:lvl>
  </w:abstractNum>
  <w:abstractNum w:abstractNumId="1" w15:restartNumberingAfterBreak="0">
    <w:nsid w:val="06CD29E3"/>
    <w:multiLevelType w:val="multilevel"/>
    <w:tmpl w:val="530ED1F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54195"/>
    <w:multiLevelType w:val="hybridMultilevel"/>
    <w:tmpl w:val="509CBF1C"/>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B52863"/>
    <w:multiLevelType w:val="hybridMultilevel"/>
    <w:tmpl w:val="9E386530"/>
    <w:lvl w:ilvl="0" w:tplc="CE40F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9D24D6"/>
    <w:multiLevelType w:val="hybridMultilevel"/>
    <w:tmpl w:val="56961ADE"/>
    <w:lvl w:ilvl="0" w:tplc="CE40FF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7004D6"/>
    <w:multiLevelType w:val="hybridMultilevel"/>
    <w:tmpl w:val="72405CFC"/>
    <w:lvl w:ilvl="0" w:tplc="CE40F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3745B"/>
    <w:multiLevelType w:val="hybridMultilevel"/>
    <w:tmpl w:val="33362F74"/>
    <w:lvl w:ilvl="0" w:tplc="CE40F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5E54154A"/>
    <w:multiLevelType w:val="hybridMultilevel"/>
    <w:tmpl w:val="70FA9494"/>
    <w:lvl w:ilvl="0" w:tplc="A33A720A">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704679F7"/>
    <w:multiLevelType w:val="hybridMultilevel"/>
    <w:tmpl w:val="8ACE6E3C"/>
    <w:lvl w:ilvl="0" w:tplc="F16EBC3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E37FD"/>
    <w:multiLevelType w:val="hybridMultilevel"/>
    <w:tmpl w:val="308CD740"/>
    <w:lvl w:ilvl="0" w:tplc="CE40F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415F1"/>
    <w:multiLevelType w:val="hybridMultilevel"/>
    <w:tmpl w:val="8C3C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
  </w:num>
  <w:num w:numId="6">
    <w:abstractNumId w:val="6"/>
  </w:num>
  <w:num w:numId="7">
    <w:abstractNumId w:val="14"/>
  </w:num>
  <w:num w:numId="8">
    <w:abstractNumId w:val="11"/>
  </w:num>
  <w:num w:numId="9">
    <w:abstractNumId w:val="5"/>
  </w:num>
  <w:num w:numId="10">
    <w:abstractNumId w:val="9"/>
  </w:num>
  <w:num w:numId="11">
    <w:abstractNumId w:val="15"/>
  </w:num>
  <w:num w:numId="12">
    <w:abstractNumId w:val="2"/>
  </w:num>
  <w:num w:numId="13">
    <w:abstractNumId w:val="7"/>
  </w:num>
  <w:num w:numId="14">
    <w:abstractNumId w:val="18"/>
  </w:num>
  <w:num w:numId="15">
    <w:abstractNumId w:val="8"/>
  </w:num>
  <w:num w:numId="16">
    <w:abstractNumId w:val="4"/>
  </w:num>
  <w:num w:numId="17">
    <w:abstractNumId w:val="17"/>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5CFF"/>
    <w:rsid w:val="000077C7"/>
    <w:rsid w:val="000123A6"/>
    <w:rsid w:val="00012C9D"/>
    <w:rsid w:val="0002095F"/>
    <w:rsid w:val="00025E17"/>
    <w:rsid w:val="00034688"/>
    <w:rsid w:val="00037C1A"/>
    <w:rsid w:val="0004020B"/>
    <w:rsid w:val="000407F4"/>
    <w:rsid w:val="00043313"/>
    <w:rsid w:val="00043CAA"/>
    <w:rsid w:val="00050D24"/>
    <w:rsid w:val="0005110F"/>
    <w:rsid w:val="000531C5"/>
    <w:rsid w:val="000610C3"/>
    <w:rsid w:val="0006559F"/>
    <w:rsid w:val="000728FF"/>
    <w:rsid w:val="00075432"/>
    <w:rsid w:val="00075A25"/>
    <w:rsid w:val="00081EF4"/>
    <w:rsid w:val="000968ED"/>
    <w:rsid w:val="000A039F"/>
    <w:rsid w:val="000A4488"/>
    <w:rsid w:val="000A525D"/>
    <w:rsid w:val="000B4320"/>
    <w:rsid w:val="000D3921"/>
    <w:rsid w:val="000F5E56"/>
    <w:rsid w:val="000F604D"/>
    <w:rsid w:val="00103518"/>
    <w:rsid w:val="0011103E"/>
    <w:rsid w:val="00115B3C"/>
    <w:rsid w:val="00122387"/>
    <w:rsid w:val="0012304E"/>
    <w:rsid w:val="001272E3"/>
    <w:rsid w:val="001273E0"/>
    <w:rsid w:val="00131BD8"/>
    <w:rsid w:val="00132C7E"/>
    <w:rsid w:val="00133A90"/>
    <w:rsid w:val="00133F53"/>
    <w:rsid w:val="001362EE"/>
    <w:rsid w:val="001371C1"/>
    <w:rsid w:val="0014531F"/>
    <w:rsid w:val="0015037D"/>
    <w:rsid w:val="001615AB"/>
    <w:rsid w:val="00165217"/>
    <w:rsid w:val="00166299"/>
    <w:rsid w:val="00166D8E"/>
    <w:rsid w:val="0017212A"/>
    <w:rsid w:val="001832A6"/>
    <w:rsid w:val="00184E22"/>
    <w:rsid w:val="00185CFE"/>
    <w:rsid w:val="00185E31"/>
    <w:rsid w:val="00186DE1"/>
    <w:rsid w:val="00190F37"/>
    <w:rsid w:val="00192127"/>
    <w:rsid w:val="001B6916"/>
    <w:rsid w:val="001C2D7E"/>
    <w:rsid w:val="001C7A91"/>
    <w:rsid w:val="001D4F09"/>
    <w:rsid w:val="001E2AF9"/>
    <w:rsid w:val="001E3850"/>
    <w:rsid w:val="001F1B95"/>
    <w:rsid w:val="001F717F"/>
    <w:rsid w:val="0020341D"/>
    <w:rsid w:val="0020551F"/>
    <w:rsid w:val="00217BE3"/>
    <w:rsid w:val="0022493E"/>
    <w:rsid w:val="0023362D"/>
    <w:rsid w:val="002356BD"/>
    <w:rsid w:val="00236439"/>
    <w:rsid w:val="0024440B"/>
    <w:rsid w:val="00251890"/>
    <w:rsid w:val="0025278E"/>
    <w:rsid w:val="00261777"/>
    <w:rsid w:val="002619D8"/>
    <w:rsid w:val="002634C4"/>
    <w:rsid w:val="0026381C"/>
    <w:rsid w:val="00270516"/>
    <w:rsid w:val="002916AE"/>
    <w:rsid w:val="002928D3"/>
    <w:rsid w:val="0029795F"/>
    <w:rsid w:val="002A2E4F"/>
    <w:rsid w:val="002A513E"/>
    <w:rsid w:val="002A5778"/>
    <w:rsid w:val="002A7687"/>
    <w:rsid w:val="002B0492"/>
    <w:rsid w:val="002B6C6E"/>
    <w:rsid w:val="002C1554"/>
    <w:rsid w:val="002C38D8"/>
    <w:rsid w:val="002D2B8E"/>
    <w:rsid w:val="002D2D1B"/>
    <w:rsid w:val="002D4DE6"/>
    <w:rsid w:val="002E18A9"/>
    <w:rsid w:val="002E39E7"/>
    <w:rsid w:val="002F1FE6"/>
    <w:rsid w:val="002F4E68"/>
    <w:rsid w:val="00304163"/>
    <w:rsid w:val="00312F7F"/>
    <w:rsid w:val="00317670"/>
    <w:rsid w:val="00321F2B"/>
    <w:rsid w:val="00325BD3"/>
    <w:rsid w:val="0033379E"/>
    <w:rsid w:val="00335EC1"/>
    <w:rsid w:val="00336EEC"/>
    <w:rsid w:val="00347330"/>
    <w:rsid w:val="00355525"/>
    <w:rsid w:val="00357985"/>
    <w:rsid w:val="00360395"/>
    <w:rsid w:val="00361450"/>
    <w:rsid w:val="00366DFA"/>
    <w:rsid w:val="003673CF"/>
    <w:rsid w:val="0037412A"/>
    <w:rsid w:val="00375EB6"/>
    <w:rsid w:val="00383EC2"/>
    <w:rsid w:val="003845C1"/>
    <w:rsid w:val="003A25D7"/>
    <w:rsid w:val="003A274E"/>
    <w:rsid w:val="003A6F89"/>
    <w:rsid w:val="003B38C1"/>
    <w:rsid w:val="003C2689"/>
    <w:rsid w:val="003C6433"/>
    <w:rsid w:val="003D2E5E"/>
    <w:rsid w:val="003E0D9F"/>
    <w:rsid w:val="003E2652"/>
    <w:rsid w:val="003F2C5C"/>
    <w:rsid w:val="004052E1"/>
    <w:rsid w:val="00411FB2"/>
    <w:rsid w:val="004160A7"/>
    <w:rsid w:val="00423386"/>
    <w:rsid w:val="00423E3E"/>
    <w:rsid w:val="00426F59"/>
    <w:rsid w:val="00427AF4"/>
    <w:rsid w:val="00430CC6"/>
    <w:rsid w:val="00433E5C"/>
    <w:rsid w:val="00436DDD"/>
    <w:rsid w:val="00451667"/>
    <w:rsid w:val="0045757F"/>
    <w:rsid w:val="004630B4"/>
    <w:rsid w:val="0046348A"/>
    <w:rsid w:val="004647DA"/>
    <w:rsid w:val="00466111"/>
    <w:rsid w:val="004665D8"/>
    <w:rsid w:val="00467354"/>
    <w:rsid w:val="0047006A"/>
    <w:rsid w:val="00471236"/>
    <w:rsid w:val="00474062"/>
    <w:rsid w:val="00474CA1"/>
    <w:rsid w:val="00477D6B"/>
    <w:rsid w:val="00480DDB"/>
    <w:rsid w:val="00483720"/>
    <w:rsid w:val="00487B3B"/>
    <w:rsid w:val="004901EB"/>
    <w:rsid w:val="004915D3"/>
    <w:rsid w:val="00491985"/>
    <w:rsid w:val="004936FC"/>
    <w:rsid w:val="004947C5"/>
    <w:rsid w:val="004A485C"/>
    <w:rsid w:val="004B0093"/>
    <w:rsid w:val="004B336C"/>
    <w:rsid w:val="004B3FCD"/>
    <w:rsid w:val="004B43E4"/>
    <w:rsid w:val="004B4E32"/>
    <w:rsid w:val="004B7696"/>
    <w:rsid w:val="004D7EB4"/>
    <w:rsid w:val="004F5A30"/>
    <w:rsid w:val="004F62F4"/>
    <w:rsid w:val="005019FF"/>
    <w:rsid w:val="0050232F"/>
    <w:rsid w:val="00507723"/>
    <w:rsid w:val="00507AA0"/>
    <w:rsid w:val="00522FDE"/>
    <w:rsid w:val="005243B1"/>
    <w:rsid w:val="005248AF"/>
    <w:rsid w:val="00524CCE"/>
    <w:rsid w:val="0053057A"/>
    <w:rsid w:val="00530CB0"/>
    <w:rsid w:val="00542DD9"/>
    <w:rsid w:val="00545E21"/>
    <w:rsid w:val="00546473"/>
    <w:rsid w:val="00546A94"/>
    <w:rsid w:val="005544E3"/>
    <w:rsid w:val="00560A29"/>
    <w:rsid w:val="00562D5F"/>
    <w:rsid w:val="005868B8"/>
    <w:rsid w:val="005A36AE"/>
    <w:rsid w:val="005A6037"/>
    <w:rsid w:val="005A78E1"/>
    <w:rsid w:val="005C6649"/>
    <w:rsid w:val="005D33CB"/>
    <w:rsid w:val="005E0370"/>
    <w:rsid w:val="005E1CF0"/>
    <w:rsid w:val="005F2F3B"/>
    <w:rsid w:val="005F4AAF"/>
    <w:rsid w:val="006008FC"/>
    <w:rsid w:val="006017A8"/>
    <w:rsid w:val="00602890"/>
    <w:rsid w:val="00602CC7"/>
    <w:rsid w:val="00605827"/>
    <w:rsid w:val="006223DB"/>
    <w:rsid w:val="00624E74"/>
    <w:rsid w:val="00627B1E"/>
    <w:rsid w:val="0063048E"/>
    <w:rsid w:val="00631CF1"/>
    <w:rsid w:val="00644AA2"/>
    <w:rsid w:val="00646050"/>
    <w:rsid w:val="00647B0C"/>
    <w:rsid w:val="00654AE9"/>
    <w:rsid w:val="006659A7"/>
    <w:rsid w:val="00666862"/>
    <w:rsid w:val="006705FF"/>
    <w:rsid w:val="006713CA"/>
    <w:rsid w:val="00674ABA"/>
    <w:rsid w:val="00676C5C"/>
    <w:rsid w:val="0067755E"/>
    <w:rsid w:val="00690F17"/>
    <w:rsid w:val="006916AE"/>
    <w:rsid w:val="006955FA"/>
    <w:rsid w:val="006A3E3A"/>
    <w:rsid w:val="006A7E92"/>
    <w:rsid w:val="006B2214"/>
    <w:rsid w:val="006B405C"/>
    <w:rsid w:val="006C1E1F"/>
    <w:rsid w:val="006C2010"/>
    <w:rsid w:val="006D371F"/>
    <w:rsid w:val="006D7919"/>
    <w:rsid w:val="006D7BD8"/>
    <w:rsid w:val="006E1A60"/>
    <w:rsid w:val="006E23DC"/>
    <w:rsid w:val="006E3324"/>
    <w:rsid w:val="006F29F6"/>
    <w:rsid w:val="00702F51"/>
    <w:rsid w:val="00706C73"/>
    <w:rsid w:val="00722094"/>
    <w:rsid w:val="007261AA"/>
    <w:rsid w:val="0072728A"/>
    <w:rsid w:val="00740620"/>
    <w:rsid w:val="007407FF"/>
    <w:rsid w:val="00747B48"/>
    <w:rsid w:val="00761B8F"/>
    <w:rsid w:val="0076210D"/>
    <w:rsid w:val="007633FD"/>
    <w:rsid w:val="00767C4D"/>
    <w:rsid w:val="00773CE3"/>
    <w:rsid w:val="0077451E"/>
    <w:rsid w:val="00775EBD"/>
    <w:rsid w:val="00784B13"/>
    <w:rsid w:val="00790A94"/>
    <w:rsid w:val="007B5323"/>
    <w:rsid w:val="007B7F73"/>
    <w:rsid w:val="007C018D"/>
    <w:rsid w:val="007C13A2"/>
    <w:rsid w:val="007C1968"/>
    <w:rsid w:val="007C3E9B"/>
    <w:rsid w:val="007D0AF8"/>
    <w:rsid w:val="007D1613"/>
    <w:rsid w:val="007D250A"/>
    <w:rsid w:val="007D290D"/>
    <w:rsid w:val="007D2C89"/>
    <w:rsid w:val="007F45DD"/>
    <w:rsid w:val="007F4D09"/>
    <w:rsid w:val="00801EC1"/>
    <w:rsid w:val="00802458"/>
    <w:rsid w:val="00804EC4"/>
    <w:rsid w:val="00812CFA"/>
    <w:rsid w:val="00815E06"/>
    <w:rsid w:val="00815E3A"/>
    <w:rsid w:val="008176AC"/>
    <w:rsid w:val="00824E57"/>
    <w:rsid w:val="00830450"/>
    <w:rsid w:val="00833747"/>
    <w:rsid w:val="0083552C"/>
    <w:rsid w:val="00843679"/>
    <w:rsid w:val="0084460D"/>
    <w:rsid w:val="0085172D"/>
    <w:rsid w:val="00854071"/>
    <w:rsid w:val="00862599"/>
    <w:rsid w:val="00864A35"/>
    <w:rsid w:val="00876A3C"/>
    <w:rsid w:val="0088405C"/>
    <w:rsid w:val="00885618"/>
    <w:rsid w:val="00890E0C"/>
    <w:rsid w:val="008948BE"/>
    <w:rsid w:val="00895C02"/>
    <w:rsid w:val="008977D0"/>
    <w:rsid w:val="008A4C88"/>
    <w:rsid w:val="008A6724"/>
    <w:rsid w:val="008A6825"/>
    <w:rsid w:val="008A6ACB"/>
    <w:rsid w:val="008B13D6"/>
    <w:rsid w:val="008B2CC1"/>
    <w:rsid w:val="008B60B2"/>
    <w:rsid w:val="008C24C1"/>
    <w:rsid w:val="008C2D2F"/>
    <w:rsid w:val="008C2FE6"/>
    <w:rsid w:val="008C67A6"/>
    <w:rsid w:val="008C7B9D"/>
    <w:rsid w:val="008D4833"/>
    <w:rsid w:val="008E37D0"/>
    <w:rsid w:val="008F1F70"/>
    <w:rsid w:val="0090731E"/>
    <w:rsid w:val="0091126B"/>
    <w:rsid w:val="009134B8"/>
    <w:rsid w:val="00916EE2"/>
    <w:rsid w:val="00922789"/>
    <w:rsid w:val="00922AE9"/>
    <w:rsid w:val="00925804"/>
    <w:rsid w:val="0093216E"/>
    <w:rsid w:val="009378BE"/>
    <w:rsid w:val="00940793"/>
    <w:rsid w:val="009621CA"/>
    <w:rsid w:val="0096426B"/>
    <w:rsid w:val="00964994"/>
    <w:rsid w:val="00966A22"/>
    <w:rsid w:val="0096722F"/>
    <w:rsid w:val="00980843"/>
    <w:rsid w:val="00991FC3"/>
    <w:rsid w:val="00997AAD"/>
    <w:rsid w:val="009A01DD"/>
    <w:rsid w:val="009A591F"/>
    <w:rsid w:val="009B2582"/>
    <w:rsid w:val="009B7FD4"/>
    <w:rsid w:val="009C0C04"/>
    <w:rsid w:val="009E2791"/>
    <w:rsid w:val="009E3F6F"/>
    <w:rsid w:val="009E5F9F"/>
    <w:rsid w:val="009F2A14"/>
    <w:rsid w:val="009F3E2A"/>
    <w:rsid w:val="009F499F"/>
    <w:rsid w:val="009F6095"/>
    <w:rsid w:val="009F6841"/>
    <w:rsid w:val="009F7208"/>
    <w:rsid w:val="00A01060"/>
    <w:rsid w:val="00A078A4"/>
    <w:rsid w:val="00A13045"/>
    <w:rsid w:val="00A1504E"/>
    <w:rsid w:val="00A21684"/>
    <w:rsid w:val="00A25430"/>
    <w:rsid w:val="00A26A24"/>
    <w:rsid w:val="00A2714C"/>
    <w:rsid w:val="00A332BA"/>
    <w:rsid w:val="00A353ED"/>
    <w:rsid w:val="00A42DAF"/>
    <w:rsid w:val="00A45BD8"/>
    <w:rsid w:val="00A46013"/>
    <w:rsid w:val="00A468E2"/>
    <w:rsid w:val="00A520A1"/>
    <w:rsid w:val="00A55376"/>
    <w:rsid w:val="00A6014F"/>
    <w:rsid w:val="00A620DD"/>
    <w:rsid w:val="00A70878"/>
    <w:rsid w:val="00A75B82"/>
    <w:rsid w:val="00A869B7"/>
    <w:rsid w:val="00A90A1D"/>
    <w:rsid w:val="00A961AC"/>
    <w:rsid w:val="00AA0B1D"/>
    <w:rsid w:val="00AA1EEF"/>
    <w:rsid w:val="00AA217B"/>
    <w:rsid w:val="00AA2EB5"/>
    <w:rsid w:val="00AA60C1"/>
    <w:rsid w:val="00AB1762"/>
    <w:rsid w:val="00AC205C"/>
    <w:rsid w:val="00AC793E"/>
    <w:rsid w:val="00AD38EE"/>
    <w:rsid w:val="00AE4349"/>
    <w:rsid w:val="00AF0A6B"/>
    <w:rsid w:val="00AF4A42"/>
    <w:rsid w:val="00AF5108"/>
    <w:rsid w:val="00B03589"/>
    <w:rsid w:val="00B05A69"/>
    <w:rsid w:val="00B21387"/>
    <w:rsid w:val="00B2247B"/>
    <w:rsid w:val="00B240CB"/>
    <w:rsid w:val="00B253E4"/>
    <w:rsid w:val="00B30E90"/>
    <w:rsid w:val="00B35DF1"/>
    <w:rsid w:val="00B43FDF"/>
    <w:rsid w:val="00B46D7E"/>
    <w:rsid w:val="00B54D7D"/>
    <w:rsid w:val="00B6125F"/>
    <w:rsid w:val="00B74A10"/>
    <w:rsid w:val="00B83157"/>
    <w:rsid w:val="00B8701D"/>
    <w:rsid w:val="00B93AC7"/>
    <w:rsid w:val="00B9734B"/>
    <w:rsid w:val="00B97A85"/>
    <w:rsid w:val="00BA13BC"/>
    <w:rsid w:val="00BA59F8"/>
    <w:rsid w:val="00BA63F6"/>
    <w:rsid w:val="00BA6A27"/>
    <w:rsid w:val="00BA6DE5"/>
    <w:rsid w:val="00BB1C50"/>
    <w:rsid w:val="00BB30F3"/>
    <w:rsid w:val="00BB78C7"/>
    <w:rsid w:val="00BB7FC6"/>
    <w:rsid w:val="00BC339D"/>
    <w:rsid w:val="00BC3767"/>
    <w:rsid w:val="00BC4EF3"/>
    <w:rsid w:val="00BE55D6"/>
    <w:rsid w:val="00BE5857"/>
    <w:rsid w:val="00BF01CE"/>
    <w:rsid w:val="00BF1FAF"/>
    <w:rsid w:val="00BF4149"/>
    <w:rsid w:val="00C10FFF"/>
    <w:rsid w:val="00C11BFE"/>
    <w:rsid w:val="00C12FB3"/>
    <w:rsid w:val="00C17EA3"/>
    <w:rsid w:val="00C322FB"/>
    <w:rsid w:val="00C41113"/>
    <w:rsid w:val="00C45642"/>
    <w:rsid w:val="00C47421"/>
    <w:rsid w:val="00C556FE"/>
    <w:rsid w:val="00C71922"/>
    <w:rsid w:val="00C74FFE"/>
    <w:rsid w:val="00C80362"/>
    <w:rsid w:val="00C86888"/>
    <w:rsid w:val="00C86AFA"/>
    <w:rsid w:val="00C92BF0"/>
    <w:rsid w:val="00C95C9E"/>
    <w:rsid w:val="00C977DB"/>
    <w:rsid w:val="00CB132F"/>
    <w:rsid w:val="00CC30A2"/>
    <w:rsid w:val="00CC5016"/>
    <w:rsid w:val="00CC66AD"/>
    <w:rsid w:val="00CD023E"/>
    <w:rsid w:val="00CD7002"/>
    <w:rsid w:val="00CE0A51"/>
    <w:rsid w:val="00CE0F4D"/>
    <w:rsid w:val="00CE4302"/>
    <w:rsid w:val="00CE6390"/>
    <w:rsid w:val="00CF4536"/>
    <w:rsid w:val="00CF4A86"/>
    <w:rsid w:val="00D00AB1"/>
    <w:rsid w:val="00D022A2"/>
    <w:rsid w:val="00D06597"/>
    <w:rsid w:val="00D07198"/>
    <w:rsid w:val="00D211A4"/>
    <w:rsid w:val="00D22BD4"/>
    <w:rsid w:val="00D30CC7"/>
    <w:rsid w:val="00D31C2F"/>
    <w:rsid w:val="00D34038"/>
    <w:rsid w:val="00D36664"/>
    <w:rsid w:val="00D40A98"/>
    <w:rsid w:val="00D412BD"/>
    <w:rsid w:val="00D424EC"/>
    <w:rsid w:val="00D4339C"/>
    <w:rsid w:val="00D45252"/>
    <w:rsid w:val="00D4734A"/>
    <w:rsid w:val="00D57F87"/>
    <w:rsid w:val="00D57F90"/>
    <w:rsid w:val="00D60F31"/>
    <w:rsid w:val="00D6276D"/>
    <w:rsid w:val="00D70F71"/>
    <w:rsid w:val="00D71B4D"/>
    <w:rsid w:val="00D76F38"/>
    <w:rsid w:val="00D77557"/>
    <w:rsid w:val="00D80262"/>
    <w:rsid w:val="00D847BE"/>
    <w:rsid w:val="00D90EE5"/>
    <w:rsid w:val="00D93D55"/>
    <w:rsid w:val="00D97E26"/>
    <w:rsid w:val="00DB42CB"/>
    <w:rsid w:val="00DC11D8"/>
    <w:rsid w:val="00DC3E50"/>
    <w:rsid w:val="00DD254E"/>
    <w:rsid w:val="00DD6947"/>
    <w:rsid w:val="00DE1DDE"/>
    <w:rsid w:val="00DF30E4"/>
    <w:rsid w:val="00E1115B"/>
    <w:rsid w:val="00E143F6"/>
    <w:rsid w:val="00E16750"/>
    <w:rsid w:val="00E16F72"/>
    <w:rsid w:val="00E2431A"/>
    <w:rsid w:val="00E24971"/>
    <w:rsid w:val="00E335FE"/>
    <w:rsid w:val="00E348AA"/>
    <w:rsid w:val="00E36B5A"/>
    <w:rsid w:val="00E42B9A"/>
    <w:rsid w:val="00E50EE4"/>
    <w:rsid w:val="00E532DC"/>
    <w:rsid w:val="00E61402"/>
    <w:rsid w:val="00E62F8E"/>
    <w:rsid w:val="00E66C2C"/>
    <w:rsid w:val="00E678D4"/>
    <w:rsid w:val="00E868D1"/>
    <w:rsid w:val="00E940A4"/>
    <w:rsid w:val="00E948E6"/>
    <w:rsid w:val="00E95B8D"/>
    <w:rsid w:val="00EA3DCB"/>
    <w:rsid w:val="00EA3F45"/>
    <w:rsid w:val="00EA40D8"/>
    <w:rsid w:val="00EB6D65"/>
    <w:rsid w:val="00EC13D0"/>
    <w:rsid w:val="00EC23FC"/>
    <w:rsid w:val="00EC4E49"/>
    <w:rsid w:val="00EC51BC"/>
    <w:rsid w:val="00ED38E9"/>
    <w:rsid w:val="00ED4C4F"/>
    <w:rsid w:val="00ED5DBC"/>
    <w:rsid w:val="00ED77FB"/>
    <w:rsid w:val="00EE45FA"/>
    <w:rsid w:val="00EE5748"/>
    <w:rsid w:val="00EE7CE5"/>
    <w:rsid w:val="00EF0146"/>
    <w:rsid w:val="00EF7464"/>
    <w:rsid w:val="00F00E5C"/>
    <w:rsid w:val="00F0720F"/>
    <w:rsid w:val="00F13A8B"/>
    <w:rsid w:val="00F201C4"/>
    <w:rsid w:val="00F37362"/>
    <w:rsid w:val="00F52217"/>
    <w:rsid w:val="00F52365"/>
    <w:rsid w:val="00F568AA"/>
    <w:rsid w:val="00F62DB7"/>
    <w:rsid w:val="00F66152"/>
    <w:rsid w:val="00F766C3"/>
    <w:rsid w:val="00F7721F"/>
    <w:rsid w:val="00F92BD4"/>
    <w:rsid w:val="00F958AA"/>
    <w:rsid w:val="00FA156A"/>
    <w:rsid w:val="00FB687C"/>
    <w:rsid w:val="00FB7408"/>
    <w:rsid w:val="00FC28F0"/>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34FDC8"/>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A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AA60C1"/>
    <w:pPr>
      <w:spacing w:line="360" w:lineRule="auto"/>
      <w:ind w:left="720"/>
      <w:contextualSpacing/>
    </w:pPr>
  </w:style>
  <w:style w:type="character" w:styleId="CommentReference">
    <w:name w:val="annotation reference"/>
    <w:basedOn w:val="DefaultParagraphFont"/>
    <w:semiHidden/>
    <w:unhideWhenUsed/>
    <w:rsid w:val="00B253E4"/>
    <w:rPr>
      <w:sz w:val="16"/>
      <w:szCs w:val="16"/>
    </w:rPr>
  </w:style>
  <w:style w:type="paragraph" w:styleId="CommentSubject">
    <w:name w:val="annotation subject"/>
    <w:basedOn w:val="CommentText"/>
    <w:next w:val="CommentText"/>
    <w:link w:val="CommentSubjectChar"/>
    <w:semiHidden/>
    <w:unhideWhenUsed/>
    <w:rsid w:val="00B253E4"/>
    <w:rPr>
      <w:b/>
      <w:bCs/>
      <w:sz w:val="20"/>
    </w:rPr>
  </w:style>
  <w:style w:type="character" w:customStyle="1" w:styleId="CommentTextChar">
    <w:name w:val="Comment Text Char"/>
    <w:basedOn w:val="DefaultParagraphFont"/>
    <w:link w:val="CommentText"/>
    <w:semiHidden/>
    <w:rsid w:val="00B253E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253E4"/>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EDC6E-E97E-4983-8603-E90026BB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602</Words>
  <Characters>3429</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7</cp:revision>
  <cp:lastPrinted>2020-05-27T07:57:00Z</cp:lastPrinted>
  <dcterms:created xsi:type="dcterms:W3CDTF">2020-05-26T14:13:00Z</dcterms:created>
  <dcterms:modified xsi:type="dcterms:W3CDTF">2020-05-27T07:57:00Z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329aa776-c15a-4bd7-95ad-a4df80c676b3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