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AC297A" w:rsidRPr="00282153" w14:paraId="7F33A5ED" w14:textId="77777777" w:rsidTr="00511106">
        <w:tc>
          <w:tcPr>
            <w:tcW w:w="4513" w:type="dxa"/>
            <w:tcBorders>
              <w:bottom w:val="single" w:sz="4" w:space="0" w:color="auto"/>
            </w:tcBorders>
            <w:tcMar>
              <w:bottom w:w="170" w:type="dxa"/>
            </w:tcMar>
          </w:tcPr>
          <w:p w14:paraId="123F912C" w14:textId="77777777" w:rsidR="00BA2B38" w:rsidRPr="00AC297A" w:rsidRDefault="00BA2B38" w:rsidP="00511106">
            <w:pPr>
              <w:rPr>
                <w:lang w:val="fr-FR"/>
              </w:rPr>
            </w:pPr>
          </w:p>
        </w:tc>
        <w:tc>
          <w:tcPr>
            <w:tcW w:w="4337" w:type="dxa"/>
            <w:tcBorders>
              <w:bottom w:val="single" w:sz="4" w:space="0" w:color="auto"/>
            </w:tcBorders>
            <w:tcMar>
              <w:left w:w="0" w:type="dxa"/>
              <w:right w:w="0" w:type="dxa"/>
            </w:tcMar>
          </w:tcPr>
          <w:p w14:paraId="2BB0F6D0" w14:textId="77777777" w:rsidR="00BA2B38" w:rsidRPr="00282153" w:rsidRDefault="00BA2B38" w:rsidP="00511106">
            <w:pPr>
              <w:rPr>
                <w:lang w:val="fr-FR"/>
              </w:rPr>
            </w:pPr>
            <w:r w:rsidRPr="00282153">
              <w:rPr>
                <w:noProof/>
                <w:lang w:eastAsia="en-US"/>
              </w:rPr>
              <w:drawing>
                <wp:inline distT="0" distB="0" distL="0" distR="0" wp14:anchorId="5D92D606" wp14:editId="65298104">
                  <wp:extent cx="1858645" cy="1325245"/>
                  <wp:effectExtent l="0" t="0" r="8255" b="825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524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3EF95B62" w14:textId="77777777" w:rsidR="00BA2B38" w:rsidRPr="00282153" w:rsidRDefault="00BA2B38" w:rsidP="00511106">
            <w:pPr>
              <w:jc w:val="right"/>
              <w:rPr>
                <w:lang w:val="fr-FR"/>
              </w:rPr>
            </w:pPr>
          </w:p>
        </w:tc>
      </w:tr>
      <w:tr w:rsidR="00AC297A" w:rsidRPr="00282153" w14:paraId="47B41F11" w14:textId="77777777" w:rsidTr="00511106">
        <w:trPr>
          <w:trHeight w:hRule="exact" w:val="170"/>
        </w:trPr>
        <w:tc>
          <w:tcPr>
            <w:tcW w:w="9360" w:type="dxa"/>
            <w:gridSpan w:val="3"/>
            <w:noWrap/>
            <w:tcMar>
              <w:left w:w="0" w:type="dxa"/>
              <w:right w:w="0" w:type="dxa"/>
            </w:tcMar>
            <w:vAlign w:val="bottom"/>
          </w:tcPr>
          <w:p w14:paraId="7B716171" w14:textId="77777777" w:rsidR="00BA2B38" w:rsidRPr="00282153" w:rsidRDefault="00BA2B38" w:rsidP="00511106">
            <w:pPr>
              <w:jc w:val="right"/>
              <w:rPr>
                <w:rFonts w:ascii="Arial Black" w:hAnsi="Arial Black"/>
                <w:caps/>
                <w:sz w:val="15"/>
                <w:lang w:val="fr-FR"/>
              </w:rPr>
            </w:pPr>
            <w:bookmarkStart w:id="0" w:name="Original"/>
            <w:bookmarkEnd w:id="0"/>
          </w:p>
        </w:tc>
      </w:tr>
      <w:tr w:rsidR="00AC297A" w:rsidRPr="00282153" w14:paraId="20105C06" w14:textId="77777777" w:rsidTr="00511106">
        <w:trPr>
          <w:trHeight w:hRule="exact" w:val="198"/>
        </w:trPr>
        <w:tc>
          <w:tcPr>
            <w:tcW w:w="9360" w:type="dxa"/>
            <w:gridSpan w:val="3"/>
            <w:tcMar>
              <w:left w:w="0" w:type="dxa"/>
              <w:right w:w="0" w:type="dxa"/>
            </w:tcMar>
            <w:vAlign w:val="bottom"/>
          </w:tcPr>
          <w:p w14:paraId="6418A21F" w14:textId="05E7CBA0" w:rsidR="00BA2B38" w:rsidRPr="00282153" w:rsidRDefault="00BA2B38" w:rsidP="00511106">
            <w:pPr>
              <w:jc w:val="right"/>
              <w:rPr>
                <w:rFonts w:ascii="Arial Black" w:hAnsi="Arial Black"/>
                <w:caps/>
                <w:sz w:val="15"/>
                <w:lang w:val="fr-FR"/>
              </w:rPr>
            </w:pPr>
            <w:r w:rsidRPr="00282153">
              <w:rPr>
                <w:rFonts w:ascii="Arial Black" w:hAnsi="Arial Black"/>
                <w:caps/>
                <w:sz w:val="15"/>
                <w:lang w:val="fr-FR"/>
              </w:rPr>
              <w:t>avis N° </w:t>
            </w:r>
            <w:r w:rsidR="00282153" w:rsidRPr="00282153">
              <w:rPr>
                <w:rFonts w:ascii="Arial Black" w:hAnsi="Arial Black"/>
                <w:caps/>
                <w:sz w:val="15"/>
                <w:lang w:val="fr-FR"/>
              </w:rPr>
              <w:t>34</w:t>
            </w:r>
            <w:r w:rsidRPr="00282153">
              <w:rPr>
                <w:rFonts w:ascii="Arial Black" w:hAnsi="Arial Black"/>
                <w:caps/>
                <w:sz w:val="15"/>
                <w:lang w:val="fr-FR"/>
              </w:rPr>
              <w:t xml:space="preserve">/2020 </w:t>
            </w:r>
            <w:bookmarkStart w:id="1" w:name="Date"/>
            <w:bookmarkEnd w:id="1"/>
          </w:p>
        </w:tc>
      </w:tr>
    </w:tbl>
    <w:p w14:paraId="212360E2" w14:textId="5BA7CD7C" w:rsidR="00824346" w:rsidRPr="00282153" w:rsidRDefault="00BA2B38" w:rsidP="00BA2B38">
      <w:pPr>
        <w:autoSpaceDE w:val="0"/>
        <w:autoSpaceDN w:val="0"/>
        <w:adjustRightInd w:val="0"/>
        <w:spacing w:before="1200"/>
        <w:rPr>
          <w:b/>
          <w:bCs/>
          <w:sz w:val="28"/>
          <w:szCs w:val="28"/>
          <w:lang w:val="fr-FR"/>
        </w:rPr>
      </w:pPr>
      <w:r w:rsidRPr="00282153">
        <w:rPr>
          <w:b/>
          <w:bCs/>
          <w:sz w:val="28"/>
          <w:szCs w:val="28"/>
          <w:lang w:val="fr-FR"/>
        </w:rPr>
        <w:t xml:space="preserve">Arrangement de </w:t>
      </w:r>
      <w:r w:rsidR="008459CE" w:rsidRPr="00282153">
        <w:rPr>
          <w:b/>
          <w:bCs/>
          <w:sz w:val="28"/>
          <w:szCs w:val="28"/>
          <w:lang w:val="fr-FR"/>
        </w:rPr>
        <w:t>La Haye</w:t>
      </w:r>
      <w:r w:rsidRPr="00282153">
        <w:rPr>
          <w:b/>
          <w:bCs/>
          <w:sz w:val="28"/>
          <w:szCs w:val="28"/>
          <w:lang w:val="fr-FR"/>
        </w:rPr>
        <w:t xml:space="preserve"> concernant l</w:t>
      </w:r>
      <w:r w:rsidR="008459CE" w:rsidRPr="00282153">
        <w:rPr>
          <w:b/>
          <w:bCs/>
          <w:sz w:val="28"/>
          <w:szCs w:val="28"/>
          <w:lang w:val="fr-FR"/>
        </w:rPr>
        <w:t>’</w:t>
      </w:r>
      <w:r w:rsidRPr="00282153">
        <w:rPr>
          <w:b/>
          <w:bCs/>
          <w:sz w:val="28"/>
          <w:szCs w:val="28"/>
          <w:lang w:val="fr-FR"/>
        </w:rPr>
        <w:t>enregistrement international des dessins et modèles industriels</w:t>
      </w:r>
    </w:p>
    <w:p w14:paraId="27458BEC" w14:textId="3F3E2CBD" w:rsidR="00824346" w:rsidRPr="00282153" w:rsidRDefault="00BA2B38" w:rsidP="009A01DD">
      <w:pPr>
        <w:autoSpaceDE w:val="0"/>
        <w:autoSpaceDN w:val="0"/>
        <w:adjustRightInd w:val="0"/>
        <w:spacing w:before="720" w:after="240"/>
        <w:rPr>
          <w:b/>
          <w:bCs/>
          <w:sz w:val="24"/>
          <w:szCs w:val="24"/>
          <w:lang w:val="fr-CH"/>
        </w:rPr>
      </w:pPr>
      <w:bookmarkStart w:id="2" w:name="_GoBack"/>
      <w:r w:rsidRPr="00282153">
        <w:rPr>
          <w:b/>
          <w:bCs/>
          <w:sz w:val="24"/>
          <w:szCs w:val="24"/>
          <w:lang w:val="fr-FR"/>
        </w:rPr>
        <w:t>Taxe de désignation individuelle</w:t>
      </w:r>
      <w:r w:rsidR="008459CE" w:rsidRPr="00282153">
        <w:rPr>
          <w:b/>
          <w:bCs/>
          <w:sz w:val="24"/>
          <w:szCs w:val="24"/>
          <w:lang w:val="fr-FR"/>
        </w:rPr>
        <w:t> :</w:t>
      </w:r>
      <w:r w:rsidR="006D7BD8" w:rsidRPr="00282153">
        <w:rPr>
          <w:b/>
          <w:bCs/>
          <w:sz w:val="24"/>
          <w:szCs w:val="24"/>
          <w:lang w:val="fr-CH"/>
        </w:rPr>
        <w:t xml:space="preserve"> </w:t>
      </w:r>
      <w:r w:rsidR="008668E6" w:rsidRPr="00282153">
        <w:rPr>
          <w:b/>
          <w:bCs/>
          <w:sz w:val="24"/>
          <w:szCs w:val="24"/>
          <w:lang w:val="fr-CH"/>
        </w:rPr>
        <w:t>Turkm</w:t>
      </w:r>
      <w:r w:rsidRPr="00282153">
        <w:rPr>
          <w:b/>
          <w:bCs/>
          <w:sz w:val="24"/>
          <w:szCs w:val="24"/>
          <w:lang w:val="fr-CH"/>
        </w:rPr>
        <w:t>é</w:t>
      </w:r>
      <w:r w:rsidR="008668E6" w:rsidRPr="00282153">
        <w:rPr>
          <w:b/>
          <w:bCs/>
          <w:sz w:val="24"/>
          <w:szCs w:val="24"/>
          <w:lang w:val="fr-CH"/>
        </w:rPr>
        <w:t>nistan</w:t>
      </w:r>
    </w:p>
    <w:bookmarkEnd w:id="2"/>
    <w:p w14:paraId="788AF2F5" w14:textId="2E1F3217" w:rsidR="00824346" w:rsidRPr="00282153" w:rsidRDefault="009030BD" w:rsidP="009030BD">
      <w:pPr>
        <w:pStyle w:val="ONUME"/>
        <w:rPr>
          <w:lang w:val="fr-CH"/>
        </w:rPr>
      </w:pPr>
      <w:r w:rsidRPr="00282153">
        <w:rPr>
          <w:lang w:val="fr-CH"/>
        </w:rPr>
        <w:t>Le Gouvernement du Turkménistan a fait la déclaration visée à l</w:t>
      </w:r>
      <w:r w:rsidR="008459CE" w:rsidRPr="00282153">
        <w:rPr>
          <w:lang w:val="fr-CH"/>
        </w:rPr>
        <w:t>’</w:t>
      </w:r>
      <w:r w:rsidRPr="00282153">
        <w:rPr>
          <w:lang w:val="fr-CH"/>
        </w:rPr>
        <w:t>article</w:t>
      </w:r>
      <w:r w:rsidR="0079489B" w:rsidRPr="00282153">
        <w:rPr>
          <w:lang w:val="fr-CH"/>
        </w:rPr>
        <w:t> </w:t>
      </w:r>
      <w:r w:rsidRPr="00282153">
        <w:rPr>
          <w:lang w:val="fr-CH"/>
        </w:rPr>
        <w:t>7.2) de l</w:t>
      </w:r>
      <w:r w:rsidR="008459CE" w:rsidRPr="00282153">
        <w:rPr>
          <w:lang w:val="fr-CH"/>
        </w:rPr>
        <w:t>’</w:t>
      </w:r>
      <w:r w:rsidRPr="00282153">
        <w:rPr>
          <w:lang w:val="fr-CH"/>
        </w:rPr>
        <w:t>Acte de Genève de l</w:t>
      </w:r>
      <w:r w:rsidR="008459CE" w:rsidRPr="00282153">
        <w:rPr>
          <w:lang w:val="fr-CH"/>
        </w:rPr>
        <w:t>’</w:t>
      </w:r>
      <w:r w:rsidRPr="00282153">
        <w:rPr>
          <w:lang w:val="fr-CH"/>
        </w:rPr>
        <w:t xml:space="preserve">Arrangement de </w:t>
      </w:r>
      <w:r w:rsidR="008459CE" w:rsidRPr="00282153">
        <w:rPr>
          <w:lang w:val="fr-CH"/>
        </w:rPr>
        <w:t>La Haye</w:t>
      </w:r>
      <w:r w:rsidRPr="00282153">
        <w:rPr>
          <w:lang w:val="fr-CH"/>
        </w:rPr>
        <w:t xml:space="preserve"> concernant l</w:t>
      </w:r>
      <w:r w:rsidR="008459CE" w:rsidRPr="00282153">
        <w:rPr>
          <w:lang w:val="fr-CH"/>
        </w:rPr>
        <w:t>’</w:t>
      </w:r>
      <w:r w:rsidRPr="00282153">
        <w:rPr>
          <w:lang w:val="fr-CH"/>
        </w:rPr>
        <w:t xml:space="preserve">enregistrement international des dessins et modèles industriels (“Acte </w:t>
      </w:r>
      <w:r w:rsidR="008459CE" w:rsidRPr="00282153">
        <w:rPr>
          <w:lang w:val="fr-CH"/>
        </w:rPr>
        <w:t>de 1999</w:t>
      </w:r>
      <w:r w:rsidRPr="00282153">
        <w:rPr>
          <w:lang w:val="fr-CH"/>
        </w:rPr>
        <w:t>”) selon laquelle, pour une demande internationale dans laquelle le Turkménistan est désigné, ainsi que pour le renouvellement de tout enregistrement international désignant le Turkménistan, la taxe de désignation prescrite est remplacée par une taxe de désignation individuelle.</w:t>
      </w:r>
    </w:p>
    <w:p w14:paraId="49015EC9" w14:textId="1A7DD937" w:rsidR="00890E0C" w:rsidRPr="00282153" w:rsidRDefault="009030BD" w:rsidP="009030BD">
      <w:pPr>
        <w:pStyle w:val="ONUME"/>
        <w:rPr>
          <w:lang w:val="fr-CH"/>
        </w:rPr>
      </w:pPr>
      <w:r w:rsidRPr="00282153">
        <w:rPr>
          <w:lang w:val="fr-CH"/>
        </w:rPr>
        <w:t>Conformément à la règle</w:t>
      </w:r>
      <w:r w:rsidR="0079489B" w:rsidRPr="00282153">
        <w:rPr>
          <w:lang w:val="fr-CH"/>
        </w:rPr>
        <w:t> </w:t>
      </w:r>
      <w:r w:rsidRPr="00282153">
        <w:rPr>
          <w:lang w:val="fr-CH"/>
        </w:rPr>
        <w:t>28.2)</w:t>
      </w:r>
      <w:r w:rsidR="0079489B" w:rsidRPr="00282153">
        <w:rPr>
          <w:lang w:val="fr-CH"/>
        </w:rPr>
        <w:t>b</w:t>
      </w:r>
      <w:r w:rsidRPr="00282153">
        <w:rPr>
          <w:lang w:val="fr-CH"/>
        </w:rPr>
        <w:t xml:space="preserve">) du </w:t>
      </w:r>
      <w:r w:rsidR="000E1788" w:rsidRPr="00282153">
        <w:rPr>
          <w:lang w:val="fr-CH"/>
        </w:rPr>
        <w:t>règle</w:t>
      </w:r>
      <w:r w:rsidRPr="00282153">
        <w:rPr>
          <w:lang w:val="fr-CH"/>
        </w:rPr>
        <w:t>ment d</w:t>
      </w:r>
      <w:r w:rsidR="008459CE" w:rsidRPr="00282153">
        <w:rPr>
          <w:lang w:val="fr-CH"/>
        </w:rPr>
        <w:t>’</w:t>
      </w:r>
      <w:r w:rsidRPr="00282153">
        <w:rPr>
          <w:lang w:val="fr-CH"/>
        </w:rPr>
        <w:t>exécution commun à l</w:t>
      </w:r>
      <w:r w:rsidR="008459CE" w:rsidRPr="00282153">
        <w:rPr>
          <w:lang w:val="fr-CH"/>
        </w:rPr>
        <w:t>’</w:t>
      </w:r>
      <w:r w:rsidRPr="00282153">
        <w:rPr>
          <w:lang w:val="fr-CH"/>
        </w:rPr>
        <w:t xml:space="preserve">Acte </w:t>
      </w:r>
      <w:r w:rsidR="008459CE" w:rsidRPr="00282153">
        <w:rPr>
          <w:lang w:val="fr-CH"/>
        </w:rPr>
        <w:t>de 1999</w:t>
      </w:r>
      <w:r w:rsidRPr="00282153">
        <w:rPr>
          <w:lang w:val="fr-CH"/>
        </w:rPr>
        <w:t xml:space="preserve"> et l</w:t>
      </w:r>
      <w:r w:rsidR="008459CE" w:rsidRPr="00282153">
        <w:rPr>
          <w:lang w:val="fr-CH"/>
        </w:rPr>
        <w:t>’</w:t>
      </w:r>
      <w:r w:rsidRPr="00282153">
        <w:rPr>
          <w:lang w:val="fr-CH"/>
        </w:rPr>
        <w:t xml:space="preserve">Acte </w:t>
      </w:r>
      <w:r w:rsidR="008459CE" w:rsidRPr="00282153">
        <w:rPr>
          <w:lang w:val="fr-CH"/>
        </w:rPr>
        <w:t>de 1960</w:t>
      </w:r>
      <w:r w:rsidRPr="00282153">
        <w:rPr>
          <w:lang w:val="fr-CH"/>
        </w:rPr>
        <w:t xml:space="preserve"> de l</w:t>
      </w:r>
      <w:r w:rsidR="008459CE" w:rsidRPr="00282153">
        <w:rPr>
          <w:lang w:val="fr-CH"/>
        </w:rPr>
        <w:t>’</w:t>
      </w:r>
      <w:r w:rsidRPr="00282153">
        <w:rPr>
          <w:lang w:val="fr-CH"/>
        </w:rPr>
        <w:t xml:space="preserve">Arrangement de </w:t>
      </w:r>
      <w:r w:rsidR="008459CE" w:rsidRPr="00282153">
        <w:rPr>
          <w:lang w:val="fr-CH"/>
        </w:rPr>
        <w:t>La Haye</w:t>
      </w:r>
      <w:r w:rsidRPr="00282153">
        <w:rPr>
          <w:lang w:val="fr-CH"/>
        </w:rPr>
        <w:t>, le Directeur général de l</w:t>
      </w:r>
      <w:r w:rsidR="008459CE" w:rsidRPr="00282153">
        <w:rPr>
          <w:lang w:val="fr-CH"/>
        </w:rPr>
        <w:t>’</w:t>
      </w:r>
      <w:r w:rsidRPr="00282153">
        <w:rPr>
          <w:lang w:val="fr-CH"/>
        </w:rPr>
        <w:t xml:space="preserve">Organisation Mondiale de la Propriété Intellectuelle (OMPI) a établi comme suit, après consultation du Service </w:t>
      </w:r>
      <w:r w:rsidR="00AA1619" w:rsidRPr="00282153">
        <w:rPr>
          <w:lang w:val="fr-CH"/>
        </w:rPr>
        <w:t xml:space="preserve">d’État </w:t>
      </w:r>
      <w:r w:rsidRPr="00282153">
        <w:rPr>
          <w:lang w:val="fr-CH"/>
        </w:rPr>
        <w:t xml:space="preserve">pour la propriété intellectuelle du Ministère </w:t>
      </w:r>
      <w:r w:rsidR="00AA1619" w:rsidRPr="00282153">
        <w:rPr>
          <w:lang w:val="fr-CH"/>
        </w:rPr>
        <w:t xml:space="preserve">des finances et </w:t>
      </w:r>
      <w:r w:rsidRPr="00282153">
        <w:rPr>
          <w:lang w:val="fr-CH"/>
        </w:rPr>
        <w:t>de l</w:t>
      </w:r>
      <w:r w:rsidR="008459CE" w:rsidRPr="00282153">
        <w:rPr>
          <w:lang w:val="fr-CH"/>
        </w:rPr>
        <w:t>’</w:t>
      </w:r>
      <w:r w:rsidRPr="00282153">
        <w:rPr>
          <w:lang w:val="fr-CH"/>
        </w:rPr>
        <w:t xml:space="preserve">économie du Turkménistan, les montants de la taxe de désignation individuelle </w:t>
      </w:r>
      <w:r w:rsidR="009D426D" w:rsidRPr="00282153">
        <w:rPr>
          <w:lang w:val="fr-CH"/>
        </w:rPr>
        <w:t xml:space="preserve">payable </w:t>
      </w:r>
      <w:r w:rsidR="008459CE" w:rsidRPr="00282153">
        <w:rPr>
          <w:lang w:val="fr-CH"/>
        </w:rPr>
        <w:t>à l’égard</w:t>
      </w:r>
      <w:r w:rsidRPr="00282153">
        <w:rPr>
          <w:lang w:val="fr-CH"/>
        </w:rPr>
        <w:t xml:space="preserve"> du Turkménistan</w:t>
      </w:r>
      <w:r w:rsidR="008459CE" w:rsidRPr="00282153">
        <w:rPr>
          <w:lang w:val="fr-CH"/>
        </w:rPr>
        <w: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3834"/>
        <w:gridCol w:w="2268"/>
      </w:tblGrid>
      <w:tr w:rsidR="00AC297A" w:rsidRPr="00282153" w14:paraId="1618DFDB" w14:textId="77777777" w:rsidTr="00890E0C">
        <w:trPr>
          <w:trHeight w:val="736"/>
        </w:trPr>
        <w:tc>
          <w:tcPr>
            <w:tcW w:w="6804" w:type="dxa"/>
            <w:gridSpan w:val="2"/>
            <w:vAlign w:val="center"/>
          </w:tcPr>
          <w:p w14:paraId="549E1677" w14:textId="219E3700" w:rsidR="0076210D" w:rsidRPr="00282153" w:rsidRDefault="009030BD" w:rsidP="009030BD">
            <w:pPr>
              <w:jc w:val="center"/>
              <w:rPr>
                <w:b/>
                <w:lang w:val="fr-CH"/>
              </w:rPr>
            </w:pPr>
            <w:r w:rsidRPr="00282153">
              <w:rPr>
                <w:b/>
                <w:lang w:val="fr-CH"/>
              </w:rPr>
              <w:t>Taxe de désignation individuelle</w:t>
            </w:r>
          </w:p>
        </w:tc>
        <w:tc>
          <w:tcPr>
            <w:tcW w:w="2268" w:type="dxa"/>
            <w:vAlign w:val="center"/>
          </w:tcPr>
          <w:p w14:paraId="4FD0BE14" w14:textId="3299AAB5" w:rsidR="0076210D" w:rsidRPr="00282153" w:rsidRDefault="009030BD" w:rsidP="00811F56">
            <w:pPr>
              <w:jc w:val="center"/>
              <w:rPr>
                <w:b/>
                <w:lang w:val="fr-CH"/>
              </w:rPr>
            </w:pPr>
            <w:r w:rsidRPr="00282153">
              <w:rPr>
                <w:b/>
                <w:lang w:val="fr-CH"/>
              </w:rPr>
              <w:t>Montants</w:t>
            </w:r>
            <w:r w:rsidR="00811F56" w:rsidRPr="00282153">
              <w:rPr>
                <w:b/>
                <w:i/>
              </w:rPr>
              <w:br/>
            </w:r>
            <w:r w:rsidRPr="00282153">
              <w:rPr>
                <w:i/>
                <w:lang w:val="fr-CH"/>
              </w:rPr>
              <w:t>(en francs suisses)</w:t>
            </w:r>
          </w:p>
        </w:tc>
      </w:tr>
      <w:tr w:rsidR="00AC297A" w:rsidRPr="00282153" w14:paraId="4560234C" w14:textId="77777777" w:rsidTr="00890E0C">
        <w:trPr>
          <w:trHeight w:val="512"/>
        </w:trPr>
        <w:tc>
          <w:tcPr>
            <w:tcW w:w="2970" w:type="dxa"/>
            <w:vAlign w:val="center"/>
          </w:tcPr>
          <w:p w14:paraId="53509F30" w14:textId="4A6919A4" w:rsidR="0076210D" w:rsidRPr="00282153" w:rsidRDefault="009030BD" w:rsidP="009030BD">
            <w:pPr>
              <w:rPr>
                <w:lang w:val="fr-CH"/>
              </w:rPr>
            </w:pPr>
            <w:r w:rsidRPr="00282153">
              <w:rPr>
                <w:lang w:val="fr-CH"/>
              </w:rPr>
              <w:t>Demande internationale</w:t>
            </w:r>
          </w:p>
        </w:tc>
        <w:tc>
          <w:tcPr>
            <w:tcW w:w="3834" w:type="dxa"/>
          </w:tcPr>
          <w:p w14:paraId="22FF57CC" w14:textId="6156CE9A" w:rsidR="00824346" w:rsidRPr="00282153" w:rsidRDefault="009030BD" w:rsidP="009030BD">
            <w:pPr>
              <w:tabs>
                <w:tab w:val="left" w:pos="317"/>
              </w:tabs>
              <w:spacing w:before="120" w:after="120"/>
              <w:rPr>
                <w:lang w:val="fr-CH"/>
              </w:rPr>
            </w:pPr>
            <w:r w:rsidRPr="00282153">
              <w:rPr>
                <w:lang w:val="fr-CH"/>
              </w:rPr>
              <w:t>pour un dessin ou modèle</w:t>
            </w:r>
          </w:p>
          <w:p w14:paraId="7B32D127" w14:textId="45FF2BF0" w:rsidR="00EA3DCB" w:rsidRPr="00282153" w:rsidRDefault="001655A9" w:rsidP="001655A9">
            <w:pPr>
              <w:tabs>
                <w:tab w:val="left" w:pos="317"/>
              </w:tabs>
              <w:spacing w:before="120" w:after="120"/>
              <w:rPr>
                <w:lang w:val="fr-CH"/>
              </w:rPr>
            </w:pPr>
            <w:r w:rsidRPr="00282153">
              <w:rPr>
                <w:lang w:val="fr-CH"/>
              </w:rPr>
              <w:t>pour chaque dessin ou modèle supplémentaire</w:t>
            </w:r>
          </w:p>
        </w:tc>
        <w:tc>
          <w:tcPr>
            <w:tcW w:w="2268" w:type="dxa"/>
          </w:tcPr>
          <w:p w14:paraId="52308E37" w14:textId="77777777" w:rsidR="00824346" w:rsidRPr="00282153" w:rsidRDefault="001F5371" w:rsidP="00BB55B3">
            <w:pPr>
              <w:tabs>
                <w:tab w:val="right" w:pos="1310"/>
              </w:tabs>
              <w:spacing w:before="120" w:after="120"/>
              <w:ind w:right="713"/>
              <w:jc w:val="right"/>
              <w:rPr>
                <w:lang w:val="fr-CH"/>
              </w:rPr>
            </w:pPr>
            <w:r w:rsidRPr="00282153">
              <w:rPr>
                <w:lang w:val="fr-CH"/>
              </w:rPr>
              <w:t>589</w:t>
            </w:r>
          </w:p>
          <w:p w14:paraId="6992F223" w14:textId="38D8047A" w:rsidR="008E37D0" w:rsidRPr="00282153" w:rsidRDefault="001F5371" w:rsidP="00BB55B3">
            <w:pPr>
              <w:tabs>
                <w:tab w:val="right" w:pos="1310"/>
              </w:tabs>
              <w:spacing w:before="120" w:after="120"/>
              <w:ind w:right="713"/>
              <w:jc w:val="right"/>
              <w:rPr>
                <w:lang w:val="fr-CH"/>
              </w:rPr>
            </w:pPr>
            <w:r w:rsidRPr="00282153">
              <w:rPr>
                <w:lang w:val="fr-CH"/>
              </w:rPr>
              <w:t>36</w:t>
            </w:r>
          </w:p>
        </w:tc>
      </w:tr>
      <w:tr w:rsidR="00AC297A" w:rsidRPr="00282153" w14:paraId="1E0D2AE2" w14:textId="77777777" w:rsidTr="00890E0C">
        <w:tc>
          <w:tcPr>
            <w:tcW w:w="2970" w:type="dxa"/>
            <w:vMerge w:val="restart"/>
            <w:vAlign w:val="center"/>
          </w:tcPr>
          <w:p w14:paraId="1436FABF" w14:textId="5E253C16" w:rsidR="0001723E" w:rsidRPr="00282153" w:rsidRDefault="001655A9" w:rsidP="001655A9">
            <w:pPr>
              <w:rPr>
                <w:lang w:val="fr-CH"/>
              </w:rPr>
            </w:pPr>
            <w:r w:rsidRPr="00282153">
              <w:rPr>
                <w:lang w:val="fr-CH"/>
              </w:rPr>
              <w:t>Renouvellement</w:t>
            </w:r>
          </w:p>
        </w:tc>
        <w:tc>
          <w:tcPr>
            <w:tcW w:w="3834" w:type="dxa"/>
            <w:vAlign w:val="center"/>
          </w:tcPr>
          <w:p w14:paraId="1C3E2697" w14:textId="65E3F2AD" w:rsidR="0001723E" w:rsidRPr="00282153" w:rsidRDefault="001655A9" w:rsidP="001655A9">
            <w:pPr>
              <w:tabs>
                <w:tab w:val="left" w:pos="317"/>
              </w:tabs>
              <w:spacing w:before="120" w:after="120"/>
              <w:rPr>
                <w:lang w:val="fr-CH"/>
              </w:rPr>
            </w:pPr>
            <w:r w:rsidRPr="00282153">
              <w:rPr>
                <w:lang w:val="fr-CH"/>
              </w:rPr>
              <w:t>pour le premier renouvellement</w:t>
            </w:r>
          </w:p>
        </w:tc>
        <w:tc>
          <w:tcPr>
            <w:tcW w:w="2268" w:type="dxa"/>
          </w:tcPr>
          <w:p w14:paraId="175B20FC" w14:textId="4C36A617" w:rsidR="0001723E" w:rsidRPr="00282153" w:rsidRDefault="001655A9" w:rsidP="00BB55B3">
            <w:pPr>
              <w:tabs>
                <w:tab w:val="right" w:pos="1310"/>
              </w:tabs>
              <w:spacing w:before="120" w:after="120"/>
              <w:ind w:right="713"/>
              <w:jc w:val="right"/>
              <w:rPr>
                <w:lang w:val="fr-CH"/>
              </w:rPr>
            </w:pPr>
            <w:r w:rsidRPr="00282153">
              <w:rPr>
                <w:lang w:val="fr-CH"/>
              </w:rPr>
              <w:t>1019</w:t>
            </w:r>
          </w:p>
        </w:tc>
      </w:tr>
      <w:tr w:rsidR="00AC297A" w:rsidRPr="00282153" w14:paraId="3D8C351F" w14:textId="77777777" w:rsidTr="00890E0C">
        <w:tc>
          <w:tcPr>
            <w:tcW w:w="2970" w:type="dxa"/>
            <w:vMerge/>
            <w:vAlign w:val="center"/>
          </w:tcPr>
          <w:p w14:paraId="7A32D094" w14:textId="10A46D22" w:rsidR="0001723E" w:rsidRPr="00282153" w:rsidRDefault="0001723E" w:rsidP="00EE7CE5">
            <w:pPr>
              <w:rPr>
                <w:lang w:val="fr-CH"/>
              </w:rPr>
            </w:pPr>
          </w:p>
        </w:tc>
        <w:tc>
          <w:tcPr>
            <w:tcW w:w="3834" w:type="dxa"/>
            <w:vAlign w:val="center"/>
          </w:tcPr>
          <w:p w14:paraId="0A78AB9D" w14:textId="7A02AF5E" w:rsidR="0001723E" w:rsidRPr="00282153" w:rsidRDefault="001655A9" w:rsidP="001655A9">
            <w:pPr>
              <w:tabs>
                <w:tab w:val="left" w:pos="317"/>
              </w:tabs>
              <w:spacing w:before="120" w:after="120"/>
              <w:rPr>
                <w:lang w:val="fr-CH"/>
              </w:rPr>
            </w:pPr>
            <w:r w:rsidRPr="00282153">
              <w:rPr>
                <w:lang w:val="fr-CH"/>
              </w:rPr>
              <w:t>pour le second renouvellement</w:t>
            </w:r>
          </w:p>
        </w:tc>
        <w:tc>
          <w:tcPr>
            <w:tcW w:w="2268" w:type="dxa"/>
          </w:tcPr>
          <w:p w14:paraId="525C6499" w14:textId="678E8D01" w:rsidR="0001723E" w:rsidRPr="00282153" w:rsidRDefault="001655A9" w:rsidP="00BB55B3">
            <w:pPr>
              <w:tabs>
                <w:tab w:val="right" w:pos="1310"/>
              </w:tabs>
              <w:spacing w:before="120" w:after="120"/>
              <w:ind w:right="713"/>
              <w:jc w:val="right"/>
              <w:rPr>
                <w:lang w:val="fr-CH"/>
              </w:rPr>
            </w:pPr>
            <w:r w:rsidRPr="00282153">
              <w:rPr>
                <w:lang w:val="fr-CH"/>
              </w:rPr>
              <w:t>1586</w:t>
            </w:r>
          </w:p>
        </w:tc>
      </w:tr>
    </w:tbl>
    <w:p w14:paraId="6945DFA7" w14:textId="766D45FB" w:rsidR="00824346" w:rsidRPr="00282153" w:rsidRDefault="001655A9" w:rsidP="00AF0797">
      <w:pPr>
        <w:pStyle w:val="ONUME"/>
        <w:tabs>
          <w:tab w:val="clear" w:pos="567"/>
        </w:tabs>
        <w:spacing w:before="240" w:after="240"/>
        <w:rPr>
          <w:lang w:val="fr-CH"/>
        </w:rPr>
      </w:pPr>
      <w:r w:rsidRPr="00282153">
        <w:rPr>
          <w:lang w:val="fr-CH"/>
        </w:rPr>
        <w:t>Conformément à l</w:t>
      </w:r>
      <w:r w:rsidR="008459CE" w:rsidRPr="00282153">
        <w:rPr>
          <w:lang w:val="fr-CH"/>
        </w:rPr>
        <w:t>’</w:t>
      </w:r>
      <w:r w:rsidRPr="00282153">
        <w:rPr>
          <w:lang w:val="fr-CH"/>
        </w:rPr>
        <w:t>article</w:t>
      </w:r>
      <w:r w:rsidR="0079489B" w:rsidRPr="00282153">
        <w:rPr>
          <w:lang w:val="fr-CH"/>
        </w:rPr>
        <w:t> </w:t>
      </w:r>
      <w:r w:rsidRPr="00282153">
        <w:rPr>
          <w:lang w:val="fr-CH"/>
        </w:rPr>
        <w:t>30.1)</w:t>
      </w:r>
      <w:r w:rsidR="0079489B" w:rsidRPr="00282153">
        <w:rPr>
          <w:lang w:val="fr-CH"/>
        </w:rPr>
        <w:t>i</w:t>
      </w:r>
      <w:r w:rsidRPr="00282153">
        <w:rPr>
          <w:lang w:val="fr-CH"/>
        </w:rPr>
        <w:t>i) de l</w:t>
      </w:r>
      <w:r w:rsidR="008459CE" w:rsidRPr="00282153">
        <w:rPr>
          <w:lang w:val="fr-CH"/>
        </w:rPr>
        <w:t>’</w:t>
      </w:r>
      <w:r w:rsidRPr="00282153">
        <w:rPr>
          <w:lang w:val="fr-CH"/>
        </w:rPr>
        <w:t xml:space="preserve">Acte </w:t>
      </w:r>
      <w:r w:rsidR="008459CE" w:rsidRPr="00282153">
        <w:rPr>
          <w:lang w:val="fr-CH"/>
        </w:rPr>
        <w:t>de 1999</w:t>
      </w:r>
      <w:r w:rsidRPr="00282153">
        <w:rPr>
          <w:lang w:val="fr-CH"/>
        </w:rPr>
        <w:t>, la déclaration susmentionnée relative à la taxe de désignation individuelle entrera en vigueur le 11</w:t>
      </w:r>
      <w:r w:rsidR="0079489B" w:rsidRPr="00282153">
        <w:rPr>
          <w:lang w:val="fr-CH"/>
        </w:rPr>
        <w:t> </w:t>
      </w:r>
      <w:r w:rsidRPr="00282153">
        <w:rPr>
          <w:lang w:val="fr-CH"/>
        </w:rPr>
        <w:t>décembre</w:t>
      </w:r>
      <w:r w:rsidR="0079489B" w:rsidRPr="00282153">
        <w:rPr>
          <w:lang w:val="fr-CH"/>
        </w:rPr>
        <w:t> </w:t>
      </w:r>
      <w:r w:rsidRPr="00282153">
        <w:rPr>
          <w:lang w:val="fr-CH"/>
        </w:rPr>
        <w:t>2020.</w:t>
      </w:r>
      <w:r w:rsidR="00D2407A" w:rsidRPr="00282153">
        <w:rPr>
          <w:lang w:val="fr-CH"/>
        </w:rPr>
        <w:t xml:space="preserve">  </w:t>
      </w:r>
      <w:r w:rsidRPr="00282153">
        <w:rPr>
          <w:lang w:val="fr-CH"/>
        </w:rPr>
        <w:t>À ce sujet, il convient de noter que la taxe de désignation individuelle sera due lorsque le Turkménistan sera désigné dans une demande internationale dont la date de l</w:t>
      </w:r>
      <w:r w:rsidR="008459CE" w:rsidRPr="00282153">
        <w:rPr>
          <w:lang w:val="fr-CH"/>
        </w:rPr>
        <w:t>’</w:t>
      </w:r>
      <w:r w:rsidRPr="00282153">
        <w:rPr>
          <w:lang w:val="fr-CH"/>
        </w:rPr>
        <w:t xml:space="preserve">enregistrement international est </w:t>
      </w:r>
      <w:r w:rsidR="004A2408" w:rsidRPr="00282153">
        <w:rPr>
          <w:lang w:val="fr-CH"/>
        </w:rPr>
        <w:t xml:space="preserve">la date indiquée ci-dessus </w:t>
      </w:r>
      <w:r w:rsidRPr="00282153">
        <w:rPr>
          <w:lang w:val="fr-CH"/>
        </w:rPr>
        <w:t>ou une date postérieure, en application de l</w:t>
      </w:r>
      <w:r w:rsidR="008459CE" w:rsidRPr="00282153">
        <w:rPr>
          <w:lang w:val="fr-CH"/>
        </w:rPr>
        <w:t>’</w:t>
      </w:r>
      <w:r w:rsidRPr="00282153">
        <w:rPr>
          <w:lang w:val="fr-CH"/>
        </w:rPr>
        <w:t>article</w:t>
      </w:r>
      <w:r w:rsidR="0079489B" w:rsidRPr="00282153">
        <w:rPr>
          <w:lang w:val="fr-CH"/>
        </w:rPr>
        <w:t> </w:t>
      </w:r>
      <w:r w:rsidRPr="00282153">
        <w:rPr>
          <w:lang w:val="fr-CH"/>
        </w:rPr>
        <w:t>10.2) de l</w:t>
      </w:r>
      <w:r w:rsidR="008459CE" w:rsidRPr="00282153">
        <w:rPr>
          <w:lang w:val="fr-CH"/>
        </w:rPr>
        <w:t>’</w:t>
      </w:r>
      <w:r w:rsidRPr="00282153">
        <w:rPr>
          <w:lang w:val="fr-CH"/>
        </w:rPr>
        <w:t xml:space="preserve">Acte </w:t>
      </w:r>
      <w:r w:rsidR="008459CE" w:rsidRPr="00282153">
        <w:rPr>
          <w:lang w:val="fr-CH"/>
        </w:rPr>
        <w:t>de 1999</w:t>
      </w:r>
      <w:r w:rsidRPr="00282153">
        <w:rPr>
          <w:lang w:val="fr-CH"/>
        </w:rPr>
        <w:t>.</w:t>
      </w:r>
    </w:p>
    <w:p w14:paraId="16230F66" w14:textId="0B15C58D" w:rsidR="004936FC" w:rsidRPr="00AC297A" w:rsidRDefault="001655A9" w:rsidP="00AF0797">
      <w:pPr>
        <w:pStyle w:val="Endofdocument-Annex"/>
        <w:spacing w:before="480"/>
        <w:rPr>
          <w:lang w:val="fr-CH"/>
        </w:rPr>
      </w:pPr>
      <w:r w:rsidRPr="00282153">
        <w:rPr>
          <w:lang w:val="fr-CH"/>
        </w:rPr>
        <w:t xml:space="preserve">Le </w:t>
      </w:r>
      <w:r w:rsidR="00282153" w:rsidRPr="00282153">
        <w:rPr>
          <w:lang w:val="fr-CH"/>
        </w:rPr>
        <w:t>19</w:t>
      </w:r>
      <w:r w:rsidRPr="00282153">
        <w:rPr>
          <w:lang w:val="fr-CH"/>
        </w:rPr>
        <w:t xml:space="preserve"> octobre</w:t>
      </w:r>
      <w:r w:rsidR="0079489B" w:rsidRPr="00282153">
        <w:rPr>
          <w:lang w:val="fr-CH"/>
        </w:rPr>
        <w:t> </w:t>
      </w:r>
      <w:r w:rsidRPr="00282153">
        <w:rPr>
          <w:lang w:val="fr-CH"/>
        </w:rPr>
        <w:t>2020</w:t>
      </w:r>
    </w:p>
    <w:sectPr w:rsidR="004936FC" w:rsidRPr="00AC297A" w:rsidSect="008A11AF">
      <w:headerReference w:type="even" r:id="rId9"/>
      <w:headerReference w:type="default" r:id="rId10"/>
      <w:footnotePr>
        <w:numFmt w:val="chicago"/>
      </w:footnotePr>
      <w:endnotePr>
        <w:numFmt w:val="decimal"/>
      </w:endnotePr>
      <w:pgSz w:w="11907" w:h="16840" w:code="9"/>
      <w:pgMar w:top="567" w:right="1134" w:bottom="28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83A3" w14:textId="77777777" w:rsidR="000F1396" w:rsidRDefault="000F1396">
      <w:r>
        <w:separator/>
      </w:r>
    </w:p>
  </w:endnote>
  <w:endnote w:type="continuationSeparator" w:id="0">
    <w:p w14:paraId="346958D5" w14:textId="77777777" w:rsidR="000F1396" w:rsidRDefault="000F1396" w:rsidP="003B38C1">
      <w:r>
        <w:separator/>
      </w:r>
    </w:p>
    <w:p w14:paraId="4881C1A3" w14:textId="77777777" w:rsidR="000F1396" w:rsidRPr="003B38C1" w:rsidRDefault="000F1396" w:rsidP="003B38C1">
      <w:pPr>
        <w:spacing w:after="60"/>
        <w:rPr>
          <w:sz w:val="17"/>
        </w:rPr>
      </w:pPr>
      <w:r>
        <w:rPr>
          <w:sz w:val="17"/>
        </w:rPr>
        <w:t>[Endnote continued from previous page]</w:t>
      </w:r>
    </w:p>
  </w:endnote>
  <w:endnote w:type="continuationNotice" w:id="1">
    <w:p w14:paraId="3B66DD64" w14:textId="77777777" w:rsidR="000F1396" w:rsidRPr="003B38C1" w:rsidRDefault="000F13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B530" w14:textId="77777777" w:rsidR="000F1396" w:rsidRDefault="000F1396">
      <w:r>
        <w:separator/>
      </w:r>
    </w:p>
  </w:footnote>
  <w:footnote w:type="continuationSeparator" w:id="0">
    <w:p w14:paraId="22DEB293" w14:textId="77777777" w:rsidR="000F1396" w:rsidRDefault="000F1396" w:rsidP="008B60B2">
      <w:r>
        <w:separator/>
      </w:r>
    </w:p>
    <w:p w14:paraId="5475779C" w14:textId="77777777" w:rsidR="000F1396" w:rsidRPr="00ED77FB" w:rsidRDefault="000F1396" w:rsidP="008B60B2">
      <w:pPr>
        <w:spacing w:after="60"/>
        <w:rPr>
          <w:sz w:val="17"/>
          <w:szCs w:val="17"/>
        </w:rPr>
      </w:pPr>
      <w:r w:rsidRPr="00ED77FB">
        <w:rPr>
          <w:sz w:val="17"/>
          <w:szCs w:val="17"/>
        </w:rPr>
        <w:t>[Footnote continued from previous page]</w:t>
      </w:r>
    </w:p>
  </w:footnote>
  <w:footnote w:type="continuationNotice" w:id="1">
    <w:p w14:paraId="2B1D4734" w14:textId="77777777" w:rsidR="000F1396" w:rsidRPr="00ED77FB" w:rsidRDefault="000F13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2A91" w14:textId="77777777" w:rsidR="006B2214" w:rsidRDefault="006B2214" w:rsidP="006B2214">
    <w:pPr>
      <w:jc w:val="right"/>
    </w:pPr>
  </w:p>
  <w:p w14:paraId="0D0DB0E7" w14:textId="242A8986" w:rsidR="006B2214" w:rsidRDefault="006B2214" w:rsidP="006B2214">
    <w:pPr>
      <w:jc w:val="right"/>
    </w:pPr>
    <w:r>
      <w:t xml:space="preserve">page </w:t>
    </w:r>
    <w:r>
      <w:fldChar w:fldCharType="begin"/>
    </w:r>
    <w:r>
      <w:instrText xml:space="preserve"> PAGE  \* MERGEFORMAT </w:instrText>
    </w:r>
    <w:r>
      <w:fldChar w:fldCharType="separate"/>
    </w:r>
    <w:r w:rsidR="008A11AF">
      <w:rPr>
        <w:noProof/>
      </w:rPr>
      <w:t>2</w:t>
    </w:r>
    <w:r>
      <w:fldChar w:fldCharType="end"/>
    </w:r>
  </w:p>
  <w:p w14:paraId="6148588B" w14:textId="77777777" w:rsidR="006B2214" w:rsidRDefault="006B2214" w:rsidP="006B2214">
    <w:pPr>
      <w:jc w:val="right"/>
    </w:pPr>
  </w:p>
  <w:p w14:paraId="2F79C967" w14:textId="77777777" w:rsidR="006B2214" w:rsidRDefault="006B2214" w:rsidP="006B22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393A" w14:textId="77777777" w:rsidR="002A513E" w:rsidRDefault="002A513E" w:rsidP="00477D6B">
    <w:pPr>
      <w:jc w:val="right"/>
    </w:pPr>
    <w:bookmarkStart w:id="3" w:name="Code2"/>
    <w:bookmarkEnd w:id="3"/>
  </w:p>
  <w:p w14:paraId="75E54A3F" w14:textId="46023EBD" w:rsidR="002A513E" w:rsidRDefault="002A513E" w:rsidP="00477D6B">
    <w:pPr>
      <w:jc w:val="right"/>
    </w:pPr>
    <w:r>
      <w:t>page</w:t>
    </w:r>
    <w:r w:rsidR="0079489B">
      <w:t> </w:t>
    </w:r>
    <w:r>
      <w:fldChar w:fldCharType="begin"/>
    </w:r>
    <w:r>
      <w:instrText xml:space="preserve"> PAGE  \* MERGEFORMAT </w:instrText>
    </w:r>
    <w:r>
      <w:fldChar w:fldCharType="separate"/>
    </w:r>
    <w:r w:rsidR="00E948E6">
      <w:rPr>
        <w:noProof/>
      </w:rPr>
      <w:t>2</w:t>
    </w:r>
    <w:r>
      <w:fldChar w:fldCharType="end"/>
    </w:r>
  </w:p>
  <w:p w14:paraId="785E4D77" w14:textId="77777777" w:rsidR="002A513E" w:rsidRDefault="002A513E" w:rsidP="00477D6B">
    <w:pPr>
      <w:jc w:val="right"/>
    </w:pPr>
  </w:p>
  <w:p w14:paraId="54CED4BA" w14:textId="77777777"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BE3DBE"/>
    <w:multiLevelType w:val="hybridMultilevel"/>
    <w:tmpl w:val="ED0EC0A0"/>
    <w:lvl w:ilvl="0" w:tplc="297007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2D43DE7"/>
    <w:multiLevelType w:val="hybridMultilevel"/>
    <w:tmpl w:val="20B88CB2"/>
    <w:lvl w:ilvl="0" w:tplc="6AAA64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0"/>
  </w:num>
  <w:num w:numId="8">
    <w:abstractNumId w:val="7"/>
  </w:num>
  <w:num w:numId="9">
    <w:abstractNumId w:val="3"/>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am Server TMs\French|Team Server TMs\French|TextBase TMs\WorkspaceFTS\Development\Development|TextBase TMs\WorkspaceFTS\xLegacy\Academy|TextBase TMs\WorkspaceFTS\xLegacy\Administrative|TextBase TMs\WorkspaceFTS\xLegacy\Budget and Finance|TextBase TMs\WorkspaceFTS\xLegacy\IP_Press_Other|TextBase TMs\WorkspaceFTS\xLegacy\Trademark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098F"/>
    <w:rsid w:val="00005CFF"/>
    <w:rsid w:val="000077C7"/>
    <w:rsid w:val="000123A6"/>
    <w:rsid w:val="00012C9D"/>
    <w:rsid w:val="0001723E"/>
    <w:rsid w:val="0002095F"/>
    <w:rsid w:val="000275F9"/>
    <w:rsid w:val="00037C1A"/>
    <w:rsid w:val="000407F4"/>
    <w:rsid w:val="00043313"/>
    <w:rsid w:val="00043CAA"/>
    <w:rsid w:val="00050D24"/>
    <w:rsid w:val="000531C5"/>
    <w:rsid w:val="00061293"/>
    <w:rsid w:val="0006559F"/>
    <w:rsid w:val="000728FF"/>
    <w:rsid w:val="00075432"/>
    <w:rsid w:val="000968ED"/>
    <w:rsid w:val="000A4488"/>
    <w:rsid w:val="000A525D"/>
    <w:rsid w:val="000B4320"/>
    <w:rsid w:val="000D3921"/>
    <w:rsid w:val="000E1788"/>
    <w:rsid w:val="000F1396"/>
    <w:rsid w:val="000F5E56"/>
    <w:rsid w:val="000F604D"/>
    <w:rsid w:val="0011103E"/>
    <w:rsid w:val="00122387"/>
    <w:rsid w:val="0012304E"/>
    <w:rsid w:val="001272E3"/>
    <w:rsid w:val="00131BD8"/>
    <w:rsid w:val="00133A90"/>
    <w:rsid w:val="00133F53"/>
    <w:rsid w:val="001362EE"/>
    <w:rsid w:val="001371C1"/>
    <w:rsid w:val="0014531F"/>
    <w:rsid w:val="0015037D"/>
    <w:rsid w:val="00165217"/>
    <w:rsid w:val="001655A9"/>
    <w:rsid w:val="00166299"/>
    <w:rsid w:val="00166D8E"/>
    <w:rsid w:val="001832A6"/>
    <w:rsid w:val="00184E22"/>
    <w:rsid w:val="00185E31"/>
    <w:rsid w:val="00186DE1"/>
    <w:rsid w:val="00190F37"/>
    <w:rsid w:val="001B6916"/>
    <w:rsid w:val="001C2D7E"/>
    <w:rsid w:val="001D4F09"/>
    <w:rsid w:val="001E3850"/>
    <w:rsid w:val="001F1B95"/>
    <w:rsid w:val="001F5371"/>
    <w:rsid w:val="001F717F"/>
    <w:rsid w:val="0020341D"/>
    <w:rsid w:val="0020551F"/>
    <w:rsid w:val="0022493E"/>
    <w:rsid w:val="002356BD"/>
    <w:rsid w:val="00251890"/>
    <w:rsid w:val="0025278E"/>
    <w:rsid w:val="0025448E"/>
    <w:rsid w:val="00257F82"/>
    <w:rsid w:val="002634C4"/>
    <w:rsid w:val="0026381C"/>
    <w:rsid w:val="00270516"/>
    <w:rsid w:val="00282153"/>
    <w:rsid w:val="0028383F"/>
    <w:rsid w:val="002928D3"/>
    <w:rsid w:val="002A2E4F"/>
    <w:rsid w:val="002A513E"/>
    <w:rsid w:val="002A7687"/>
    <w:rsid w:val="002B0492"/>
    <w:rsid w:val="002B6C6E"/>
    <w:rsid w:val="002C1554"/>
    <w:rsid w:val="002C38D8"/>
    <w:rsid w:val="002D4DE6"/>
    <w:rsid w:val="002E18A9"/>
    <w:rsid w:val="002F1FE6"/>
    <w:rsid w:val="002F4E68"/>
    <w:rsid w:val="00304163"/>
    <w:rsid w:val="00312F7F"/>
    <w:rsid w:val="00317670"/>
    <w:rsid w:val="00321F2B"/>
    <w:rsid w:val="00335EC1"/>
    <w:rsid w:val="00347330"/>
    <w:rsid w:val="00355525"/>
    <w:rsid w:val="00357985"/>
    <w:rsid w:val="00361450"/>
    <w:rsid w:val="003673CF"/>
    <w:rsid w:val="003728D2"/>
    <w:rsid w:val="0037412A"/>
    <w:rsid w:val="00375EB6"/>
    <w:rsid w:val="00380F7E"/>
    <w:rsid w:val="00383EC2"/>
    <w:rsid w:val="003845C1"/>
    <w:rsid w:val="003A25D7"/>
    <w:rsid w:val="003A274E"/>
    <w:rsid w:val="003A6F89"/>
    <w:rsid w:val="003B38C1"/>
    <w:rsid w:val="003C6433"/>
    <w:rsid w:val="003D2E5E"/>
    <w:rsid w:val="003E0D9F"/>
    <w:rsid w:val="003E2652"/>
    <w:rsid w:val="004052E1"/>
    <w:rsid w:val="004104E1"/>
    <w:rsid w:val="00411FB2"/>
    <w:rsid w:val="004160A7"/>
    <w:rsid w:val="00423386"/>
    <w:rsid w:val="00423E3E"/>
    <w:rsid w:val="00427AF4"/>
    <w:rsid w:val="00433E5C"/>
    <w:rsid w:val="00451667"/>
    <w:rsid w:val="0045757F"/>
    <w:rsid w:val="004630B4"/>
    <w:rsid w:val="0046348A"/>
    <w:rsid w:val="004647DA"/>
    <w:rsid w:val="00466111"/>
    <w:rsid w:val="0047006A"/>
    <w:rsid w:val="00474062"/>
    <w:rsid w:val="00477D6B"/>
    <w:rsid w:val="00487B3B"/>
    <w:rsid w:val="004901EB"/>
    <w:rsid w:val="004915D3"/>
    <w:rsid w:val="004936FC"/>
    <w:rsid w:val="004947C5"/>
    <w:rsid w:val="004A2408"/>
    <w:rsid w:val="004A485C"/>
    <w:rsid w:val="004B0093"/>
    <w:rsid w:val="004B336C"/>
    <w:rsid w:val="004B3FCF"/>
    <w:rsid w:val="004B43E4"/>
    <w:rsid w:val="004F5A30"/>
    <w:rsid w:val="005019FF"/>
    <w:rsid w:val="00507723"/>
    <w:rsid w:val="00507AA0"/>
    <w:rsid w:val="005243B1"/>
    <w:rsid w:val="0053057A"/>
    <w:rsid w:val="0053515A"/>
    <w:rsid w:val="00542DD9"/>
    <w:rsid w:val="00545E21"/>
    <w:rsid w:val="00546473"/>
    <w:rsid w:val="00546A94"/>
    <w:rsid w:val="00560A29"/>
    <w:rsid w:val="005868B8"/>
    <w:rsid w:val="005A78E1"/>
    <w:rsid w:val="005C6649"/>
    <w:rsid w:val="005E1CF0"/>
    <w:rsid w:val="005F2F3B"/>
    <w:rsid w:val="005F4AAF"/>
    <w:rsid w:val="005F5B0E"/>
    <w:rsid w:val="006008FC"/>
    <w:rsid w:val="006017A8"/>
    <w:rsid w:val="00602890"/>
    <w:rsid w:val="00602CC7"/>
    <w:rsid w:val="00605827"/>
    <w:rsid w:val="006223DB"/>
    <w:rsid w:val="00644AA2"/>
    <w:rsid w:val="00646050"/>
    <w:rsid w:val="00647B0C"/>
    <w:rsid w:val="00654AE9"/>
    <w:rsid w:val="006659A7"/>
    <w:rsid w:val="00666862"/>
    <w:rsid w:val="006705FF"/>
    <w:rsid w:val="00670F1B"/>
    <w:rsid w:val="006713CA"/>
    <w:rsid w:val="00674ABA"/>
    <w:rsid w:val="00676C5C"/>
    <w:rsid w:val="0067755E"/>
    <w:rsid w:val="006955FA"/>
    <w:rsid w:val="006B2214"/>
    <w:rsid w:val="006B2F3E"/>
    <w:rsid w:val="006B5675"/>
    <w:rsid w:val="006C1E1F"/>
    <w:rsid w:val="006C2010"/>
    <w:rsid w:val="006C57FF"/>
    <w:rsid w:val="006D7919"/>
    <w:rsid w:val="006D7BD8"/>
    <w:rsid w:val="006E1A60"/>
    <w:rsid w:val="006E3324"/>
    <w:rsid w:val="006E51C3"/>
    <w:rsid w:val="006F29F6"/>
    <w:rsid w:val="00706C73"/>
    <w:rsid w:val="0072728A"/>
    <w:rsid w:val="00740620"/>
    <w:rsid w:val="00761B8F"/>
    <w:rsid w:val="0076210D"/>
    <w:rsid w:val="007633FD"/>
    <w:rsid w:val="00767C4D"/>
    <w:rsid w:val="00773CE3"/>
    <w:rsid w:val="0077451E"/>
    <w:rsid w:val="00775EBD"/>
    <w:rsid w:val="00784B13"/>
    <w:rsid w:val="00790A94"/>
    <w:rsid w:val="0079489B"/>
    <w:rsid w:val="007B5323"/>
    <w:rsid w:val="007B7F73"/>
    <w:rsid w:val="007C3E9B"/>
    <w:rsid w:val="007D0AF8"/>
    <w:rsid w:val="007D1613"/>
    <w:rsid w:val="007D250A"/>
    <w:rsid w:val="007D290D"/>
    <w:rsid w:val="007D2C89"/>
    <w:rsid w:val="007E2059"/>
    <w:rsid w:val="007E32A4"/>
    <w:rsid w:val="007F45DD"/>
    <w:rsid w:val="007F4D09"/>
    <w:rsid w:val="00801EC1"/>
    <w:rsid w:val="00804EC4"/>
    <w:rsid w:val="008051CF"/>
    <w:rsid w:val="00811F56"/>
    <w:rsid w:val="00812CFA"/>
    <w:rsid w:val="00815E06"/>
    <w:rsid w:val="00815E3A"/>
    <w:rsid w:val="00824346"/>
    <w:rsid w:val="00824E57"/>
    <w:rsid w:val="0083552C"/>
    <w:rsid w:val="0084460D"/>
    <w:rsid w:val="008459CE"/>
    <w:rsid w:val="00854071"/>
    <w:rsid w:val="00862599"/>
    <w:rsid w:val="008668E6"/>
    <w:rsid w:val="008726BA"/>
    <w:rsid w:val="00876A3C"/>
    <w:rsid w:val="0088405C"/>
    <w:rsid w:val="00885618"/>
    <w:rsid w:val="00890E0C"/>
    <w:rsid w:val="008948BE"/>
    <w:rsid w:val="00895C02"/>
    <w:rsid w:val="008977D0"/>
    <w:rsid w:val="008A11AF"/>
    <w:rsid w:val="008A4C88"/>
    <w:rsid w:val="008A6724"/>
    <w:rsid w:val="008A6ACB"/>
    <w:rsid w:val="008B13D6"/>
    <w:rsid w:val="008B2CC1"/>
    <w:rsid w:val="008B60B2"/>
    <w:rsid w:val="008C24C1"/>
    <w:rsid w:val="008C2D2F"/>
    <w:rsid w:val="008C2FE6"/>
    <w:rsid w:val="008C67A6"/>
    <w:rsid w:val="008C7B9D"/>
    <w:rsid w:val="008E37D0"/>
    <w:rsid w:val="008F1F70"/>
    <w:rsid w:val="009030BD"/>
    <w:rsid w:val="0090731E"/>
    <w:rsid w:val="0091126B"/>
    <w:rsid w:val="009134B8"/>
    <w:rsid w:val="00913579"/>
    <w:rsid w:val="00916EE2"/>
    <w:rsid w:val="00922789"/>
    <w:rsid w:val="00922AE9"/>
    <w:rsid w:val="0093216E"/>
    <w:rsid w:val="009378BE"/>
    <w:rsid w:val="00940793"/>
    <w:rsid w:val="009621CA"/>
    <w:rsid w:val="0096426B"/>
    <w:rsid w:val="00964994"/>
    <w:rsid w:val="00966A22"/>
    <w:rsid w:val="0096722F"/>
    <w:rsid w:val="0096734B"/>
    <w:rsid w:val="00971DAE"/>
    <w:rsid w:val="00974AEB"/>
    <w:rsid w:val="00980843"/>
    <w:rsid w:val="00991FC3"/>
    <w:rsid w:val="00994A16"/>
    <w:rsid w:val="00997AAD"/>
    <w:rsid w:val="009A01DD"/>
    <w:rsid w:val="009A3F30"/>
    <w:rsid w:val="009A591F"/>
    <w:rsid w:val="009B2582"/>
    <w:rsid w:val="009B33F4"/>
    <w:rsid w:val="009C0C04"/>
    <w:rsid w:val="009C366C"/>
    <w:rsid w:val="009D426D"/>
    <w:rsid w:val="009E2791"/>
    <w:rsid w:val="009E3F6F"/>
    <w:rsid w:val="009E5F9F"/>
    <w:rsid w:val="009F2A14"/>
    <w:rsid w:val="009F499F"/>
    <w:rsid w:val="009F6841"/>
    <w:rsid w:val="009F7208"/>
    <w:rsid w:val="009F7A73"/>
    <w:rsid w:val="00A01060"/>
    <w:rsid w:val="00A1504E"/>
    <w:rsid w:val="00A21684"/>
    <w:rsid w:val="00A25430"/>
    <w:rsid w:val="00A26A24"/>
    <w:rsid w:val="00A2714C"/>
    <w:rsid w:val="00A353ED"/>
    <w:rsid w:val="00A42DAF"/>
    <w:rsid w:val="00A45BD8"/>
    <w:rsid w:val="00A46013"/>
    <w:rsid w:val="00A468E2"/>
    <w:rsid w:val="00A6014F"/>
    <w:rsid w:val="00A70878"/>
    <w:rsid w:val="00A869B7"/>
    <w:rsid w:val="00A961AC"/>
    <w:rsid w:val="00AA1619"/>
    <w:rsid w:val="00AA1EEF"/>
    <w:rsid w:val="00AA217B"/>
    <w:rsid w:val="00AA2EB5"/>
    <w:rsid w:val="00AC205C"/>
    <w:rsid w:val="00AC297A"/>
    <w:rsid w:val="00AC793E"/>
    <w:rsid w:val="00AD38EE"/>
    <w:rsid w:val="00AF0797"/>
    <w:rsid w:val="00AF0A6B"/>
    <w:rsid w:val="00AF5108"/>
    <w:rsid w:val="00B05A69"/>
    <w:rsid w:val="00B21387"/>
    <w:rsid w:val="00B2247B"/>
    <w:rsid w:val="00B240CB"/>
    <w:rsid w:val="00B30E90"/>
    <w:rsid w:val="00B35DF1"/>
    <w:rsid w:val="00B43FDF"/>
    <w:rsid w:val="00B46D7E"/>
    <w:rsid w:val="00B54D7D"/>
    <w:rsid w:val="00B65665"/>
    <w:rsid w:val="00B74A10"/>
    <w:rsid w:val="00B83157"/>
    <w:rsid w:val="00B8701D"/>
    <w:rsid w:val="00B96ECE"/>
    <w:rsid w:val="00B9734B"/>
    <w:rsid w:val="00B97A85"/>
    <w:rsid w:val="00BA2B38"/>
    <w:rsid w:val="00BA59F8"/>
    <w:rsid w:val="00BA63F6"/>
    <w:rsid w:val="00BA6A27"/>
    <w:rsid w:val="00BA6DE5"/>
    <w:rsid w:val="00BB1C50"/>
    <w:rsid w:val="00BB30F3"/>
    <w:rsid w:val="00BB55B3"/>
    <w:rsid w:val="00BB78C7"/>
    <w:rsid w:val="00BC3767"/>
    <w:rsid w:val="00BE55D6"/>
    <w:rsid w:val="00BE5857"/>
    <w:rsid w:val="00BF01CE"/>
    <w:rsid w:val="00C10FFF"/>
    <w:rsid w:val="00C11BFE"/>
    <w:rsid w:val="00C12FB3"/>
    <w:rsid w:val="00C17EA3"/>
    <w:rsid w:val="00C21EC8"/>
    <w:rsid w:val="00C322FB"/>
    <w:rsid w:val="00C41113"/>
    <w:rsid w:val="00C45642"/>
    <w:rsid w:val="00C47421"/>
    <w:rsid w:val="00C556FE"/>
    <w:rsid w:val="00C71922"/>
    <w:rsid w:val="00C74FFE"/>
    <w:rsid w:val="00C80362"/>
    <w:rsid w:val="00C856F2"/>
    <w:rsid w:val="00C86888"/>
    <w:rsid w:val="00C86AFA"/>
    <w:rsid w:val="00C95C9E"/>
    <w:rsid w:val="00C977DB"/>
    <w:rsid w:val="00CB132F"/>
    <w:rsid w:val="00CC30A2"/>
    <w:rsid w:val="00CC5016"/>
    <w:rsid w:val="00CD023E"/>
    <w:rsid w:val="00CD7002"/>
    <w:rsid w:val="00CE0A51"/>
    <w:rsid w:val="00CE0F4D"/>
    <w:rsid w:val="00CE4302"/>
    <w:rsid w:val="00CE6390"/>
    <w:rsid w:val="00CF4536"/>
    <w:rsid w:val="00D211A4"/>
    <w:rsid w:val="00D22BD4"/>
    <w:rsid w:val="00D2407A"/>
    <w:rsid w:val="00D30CC7"/>
    <w:rsid w:val="00D31C2F"/>
    <w:rsid w:val="00D34038"/>
    <w:rsid w:val="00D36664"/>
    <w:rsid w:val="00D36FBA"/>
    <w:rsid w:val="00D40A98"/>
    <w:rsid w:val="00D412BD"/>
    <w:rsid w:val="00D424EC"/>
    <w:rsid w:val="00D45252"/>
    <w:rsid w:val="00D4734A"/>
    <w:rsid w:val="00D57F87"/>
    <w:rsid w:val="00D57F90"/>
    <w:rsid w:val="00D6276D"/>
    <w:rsid w:val="00D70F71"/>
    <w:rsid w:val="00D71B4D"/>
    <w:rsid w:val="00D76F38"/>
    <w:rsid w:val="00D847BE"/>
    <w:rsid w:val="00D90EE5"/>
    <w:rsid w:val="00D93D55"/>
    <w:rsid w:val="00D94634"/>
    <w:rsid w:val="00DA02FB"/>
    <w:rsid w:val="00DA7680"/>
    <w:rsid w:val="00DB0302"/>
    <w:rsid w:val="00DB42CB"/>
    <w:rsid w:val="00DC11D8"/>
    <w:rsid w:val="00DC3E50"/>
    <w:rsid w:val="00DD254E"/>
    <w:rsid w:val="00DD6947"/>
    <w:rsid w:val="00E1115B"/>
    <w:rsid w:val="00E128A0"/>
    <w:rsid w:val="00E16750"/>
    <w:rsid w:val="00E16F72"/>
    <w:rsid w:val="00E21F04"/>
    <w:rsid w:val="00E24971"/>
    <w:rsid w:val="00E335FE"/>
    <w:rsid w:val="00E348AA"/>
    <w:rsid w:val="00E42B9A"/>
    <w:rsid w:val="00E532DC"/>
    <w:rsid w:val="00E66C2C"/>
    <w:rsid w:val="00E868D1"/>
    <w:rsid w:val="00E940A4"/>
    <w:rsid w:val="00E948E6"/>
    <w:rsid w:val="00EA3DCB"/>
    <w:rsid w:val="00EA3F45"/>
    <w:rsid w:val="00EA40D8"/>
    <w:rsid w:val="00EB427D"/>
    <w:rsid w:val="00EC23FC"/>
    <w:rsid w:val="00EC4E49"/>
    <w:rsid w:val="00ED09FE"/>
    <w:rsid w:val="00ED38E9"/>
    <w:rsid w:val="00ED4807"/>
    <w:rsid w:val="00ED4C4F"/>
    <w:rsid w:val="00ED77FB"/>
    <w:rsid w:val="00EE45FA"/>
    <w:rsid w:val="00EE5748"/>
    <w:rsid w:val="00EE7CE5"/>
    <w:rsid w:val="00EF0146"/>
    <w:rsid w:val="00EF7464"/>
    <w:rsid w:val="00F0720F"/>
    <w:rsid w:val="00F13A8B"/>
    <w:rsid w:val="00F201C4"/>
    <w:rsid w:val="00F37362"/>
    <w:rsid w:val="00F52217"/>
    <w:rsid w:val="00F66152"/>
    <w:rsid w:val="00F725BE"/>
    <w:rsid w:val="00F766C3"/>
    <w:rsid w:val="00F7721F"/>
    <w:rsid w:val="00F97A7A"/>
    <w:rsid w:val="00F97BF1"/>
    <w:rsid w:val="00FA156A"/>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FAC7B9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2D4DE6"/>
    <w:pPr>
      <w:ind w:left="720"/>
      <w:contextualSpacing/>
    </w:pPr>
  </w:style>
  <w:style w:type="character" w:styleId="CommentReference">
    <w:name w:val="annotation reference"/>
    <w:basedOn w:val="DefaultParagraphFont"/>
    <w:semiHidden/>
    <w:unhideWhenUsed/>
    <w:rsid w:val="00F97BF1"/>
    <w:rPr>
      <w:sz w:val="16"/>
      <w:szCs w:val="16"/>
    </w:rPr>
  </w:style>
  <w:style w:type="paragraph" w:styleId="CommentSubject">
    <w:name w:val="annotation subject"/>
    <w:basedOn w:val="CommentText"/>
    <w:next w:val="CommentText"/>
    <w:link w:val="CommentSubjectChar"/>
    <w:semiHidden/>
    <w:unhideWhenUsed/>
    <w:rsid w:val="00F97BF1"/>
    <w:rPr>
      <w:b/>
      <w:bCs/>
      <w:sz w:val="20"/>
    </w:rPr>
  </w:style>
  <w:style w:type="character" w:customStyle="1" w:styleId="CommentTextChar">
    <w:name w:val="Comment Text Char"/>
    <w:basedOn w:val="DefaultParagraphFont"/>
    <w:link w:val="CommentText"/>
    <w:semiHidden/>
    <w:rsid w:val="00F97BF1"/>
    <w:rPr>
      <w:rFonts w:ascii="Arial" w:eastAsia="SimSun" w:hAnsi="Arial" w:cs="Arial"/>
      <w:sz w:val="18"/>
      <w:lang w:eastAsia="zh-CN"/>
    </w:rPr>
  </w:style>
  <w:style w:type="character" w:customStyle="1" w:styleId="CommentSubjectChar">
    <w:name w:val="Comment Subject Char"/>
    <w:basedOn w:val="CommentTextChar"/>
    <w:link w:val="CommentSubject"/>
    <w:semiHidden/>
    <w:rsid w:val="00F97BF1"/>
    <w:rPr>
      <w:rFonts w:ascii="Arial" w:eastAsia="SimSun" w:hAnsi="Arial" w:cs="Arial"/>
      <w:b/>
      <w:bCs/>
      <w:sz w:val="18"/>
      <w:lang w:eastAsia="zh-CN"/>
    </w:rPr>
  </w:style>
  <w:style w:type="character" w:styleId="FollowedHyperlink">
    <w:name w:val="FollowedHyperlink"/>
    <w:basedOn w:val="DefaultParagraphFont"/>
    <w:semiHidden/>
    <w:unhideWhenUsed/>
    <w:rsid w:val="00F97BF1"/>
    <w:rPr>
      <w:color w:val="800080" w:themeColor="followedHyperlink"/>
      <w:u w:val="single"/>
    </w:rPr>
  </w:style>
  <w:style w:type="paragraph" w:styleId="Revision">
    <w:name w:val="Revision"/>
    <w:hidden/>
    <w:uiPriority w:val="99"/>
    <w:semiHidden/>
    <w:rsid w:val="00DA02F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DD5E-E597-450D-85FC-F3F5B6FC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1591</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4</cp:revision>
  <cp:lastPrinted>2020-10-19T09:16:00Z</cp:lastPrinted>
  <dcterms:created xsi:type="dcterms:W3CDTF">2020-10-15T13:05:00Z</dcterms:created>
  <dcterms:modified xsi:type="dcterms:W3CDTF">2020-10-19T09:17:00Z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c78bef79-457c-4074-a34d-51161381e0b3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