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DD69B4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DD69B4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DD69B4" w:rsidRDefault="00BF0B79">
            <w:pPr>
              <w:rPr>
                <w:lang w:val="fr-FR"/>
              </w:rPr>
            </w:pPr>
            <w:r w:rsidRPr="00DD69B4">
              <w:rPr>
                <w:noProof/>
                <w:lang w:eastAsia="en-US"/>
              </w:rPr>
              <w:drawing>
                <wp:inline distT="0" distB="0" distL="0" distR="0">
                  <wp:extent cx="1854835" cy="1322070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DD69B4" w:rsidRDefault="005E284E" w:rsidP="00096EA4">
      <w:pPr>
        <w:spacing w:before="240" w:after="1600"/>
        <w:jc w:val="right"/>
        <w:rPr>
          <w:lang w:val="fr-FR"/>
        </w:rPr>
      </w:pPr>
      <w:r w:rsidRPr="00DD69B4">
        <w:rPr>
          <w:rFonts w:ascii="Arial Black" w:hAnsi="Arial Black"/>
          <w:sz w:val="15"/>
          <w:szCs w:val="15"/>
          <w:lang w:val="fr-FR"/>
        </w:rPr>
        <w:t>AVIS</w:t>
      </w:r>
      <w:r w:rsidR="00715D12" w:rsidRPr="00DD69B4">
        <w:rPr>
          <w:rFonts w:ascii="Arial Black" w:hAnsi="Arial Black"/>
          <w:sz w:val="15"/>
          <w:szCs w:val="15"/>
          <w:lang w:val="fr-FR"/>
        </w:rPr>
        <w:t xml:space="preserve"> N</w:t>
      </w:r>
      <w:r w:rsidRPr="00DD69B4">
        <w:rPr>
          <w:rFonts w:ascii="Arial Black" w:hAnsi="Arial Black"/>
          <w:sz w:val="15"/>
          <w:szCs w:val="15"/>
          <w:lang w:val="fr-FR"/>
        </w:rPr>
        <w:t>° </w:t>
      </w:r>
      <w:r w:rsidR="00DF7254">
        <w:rPr>
          <w:rFonts w:ascii="Arial Black" w:hAnsi="Arial Black"/>
          <w:sz w:val="15"/>
          <w:szCs w:val="15"/>
          <w:lang w:val="fr-FR"/>
        </w:rPr>
        <w:t>10</w:t>
      </w:r>
      <w:r w:rsidR="00715D12" w:rsidRPr="00DD69B4">
        <w:rPr>
          <w:rFonts w:ascii="Arial Black" w:hAnsi="Arial Black"/>
          <w:sz w:val="15"/>
          <w:szCs w:val="15"/>
          <w:lang w:val="fr-FR"/>
        </w:rPr>
        <w:t>/20</w:t>
      </w:r>
      <w:r w:rsidR="00087CDB">
        <w:rPr>
          <w:rFonts w:ascii="Arial Black" w:hAnsi="Arial Black"/>
          <w:sz w:val="15"/>
          <w:szCs w:val="15"/>
          <w:lang w:val="fr-FR"/>
        </w:rPr>
        <w:t>2</w:t>
      </w:r>
      <w:r w:rsidR="00715D12" w:rsidRPr="00DD69B4">
        <w:rPr>
          <w:rFonts w:ascii="Arial Black" w:hAnsi="Arial Black"/>
          <w:sz w:val="15"/>
          <w:szCs w:val="15"/>
          <w:lang w:val="fr-FR"/>
        </w:rPr>
        <w:t>1</w:t>
      </w:r>
    </w:p>
    <w:p w:rsidR="00E25414" w:rsidRPr="00DD69B4" w:rsidRDefault="00BF0B79" w:rsidP="00096EA4">
      <w:pPr>
        <w:spacing w:after="720"/>
        <w:rPr>
          <w:b/>
          <w:sz w:val="28"/>
          <w:szCs w:val="28"/>
          <w:lang w:val="fr-FR"/>
        </w:rPr>
      </w:pPr>
      <w:r w:rsidRPr="00DD69B4">
        <w:rPr>
          <w:b/>
          <w:bCs/>
          <w:sz w:val="28"/>
          <w:szCs w:val="28"/>
          <w:lang w:val="fr-FR"/>
        </w:rPr>
        <w:t xml:space="preserve">Arrangement de </w:t>
      </w:r>
      <w:r w:rsidR="00C41BF6" w:rsidRPr="00DD69B4">
        <w:rPr>
          <w:b/>
          <w:bCs/>
          <w:sz w:val="28"/>
          <w:szCs w:val="28"/>
          <w:lang w:val="fr-FR"/>
        </w:rPr>
        <w:t>La Haye</w:t>
      </w:r>
      <w:r w:rsidRPr="00DD69B4">
        <w:rPr>
          <w:b/>
          <w:bCs/>
          <w:sz w:val="28"/>
          <w:szCs w:val="28"/>
          <w:lang w:val="fr-FR"/>
        </w:rPr>
        <w:t xml:space="preserve"> concernant l</w:t>
      </w:r>
      <w:r w:rsidR="00C41BF6" w:rsidRPr="00DD69B4">
        <w:rPr>
          <w:b/>
          <w:bCs/>
          <w:sz w:val="28"/>
          <w:szCs w:val="28"/>
          <w:lang w:val="fr-FR"/>
        </w:rPr>
        <w:t>’</w:t>
      </w:r>
      <w:r w:rsidRPr="00DD69B4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C2151D" w:rsidRPr="00DD69B4" w:rsidRDefault="005A2E88" w:rsidP="00096EA4">
      <w:pPr>
        <w:spacing w:after="480"/>
        <w:rPr>
          <w:b/>
          <w:sz w:val="24"/>
          <w:szCs w:val="24"/>
          <w:lang w:val="fr-FR"/>
        </w:rPr>
      </w:pPr>
      <w:r>
        <w:rPr>
          <w:rFonts w:eastAsia="Arial"/>
          <w:b/>
          <w:bCs/>
          <w:sz w:val="24"/>
          <w:szCs w:val="24"/>
          <w:lang w:val="fr-FR"/>
        </w:rPr>
        <w:t>Moment</w:t>
      </w:r>
      <w:r w:rsidR="00255746" w:rsidRPr="00DD69B4">
        <w:rPr>
          <w:rFonts w:eastAsia="Arial"/>
          <w:b/>
          <w:bCs/>
          <w:sz w:val="24"/>
          <w:szCs w:val="24"/>
          <w:lang w:val="fr-FR"/>
        </w:rPr>
        <w:t xml:space="preserve"> </w:t>
      </w:r>
      <w:r w:rsidR="00BF0B79" w:rsidRPr="00DD69B4">
        <w:rPr>
          <w:rFonts w:eastAsia="Arial"/>
          <w:b/>
          <w:bCs/>
          <w:sz w:val="24"/>
          <w:szCs w:val="24"/>
          <w:lang w:val="fr-FR"/>
        </w:rPr>
        <w:t>de la publication des enregistrements internationaux</w:t>
      </w:r>
    </w:p>
    <w:p w:rsidR="00BF0B79" w:rsidRPr="00DD69B4" w:rsidRDefault="00BF0B79" w:rsidP="00DD69B4">
      <w:pPr>
        <w:pStyle w:val="ONUMFS"/>
        <w:rPr>
          <w:lang w:val="fr-FR"/>
        </w:rPr>
      </w:pPr>
      <w:r w:rsidRPr="00DD69B4">
        <w:rPr>
          <w:lang w:val="fr-FR"/>
        </w:rPr>
        <w:t>Il est fait référence à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avis n° 9/2021, annonçant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adoption par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Assemblée de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 xml:space="preserve">Union de </w:t>
      </w:r>
      <w:r w:rsidR="00C41BF6" w:rsidRPr="00DD69B4">
        <w:rPr>
          <w:lang w:val="fr-FR"/>
        </w:rPr>
        <w:t>La Haye</w:t>
      </w:r>
      <w:r w:rsidRPr="00DD69B4">
        <w:rPr>
          <w:lang w:val="fr-FR"/>
        </w:rPr>
        <w:t xml:space="preserve"> de modifications de la règle 17 du règlement d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exécution commun à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Acte de 1999 et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Acte de 1960 de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 xml:space="preserve">Arrangement de </w:t>
      </w:r>
      <w:r w:rsidR="00C41BF6" w:rsidRPr="00DD69B4">
        <w:rPr>
          <w:lang w:val="fr-FR"/>
        </w:rPr>
        <w:t>La Haye</w:t>
      </w:r>
      <w:r w:rsidRPr="00DD69B4">
        <w:rPr>
          <w:lang w:val="fr-FR"/>
        </w:rPr>
        <w:t>, qui porteront le délai de publication standard de six à 12 mois et introduiront la possibilité de demander une publication anticipée à tout moment avant la publication de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enregistrement international.</w:t>
      </w:r>
    </w:p>
    <w:p w:rsidR="00BF0B79" w:rsidRPr="00DD69B4" w:rsidRDefault="00BF0B79" w:rsidP="00DD69B4">
      <w:pPr>
        <w:pStyle w:val="ONUMFS"/>
        <w:rPr>
          <w:lang w:val="fr-FR"/>
        </w:rPr>
      </w:pPr>
      <w:r w:rsidRPr="00DD69B4">
        <w:rPr>
          <w:lang w:val="fr-FR"/>
        </w:rPr>
        <w:t>À partir de leur entrée en vigueur le</w:t>
      </w:r>
      <w:r w:rsidR="00C41BF6" w:rsidRPr="00DD69B4">
        <w:rPr>
          <w:lang w:val="fr-FR"/>
        </w:rPr>
        <w:t xml:space="preserve"> 1</w:t>
      </w:r>
      <w:r w:rsidR="00C41BF6" w:rsidRPr="00DD69B4">
        <w:rPr>
          <w:vertAlign w:val="superscript"/>
          <w:lang w:val="fr-FR"/>
        </w:rPr>
        <w:t>er</w:t>
      </w:r>
      <w:r w:rsidR="00C41BF6" w:rsidRPr="00DD69B4">
        <w:rPr>
          <w:lang w:val="fr-FR"/>
        </w:rPr>
        <w:t> </w:t>
      </w:r>
      <w:r w:rsidRPr="00DD69B4">
        <w:rPr>
          <w:lang w:val="fr-FR"/>
        </w:rPr>
        <w:t>janvier 2022, ces modifications offriront aux utilisateurs une plus grande souplesse dans le contrôle du calendrier de la publication de leurs enregistrements internationaux, ainsi qu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il est résumé ci</w:t>
      </w:r>
      <w:r w:rsidR="00087CDB">
        <w:rPr>
          <w:lang w:val="fr-FR"/>
        </w:rPr>
        <w:noBreakHyphen/>
      </w:r>
      <w:r w:rsidRPr="00DD69B4">
        <w:rPr>
          <w:lang w:val="fr-FR"/>
        </w:rPr>
        <w:t>après.</w:t>
      </w:r>
    </w:p>
    <w:p w:rsidR="00BF0B79" w:rsidRPr="00DD69B4" w:rsidRDefault="00BF0B79" w:rsidP="00DD69B4">
      <w:pPr>
        <w:pStyle w:val="Heading3"/>
      </w:pPr>
      <w:r w:rsidRPr="00DD69B4">
        <w:t>Au moment du dépôt</w:t>
      </w:r>
    </w:p>
    <w:p w:rsidR="00BF0B79" w:rsidRPr="00DD69B4" w:rsidRDefault="00BF0B79" w:rsidP="00DD69B4">
      <w:pPr>
        <w:pStyle w:val="ONUMFS"/>
        <w:rPr>
          <w:lang w:val="fr-FR"/>
        </w:rPr>
      </w:pPr>
      <w:r w:rsidRPr="00DD69B4">
        <w:rPr>
          <w:lang w:val="fr-FR"/>
        </w:rPr>
        <w:t>La publication par défaut aura lieu 12 mois après la date de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enregistrement international (c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est</w:t>
      </w:r>
      <w:r w:rsidR="00087CDB">
        <w:rPr>
          <w:lang w:val="fr-FR"/>
        </w:rPr>
        <w:noBreakHyphen/>
      </w:r>
      <w:r w:rsidRPr="00DD69B4">
        <w:rPr>
          <w:lang w:val="fr-FR"/>
        </w:rPr>
        <w:t>à</w:t>
      </w:r>
      <w:r w:rsidR="00087CDB">
        <w:rPr>
          <w:lang w:val="fr-FR"/>
        </w:rPr>
        <w:noBreakHyphen/>
      </w:r>
      <w:r w:rsidRPr="00DD69B4">
        <w:rPr>
          <w:lang w:val="fr-FR"/>
        </w:rPr>
        <w:t>dire, délai de publication standard).</w:t>
      </w:r>
    </w:p>
    <w:p w:rsidR="00BF0B79" w:rsidRPr="00DD69B4" w:rsidRDefault="00BF0B79" w:rsidP="00DD69B4">
      <w:pPr>
        <w:pStyle w:val="ONUMFS"/>
        <w:rPr>
          <w:lang w:val="fr-FR"/>
        </w:rPr>
      </w:pPr>
      <w:r w:rsidRPr="00DD69B4">
        <w:rPr>
          <w:lang w:val="fr-FR"/>
        </w:rPr>
        <w:t>Le déposant peut, à la place, choisir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une des options suivantes</w:t>
      </w:r>
      <w:r w:rsidR="00C41BF6" w:rsidRPr="00DD69B4">
        <w:rPr>
          <w:lang w:val="fr-FR"/>
        </w:rPr>
        <w:t> :</w:t>
      </w:r>
    </w:p>
    <w:p w:rsidR="00BF0B79" w:rsidRPr="00DD69B4" w:rsidRDefault="00BF0B79" w:rsidP="00DA7364">
      <w:pPr>
        <w:pStyle w:val="ONUMFS"/>
        <w:numPr>
          <w:ilvl w:val="1"/>
          <w:numId w:val="6"/>
        </w:numPr>
        <w:tabs>
          <w:tab w:val="clear" w:pos="1134"/>
          <w:tab w:val="num" w:pos="1170"/>
        </w:tabs>
        <w:ind w:left="1170" w:hanging="603"/>
        <w:rPr>
          <w:lang w:val="fr-FR"/>
        </w:rPr>
      </w:pPr>
      <w:r w:rsidRPr="00DD69B4">
        <w:rPr>
          <w:lang w:val="fr-FR"/>
        </w:rPr>
        <w:t>publication immédiatement après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inscription de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enregistrement international (c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est</w:t>
      </w:r>
      <w:r w:rsidR="00087CDB">
        <w:rPr>
          <w:lang w:val="fr-FR"/>
        </w:rPr>
        <w:noBreakHyphen/>
      </w:r>
      <w:r w:rsidRPr="00DD69B4">
        <w:rPr>
          <w:lang w:val="fr-FR"/>
        </w:rPr>
        <w:t>à</w:t>
      </w:r>
      <w:r w:rsidR="00087CDB">
        <w:rPr>
          <w:lang w:val="fr-FR"/>
        </w:rPr>
        <w:noBreakHyphen/>
      </w:r>
      <w:r w:rsidRPr="00DD69B4">
        <w:rPr>
          <w:lang w:val="fr-FR"/>
        </w:rPr>
        <w:t>dire, publication immédiate</w:t>
      </w:r>
      <w:r w:rsidRPr="00DD69B4">
        <w:rPr>
          <w:rStyle w:val="FootnoteReference"/>
          <w:lang w:val="fr-FR"/>
        </w:rPr>
        <w:footnoteReference w:id="2"/>
      </w:r>
      <w:r w:rsidRPr="00DD69B4">
        <w:rPr>
          <w:lang w:val="fr-FR"/>
        </w:rPr>
        <w:t>);  ou</w:t>
      </w:r>
    </w:p>
    <w:p w:rsidR="00BF0B79" w:rsidRPr="00DD69B4" w:rsidRDefault="00BF0B79" w:rsidP="00167F26">
      <w:pPr>
        <w:pStyle w:val="ONUMFS"/>
        <w:numPr>
          <w:ilvl w:val="1"/>
          <w:numId w:val="6"/>
        </w:numPr>
        <w:tabs>
          <w:tab w:val="clear" w:pos="1134"/>
          <w:tab w:val="num" w:pos="1170"/>
        </w:tabs>
        <w:ind w:left="1170" w:hanging="603"/>
        <w:rPr>
          <w:lang w:val="fr-FR"/>
        </w:rPr>
      </w:pPr>
      <w:r w:rsidRPr="00DD69B4">
        <w:rPr>
          <w:lang w:val="fr-FR"/>
        </w:rPr>
        <w:t xml:space="preserve">publication à un moment choisi (indiqué en </w:t>
      </w:r>
      <w:r w:rsidR="00167F26">
        <w:rPr>
          <w:lang w:val="fr-FR"/>
        </w:rPr>
        <w:t xml:space="preserve">nombre de </w:t>
      </w:r>
      <w:r w:rsidRPr="00DD69B4">
        <w:rPr>
          <w:lang w:val="fr-FR"/>
        </w:rPr>
        <w:t>mois à compter de la date de</w:t>
      </w:r>
      <w:r w:rsidR="00167F26">
        <w:rPr>
          <w:lang w:val="fr-FR"/>
        </w:rPr>
        <w:t> </w:t>
      </w:r>
      <w:r w:rsidRPr="00DD69B4">
        <w:rPr>
          <w:lang w:val="fr-FR"/>
        </w:rPr>
        <w:t>dépôt).</w:t>
      </w:r>
    </w:p>
    <w:p w:rsidR="00BF0B79" w:rsidRPr="00DD69B4" w:rsidRDefault="00BF0B79" w:rsidP="00DD69B4">
      <w:pPr>
        <w:pStyle w:val="ONUMFS"/>
        <w:rPr>
          <w:lang w:val="fr-FR"/>
        </w:rPr>
      </w:pPr>
      <w:r w:rsidRPr="00DD69B4">
        <w:rPr>
          <w:lang w:val="fr-FR"/>
        </w:rPr>
        <w:t>En ce qui concerne le paragraphe 4.b)</w:t>
      </w:r>
      <w:r w:rsidR="00DA7364">
        <w:rPr>
          <w:lang w:val="fr-FR"/>
        </w:rPr>
        <w:t xml:space="preserve"> ci-dessus</w:t>
      </w:r>
      <w:r w:rsidRPr="00DD69B4">
        <w:rPr>
          <w:lang w:val="fr-FR"/>
        </w:rPr>
        <w:t>, le déposant peut toujours indiquer une date antérieure à la publication standa</w:t>
      </w:r>
      <w:r w:rsidR="00DD69B4" w:rsidRPr="00DD69B4">
        <w:rPr>
          <w:lang w:val="fr-FR"/>
        </w:rPr>
        <w:t>rd.  Le</w:t>
      </w:r>
      <w:r w:rsidRPr="00DD69B4">
        <w:rPr>
          <w:lang w:val="fr-FR"/>
        </w:rPr>
        <w:t xml:space="preserve"> déposant peut également demander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ajournement de la publication au</w:t>
      </w:r>
      <w:r w:rsidR="00087CDB">
        <w:rPr>
          <w:lang w:val="fr-FR"/>
        </w:rPr>
        <w:noBreakHyphen/>
      </w:r>
      <w:r w:rsidRPr="00DD69B4">
        <w:rPr>
          <w:lang w:val="fr-FR"/>
        </w:rPr>
        <w:t>delà du délai de publication standa</w:t>
      </w:r>
      <w:r w:rsidR="00DD69B4" w:rsidRPr="00DD69B4">
        <w:rPr>
          <w:lang w:val="fr-FR"/>
        </w:rPr>
        <w:t>rd.  La</w:t>
      </w:r>
      <w:r w:rsidRPr="00DD69B4">
        <w:rPr>
          <w:lang w:val="fr-FR"/>
        </w:rPr>
        <w:t xml:space="preserve"> période </w:t>
      </w:r>
      <w:r w:rsidR="00787559">
        <w:rPr>
          <w:lang w:val="fr-FR"/>
        </w:rPr>
        <w:t>maximum</w:t>
      </w:r>
      <w:r w:rsidR="0049502C">
        <w:rPr>
          <w:lang w:val="fr-FR"/>
        </w:rPr>
        <w:t xml:space="preserve"> </w:t>
      </w:r>
      <w:r w:rsidRPr="00DD69B4">
        <w:rPr>
          <w:lang w:val="fr-FR"/>
        </w:rPr>
        <w:t>d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ajournement possible dépend des parties contractantes désignées dans la demande internationa</w:t>
      </w:r>
      <w:r w:rsidR="00DD69B4" w:rsidRPr="00DD69B4">
        <w:rPr>
          <w:lang w:val="fr-FR"/>
        </w:rPr>
        <w:t>le.  L’a</w:t>
      </w:r>
      <w:r w:rsidRPr="00DD69B4">
        <w:rPr>
          <w:lang w:val="fr-FR"/>
        </w:rPr>
        <w:t>nnexe du présent avis explique comment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ajournement de la publication au</w:t>
      </w:r>
      <w:r w:rsidR="00087CDB">
        <w:rPr>
          <w:lang w:val="fr-FR"/>
        </w:rPr>
        <w:noBreakHyphen/>
      </w:r>
      <w:r w:rsidRPr="00DD69B4">
        <w:rPr>
          <w:lang w:val="fr-FR"/>
        </w:rPr>
        <w:t>delà du délai de publication standard peut être déterminé.</w:t>
      </w:r>
    </w:p>
    <w:p w:rsidR="00BF0B79" w:rsidRPr="00DD69B4" w:rsidRDefault="00BF0B79" w:rsidP="00DD69B4">
      <w:pPr>
        <w:pStyle w:val="Heading3"/>
      </w:pPr>
      <w:r w:rsidRPr="00DD69B4">
        <w:lastRenderedPageBreak/>
        <w:t>Après le dépôt</w:t>
      </w:r>
    </w:p>
    <w:p w:rsidR="00BF0B79" w:rsidRPr="00DD69B4" w:rsidRDefault="00BF0B79" w:rsidP="00DD69B4">
      <w:pPr>
        <w:pStyle w:val="ONUMFS"/>
        <w:rPr>
          <w:lang w:val="fr-FR"/>
        </w:rPr>
      </w:pPr>
      <w:r w:rsidRPr="00DD69B4">
        <w:rPr>
          <w:lang w:val="fr-FR"/>
        </w:rPr>
        <w:t>Le déposant ou le titulaire peut demander une publication anticipée à tout moment avant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expiration du délai de publication initialement prévu dans la demande internationa</w:t>
      </w:r>
      <w:r w:rsidR="00DD69B4" w:rsidRPr="00DD69B4">
        <w:rPr>
          <w:lang w:val="fr-FR"/>
        </w:rPr>
        <w:t>le.  L’e</w:t>
      </w:r>
      <w:r w:rsidRPr="00DD69B4">
        <w:rPr>
          <w:lang w:val="fr-FR"/>
        </w:rPr>
        <w:t xml:space="preserve">nregistrement international sera publié </w:t>
      </w:r>
      <w:r w:rsidR="00DA7364">
        <w:rPr>
          <w:lang w:val="fr-FR"/>
        </w:rPr>
        <w:t>immédiatement</w:t>
      </w:r>
      <w:r w:rsidR="00653823">
        <w:rPr>
          <w:lang w:val="fr-FR"/>
        </w:rPr>
        <w:t>*</w:t>
      </w:r>
      <w:r w:rsidR="00DA7364">
        <w:rPr>
          <w:lang w:val="fr-FR"/>
        </w:rPr>
        <w:t xml:space="preserve"> après</w:t>
      </w:r>
      <w:r w:rsidR="00DA7364" w:rsidRPr="00DD69B4">
        <w:rPr>
          <w:lang w:val="fr-FR"/>
        </w:rPr>
        <w:t xml:space="preserve"> </w:t>
      </w:r>
      <w:r w:rsidRPr="00DD69B4">
        <w:rPr>
          <w:lang w:val="fr-FR"/>
        </w:rPr>
        <w:t>réception d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une telle demande par le Bureau international.</w:t>
      </w:r>
    </w:p>
    <w:p w:rsidR="00BF0B79" w:rsidRPr="00DD69B4" w:rsidRDefault="00087CDB" w:rsidP="00DD69B4">
      <w:pPr>
        <w:pStyle w:val="Endofdocument-Annex"/>
        <w:rPr>
          <w:lang w:val="fr-FR"/>
        </w:rPr>
      </w:pPr>
      <w:r w:rsidRPr="00087CDB">
        <w:rPr>
          <w:lang w:val="fr-FR"/>
        </w:rPr>
        <w:t xml:space="preserve">Le </w:t>
      </w:r>
      <w:r w:rsidR="00E70857">
        <w:rPr>
          <w:lang w:val="fr-FR"/>
        </w:rPr>
        <w:t>1</w:t>
      </w:r>
      <w:r w:rsidR="00E70857" w:rsidRPr="00E70857">
        <w:rPr>
          <w:vertAlign w:val="superscript"/>
          <w:lang w:val="fr-FR"/>
        </w:rPr>
        <w:t>er</w:t>
      </w:r>
      <w:r w:rsidR="00E70857">
        <w:rPr>
          <w:lang w:val="fr-FR"/>
        </w:rPr>
        <w:t xml:space="preserve"> décembre</w:t>
      </w:r>
      <w:r w:rsidR="00BF0B79" w:rsidRPr="00DD69B4">
        <w:rPr>
          <w:lang w:val="fr-FR"/>
        </w:rPr>
        <w:t> 2021</w:t>
      </w:r>
    </w:p>
    <w:p w:rsidR="00BF0B79" w:rsidRPr="00DD69B4" w:rsidRDefault="00BF0B79" w:rsidP="00DD69B4">
      <w:pPr>
        <w:rPr>
          <w:lang w:val="fr-FR" w:eastAsia="en-US"/>
        </w:rPr>
      </w:pPr>
    </w:p>
    <w:p w:rsidR="00DD69B4" w:rsidRPr="00DD69B4" w:rsidRDefault="00DD69B4" w:rsidP="00DD69B4">
      <w:pPr>
        <w:rPr>
          <w:lang w:val="fr-FR" w:eastAsia="en-US"/>
        </w:rPr>
      </w:pPr>
    </w:p>
    <w:p w:rsidR="00DD69B4" w:rsidRPr="00DD69B4" w:rsidRDefault="00DD69B4" w:rsidP="00DD69B4">
      <w:pPr>
        <w:rPr>
          <w:lang w:val="fr-FR" w:eastAsia="en-US"/>
        </w:rPr>
      </w:pPr>
    </w:p>
    <w:p w:rsidR="00BF0B79" w:rsidRPr="00DD69B4" w:rsidRDefault="00BF0B79" w:rsidP="00DD69B4">
      <w:pPr>
        <w:rPr>
          <w:lang w:val="fr-FR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7724"/>
      </w:tblGrid>
      <w:tr w:rsidR="00BF0B79" w:rsidRPr="00DD69B4" w:rsidTr="00CC4DAB">
        <w:tc>
          <w:tcPr>
            <w:tcW w:w="1366" w:type="dxa"/>
          </w:tcPr>
          <w:p w:rsidR="00BF0B79" w:rsidRPr="00DD69B4" w:rsidRDefault="00BF0B79" w:rsidP="00DD69B4">
            <w:pPr>
              <w:rPr>
                <w:lang w:val="fr-FR" w:eastAsia="en-US"/>
              </w:rPr>
            </w:pPr>
          </w:p>
        </w:tc>
        <w:tc>
          <w:tcPr>
            <w:tcW w:w="7724" w:type="dxa"/>
          </w:tcPr>
          <w:p w:rsidR="00BF0B79" w:rsidRPr="00DD69B4" w:rsidRDefault="00BF0B79" w:rsidP="00DD69B4">
            <w:pPr>
              <w:rPr>
                <w:lang w:val="fr-FR" w:eastAsia="en-US"/>
              </w:rPr>
            </w:pPr>
          </w:p>
        </w:tc>
      </w:tr>
    </w:tbl>
    <w:p w:rsidR="00BF0B79" w:rsidRPr="00DD69B4" w:rsidRDefault="00BF0B79" w:rsidP="00DD69B4">
      <w:pPr>
        <w:tabs>
          <w:tab w:val="left" w:pos="1607"/>
        </w:tabs>
        <w:rPr>
          <w:lang w:val="fr-FR" w:eastAsia="en-US"/>
        </w:rPr>
      </w:pPr>
    </w:p>
    <w:p w:rsidR="00BF0B79" w:rsidRPr="00DD69B4" w:rsidRDefault="00BF0B79" w:rsidP="00BF0B79">
      <w:pPr>
        <w:rPr>
          <w:lang w:val="fr-FR" w:eastAsia="en-US"/>
        </w:rPr>
        <w:sectPr w:rsidR="00BF0B79" w:rsidRPr="00DD69B4" w:rsidSect="00C41BF6">
          <w:headerReference w:type="even" r:id="rId10"/>
          <w:headerReference w:type="default" r:id="rId11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D69B4">
        <w:rPr>
          <w:lang w:val="fr-FR" w:eastAsia="en-US"/>
        </w:rPr>
        <w:br w:type="page"/>
      </w:r>
      <w:bookmarkStart w:id="0" w:name="_GoBack"/>
      <w:bookmarkEnd w:id="0"/>
    </w:p>
    <w:p w:rsidR="00BF0B79" w:rsidRPr="00DD69B4" w:rsidRDefault="00BF0B79" w:rsidP="00DD69B4">
      <w:pPr>
        <w:tabs>
          <w:tab w:val="left" w:pos="1607"/>
        </w:tabs>
        <w:spacing w:before="480" w:after="480"/>
        <w:jc w:val="center"/>
        <w:rPr>
          <w:rFonts w:eastAsia="MS Mincho"/>
          <w:b/>
          <w:bCs/>
          <w:szCs w:val="22"/>
          <w:lang w:val="fr-FR" w:eastAsia="en-US"/>
        </w:rPr>
      </w:pPr>
      <w:r w:rsidRPr="00DD69B4">
        <w:rPr>
          <w:rFonts w:eastAsia="MS Mincho"/>
          <w:b/>
          <w:bCs/>
          <w:szCs w:val="22"/>
          <w:lang w:val="fr-FR" w:eastAsia="en-US"/>
        </w:rPr>
        <w:lastRenderedPageBreak/>
        <w:t>Ajournement de la publication au</w:t>
      </w:r>
      <w:r w:rsidR="00087CDB">
        <w:rPr>
          <w:rFonts w:eastAsia="MS Mincho"/>
          <w:b/>
          <w:bCs/>
          <w:szCs w:val="22"/>
          <w:lang w:val="fr-FR" w:eastAsia="en-US"/>
        </w:rPr>
        <w:noBreakHyphen/>
      </w:r>
      <w:r w:rsidRPr="00DD69B4">
        <w:rPr>
          <w:rFonts w:eastAsia="MS Mincho"/>
          <w:b/>
          <w:bCs/>
          <w:szCs w:val="22"/>
          <w:lang w:val="fr-FR" w:eastAsia="en-US"/>
        </w:rPr>
        <w:t xml:space="preserve">delà du délai de publication standard </w:t>
      </w:r>
      <w:r w:rsidR="00DD69B4">
        <w:rPr>
          <w:rFonts w:eastAsia="MS Mincho"/>
          <w:b/>
          <w:bCs/>
          <w:szCs w:val="22"/>
          <w:lang w:val="fr-FR" w:eastAsia="en-US"/>
        </w:rPr>
        <w:br/>
      </w:r>
      <w:r w:rsidRPr="00DD69B4">
        <w:rPr>
          <w:rFonts w:eastAsia="MS Mincho"/>
          <w:b/>
          <w:bCs/>
          <w:szCs w:val="22"/>
          <w:lang w:val="fr-FR" w:eastAsia="en-US"/>
        </w:rPr>
        <w:t>(à partir du</w:t>
      </w:r>
      <w:r w:rsidR="00C41BF6" w:rsidRPr="00DD69B4">
        <w:rPr>
          <w:rFonts w:eastAsia="MS Mincho"/>
          <w:b/>
          <w:bCs/>
          <w:szCs w:val="22"/>
          <w:lang w:val="fr-FR" w:eastAsia="en-US"/>
        </w:rPr>
        <w:t xml:space="preserve"> 1</w:t>
      </w:r>
      <w:r w:rsidR="00C41BF6" w:rsidRPr="00DD69B4">
        <w:rPr>
          <w:rFonts w:eastAsia="MS Mincho"/>
          <w:b/>
          <w:bCs/>
          <w:szCs w:val="22"/>
          <w:vertAlign w:val="superscript"/>
          <w:lang w:val="fr-FR" w:eastAsia="en-US"/>
        </w:rPr>
        <w:t>er</w:t>
      </w:r>
      <w:r w:rsidR="00C41BF6" w:rsidRPr="00DD69B4">
        <w:rPr>
          <w:rFonts w:eastAsia="MS Mincho"/>
          <w:b/>
          <w:bCs/>
          <w:szCs w:val="22"/>
          <w:lang w:val="fr-FR" w:eastAsia="en-US"/>
        </w:rPr>
        <w:t> </w:t>
      </w:r>
      <w:r w:rsidRPr="00DD69B4">
        <w:rPr>
          <w:rFonts w:eastAsia="MS Mincho"/>
          <w:b/>
          <w:bCs/>
          <w:szCs w:val="22"/>
          <w:lang w:val="fr-FR" w:eastAsia="en-US"/>
        </w:rPr>
        <w:t>janvier 2022)</w:t>
      </w:r>
    </w:p>
    <w:p w:rsidR="00BF0B79" w:rsidRPr="00DD69B4" w:rsidRDefault="00BF0B79" w:rsidP="00DD69B4">
      <w:pPr>
        <w:spacing w:after="240"/>
        <w:rPr>
          <w:lang w:val="fr-FR"/>
        </w:rPr>
      </w:pPr>
      <w:r w:rsidRPr="00DD69B4">
        <w:rPr>
          <w:lang w:val="fr-FR"/>
        </w:rPr>
        <w:t>A</w:t>
      </w:r>
      <w:r w:rsidR="00087CDB">
        <w:rPr>
          <w:lang w:val="fr-FR"/>
        </w:rPr>
        <w:t>ux fins des paragraphes 4.b) et </w:t>
      </w:r>
      <w:r w:rsidRPr="00DD69B4">
        <w:rPr>
          <w:lang w:val="fr-FR"/>
        </w:rPr>
        <w:t>5</w:t>
      </w:r>
      <w:r w:rsidR="00DF7254">
        <w:rPr>
          <w:lang w:val="fr-FR"/>
        </w:rPr>
        <w:t xml:space="preserve"> de l’avis N° 10/2021</w:t>
      </w:r>
      <w:r w:rsidRPr="00DD69B4">
        <w:rPr>
          <w:lang w:val="fr-FR"/>
        </w:rPr>
        <w:t>, les dispositions suivantes s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appliquent</w:t>
      </w:r>
      <w:r w:rsidR="00C41BF6" w:rsidRPr="00DD69B4">
        <w:rPr>
          <w:lang w:val="fr-FR"/>
        </w:rPr>
        <w:t> :</w:t>
      </w:r>
    </w:p>
    <w:p w:rsidR="00BF0B79" w:rsidRPr="00DD69B4" w:rsidRDefault="00BF0B79" w:rsidP="00DD69B4">
      <w:pPr>
        <w:pStyle w:val="ONUMFS"/>
        <w:numPr>
          <w:ilvl w:val="0"/>
          <w:numId w:val="12"/>
        </w:numPr>
        <w:rPr>
          <w:lang w:val="fr-FR"/>
        </w:rPr>
      </w:pPr>
      <w:r w:rsidRPr="00DD69B4">
        <w:rPr>
          <w:lang w:val="fr-FR"/>
        </w:rPr>
        <w:t>Si une partie contractante est désignée en vertu de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Acte de 1960, ou si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une des parties contractantes ci</w:t>
      </w:r>
      <w:r w:rsidR="00087CDB">
        <w:rPr>
          <w:lang w:val="fr-FR"/>
        </w:rPr>
        <w:noBreakHyphen/>
      </w:r>
      <w:r w:rsidRPr="00DD69B4">
        <w:rPr>
          <w:lang w:val="fr-FR"/>
        </w:rPr>
        <w:t>après est désignée en vertu de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Acte de 1999, le délai de publication, à indiquer en nombre de mois, ne peut pas dépasser 12 mois (c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est</w:t>
      </w:r>
      <w:r w:rsidR="00087CDB">
        <w:rPr>
          <w:lang w:val="fr-FR"/>
        </w:rPr>
        <w:noBreakHyphen/>
      </w:r>
      <w:r w:rsidRPr="00DD69B4">
        <w:rPr>
          <w:lang w:val="fr-FR"/>
        </w:rPr>
        <w:t>à</w:t>
      </w:r>
      <w:r w:rsidR="00087CDB">
        <w:rPr>
          <w:lang w:val="fr-FR"/>
        </w:rPr>
        <w:noBreakHyphen/>
      </w:r>
      <w:r w:rsidRPr="00DD69B4">
        <w:rPr>
          <w:lang w:val="fr-FR"/>
        </w:rPr>
        <w:t>dire, le délai de publication standard)</w:t>
      </w:r>
      <w:r w:rsidR="00C41BF6" w:rsidRPr="00DD69B4">
        <w:rPr>
          <w:lang w:val="fr-FR"/>
        </w:rPr>
        <w:t> :</w:t>
      </w:r>
    </w:p>
    <w:p w:rsidR="00BF0B79" w:rsidRPr="00DD69B4" w:rsidRDefault="00BF0B79" w:rsidP="00DD69B4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D69B4">
        <w:rPr>
          <w:lang w:val="fr-FR"/>
        </w:rPr>
        <w:t>Bélarus, Belize, Benelux, Brunéi Darussalam, Cambodge, Croatie, Danemark, Estonie, États</w:t>
      </w:r>
      <w:r w:rsidR="00087CDB">
        <w:rPr>
          <w:lang w:val="fr-FR"/>
        </w:rPr>
        <w:noBreakHyphen/>
      </w:r>
      <w:r w:rsidRPr="00DD69B4">
        <w:rPr>
          <w:lang w:val="fr-FR"/>
        </w:rPr>
        <w:t>Unis d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 xml:space="preserve">Amérique, Fédération de Russie, Finlande, Hongrie, Islande, Israël, Mexique, Monaco, Norvège, </w:t>
      </w:r>
      <w:r w:rsidR="00255746" w:rsidRPr="00DD69B4">
        <w:rPr>
          <w:lang w:val="fr-FR"/>
        </w:rPr>
        <w:t xml:space="preserve">Organisation africaine de la propriété intellectuelle (OAPI), </w:t>
      </w:r>
      <w:r w:rsidRPr="00DD69B4">
        <w:rPr>
          <w:lang w:val="fr-FR"/>
        </w:rPr>
        <w:t>Pologne, Samoa, Slovénie, Suriname, République arabe syrienne, Ukraine, Royaume</w:t>
      </w:r>
      <w:r w:rsidR="00087CDB">
        <w:rPr>
          <w:lang w:val="fr-FR"/>
        </w:rPr>
        <w:noBreakHyphen/>
      </w:r>
      <w:r w:rsidRPr="00DD69B4">
        <w:rPr>
          <w:lang w:val="fr-FR"/>
        </w:rPr>
        <w:t>Uni et Viet Nam.</w:t>
      </w:r>
    </w:p>
    <w:p w:rsidR="00BF0B79" w:rsidRPr="00DD69B4" w:rsidRDefault="00BF0B79" w:rsidP="00DD69B4">
      <w:pPr>
        <w:pStyle w:val="ONUMFS"/>
        <w:rPr>
          <w:lang w:val="fr-FR"/>
        </w:rPr>
      </w:pPr>
      <w:r w:rsidRPr="00DD69B4">
        <w:rPr>
          <w:lang w:val="fr-FR"/>
        </w:rPr>
        <w:t>Si aucune des parties contractantes visées à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alinéa 1) n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est désignée mais que Singapour est désigné, le délai de publication, à indiquer en nombre de mois, ne peut pas dépasser 18 mois à compter de la date de dépôt.</w:t>
      </w:r>
    </w:p>
    <w:p w:rsidR="00BF0B79" w:rsidRPr="00DD69B4" w:rsidRDefault="00BF0B79" w:rsidP="00DD69B4">
      <w:pPr>
        <w:pStyle w:val="ONUMFS"/>
        <w:rPr>
          <w:lang w:val="fr-FR"/>
        </w:rPr>
      </w:pPr>
      <w:r w:rsidRPr="00DD69B4">
        <w:rPr>
          <w:lang w:val="fr-FR"/>
        </w:rPr>
        <w:t xml:space="preserve">Si aucune des parties contractantes visées aux alinéas 1) ou 2) </w:t>
      </w:r>
      <w:r w:rsidR="00A327C0">
        <w:rPr>
          <w:lang w:val="fr-FR"/>
        </w:rPr>
        <w:t xml:space="preserve">ci-dessus </w:t>
      </w:r>
      <w:r w:rsidRPr="00DD69B4">
        <w:rPr>
          <w:lang w:val="fr-FR"/>
        </w:rPr>
        <w:t>n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est désignée, le délai de publication, à indiquer en nombre de mois, ne peut pas excéder 30 mois à compter de la date de dépôt ou, si une priorité est revendiquée, de la date de priorité.</w:t>
      </w:r>
    </w:p>
    <w:p w:rsidR="00BF0B79" w:rsidRPr="00DD69B4" w:rsidRDefault="00BF0B79" w:rsidP="000A1A91">
      <w:pPr>
        <w:spacing w:before="1320"/>
        <w:rPr>
          <w:rFonts w:eastAsia="MS Mincho"/>
          <w:bCs/>
          <w:szCs w:val="22"/>
          <w:lang w:val="fr-FR" w:eastAsia="en-US"/>
        </w:rPr>
      </w:pPr>
      <w:r w:rsidRPr="00DD69B4">
        <w:rPr>
          <w:rFonts w:eastAsia="MS Mincho"/>
          <w:bCs/>
          <w:szCs w:val="22"/>
          <w:lang w:val="fr-FR" w:eastAsia="en-US"/>
        </w:rPr>
        <w:t>Note</w:t>
      </w:r>
      <w:r w:rsidR="00C41BF6" w:rsidRPr="00DD69B4">
        <w:rPr>
          <w:rFonts w:eastAsia="MS Mincho"/>
          <w:bCs/>
          <w:szCs w:val="22"/>
          <w:lang w:val="fr-FR" w:eastAsia="en-US"/>
        </w:rPr>
        <w:t> :</w:t>
      </w:r>
      <w:r w:rsidRPr="00DD69B4">
        <w:rPr>
          <w:rFonts w:eastAsia="MS Mincho"/>
          <w:bCs/>
          <w:szCs w:val="22"/>
          <w:lang w:val="fr-FR" w:eastAsia="en-US"/>
        </w:rPr>
        <w:t xml:space="preserve"> les informations susmentionnées reposent sur la déclaration de chaque partie contractante concernant l</w:t>
      </w:r>
      <w:r w:rsidR="00C41BF6" w:rsidRPr="00DD69B4">
        <w:rPr>
          <w:rFonts w:eastAsia="MS Mincho"/>
          <w:bCs/>
          <w:szCs w:val="22"/>
          <w:lang w:val="fr-FR" w:eastAsia="en-US"/>
        </w:rPr>
        <w:t>’</w:t>
      </w:r>
      <w:r w:rsidRPr="00DD69B4">
        <w:rPr>
          <w:rFonts w:eastAsia="MS Mincho"/>
          <w:bCs/>
          <w:szCs w:val="22"/>
          <w:lang w:val="fr-FR" w:eastAsia="en-US"/>
        </w:rPr>
        <w:t>ajournement de la publication à la date d</w:t>
      </w:r>
      <w:r w:rsidR="00C41BF6" w:rsidRPr="00DD69B4">
        <w:rPr>
          <w:rFonts w:eastAsia="MS Mincho"/>
          <w:bCs/>
          <w:szCs w:val="22"/>
          <w:lang w:val="fr-FR" w:eastAsia="en-US"/>
        </w:rPr>
        <w:t>’</w:t>
      </w:r>
      <w:r w:rsidRPr="00DD69B4">
        <w:rPr>
          <w:rFonts w:eastAsia="MS Mincho"/>
          <w:bCs/>
          <w:szCs w:val="22"/>
          <w:lang w:val="fr-FR" w:eastAsia="en-US"/>
        </w:rPr>
        <w:t>émission du présent avis, et sont donc susceptibles de changer au fil du temps.</w:t>
      </w:r>
    </w:p>
    <w:p w:rsidR="00BF0B79" w:rsidRPr="00DD69B4" w:rsidRDefault="00BF0B79" w:rsidP="00DD69B4">
      <w:pPr>
        <w:pStyle w:val="Endofdocument-Annex"/>
        <w:rPr>
          <w:lang w:val="fr-FR"/>
        </w:rPr>
      </w:pPr>
      <w:r w:rsidRPr="00DD69B4">
        <w:rPr>
          <w:lang w:val="fr-FR"/>
        </w:rPr>
        <w:t>[Fin de l</w:t>
      </w:r>
      <w:r w:rsidR="00C41BF6" w:rsidRPr="00DD69B4">
        <w:rPr>
          <w:lang w:val="fr-FR"/>
        </w:rPr>
        <w:t>’</w:t>
      </w:r>
      <w:r w:rsidRPr="00DD69B4">
        <w:rPr>
          <w:lang w:val="fr-FR"/>
        </w:rPr>
        <w:t>annexe]</w:t>
      </w:r>
    </w:p>
    <w:sectPr w:rsidR="00BF0B79" w:rsidRPr="00DD69B4" w:rsidSect="00096E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79" w:rsidRDefault="00BF0B79">
      <w:r>
        <w:separator/>
      </w:r>
    </w:p>
  </w:endnote>
  <w:endnote w:type="continuationSeparator" w:id="0">
    <w:p w:rsidR="00BF0B79" w:rsidRDefault="00BF0B79" w:rsidP="00A326CA">
      <w:r>
        <w:separator/>
      </w:r>
    </w:p>
    <w:p w:rsidR="00BF0B79" w:rsidRPr="00A326CA" w:rsidRDefault="00BF0B79" w:rsidP="00A326CA">
      <w:r>
        <w:rPr>
          <w:sz w:val="17"/>
        </w:rPr>
        <w:t>[Endnote continued from previous page]</w:t>
      </w:r>
    </w:p>
  </w:endnote>
  <w:endnote w:type="continuationNotice" w:id="1">
    <w:p w:rsidR="00BF0B79" w:rsidRPr="00A326CA" w:rsidRDefault="00BF0B7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79" w:rsidRDefault="00BF0B79">
      <w:r>
        <w:separator/>
      </w:r>
    </w:p>
  </w:footnote>
  <w:footnote w:type="continuationSeparator" w:id="0">
    <w:p w:rsidR="00BF0B79" w:rsidRDefault="00BF0B79" w:rsidP="00A326CA">
      <w:r>
        <w:separator/>
      </w:r>
    </w:p>
    <w:p w:rsidR="00BF0B79" w:rsidRPr="00A326CA" w:rsidRDefault="00BF0B79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BF0B79" w:rsidRPr="00A326CA" w:rsidRDefault="00BF0B7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  <w:footnote w:id="2">
    <w:p w:rsidR="00BF0B79" w:rsidRPr="000D7A82" w:rsidRDefault="00BF0B79" w:rsidP="00BF0B79">
      <w:pPr>
        <w:pStyle w:val="FootnoteText"/>
        <w:rPr>
          <w:lang w:val="fr-CH"/>
        </w:rPr>
      </w:pPr>
      <w:r w:rsidRPr="0089306C">
        <w:rPr>
          <w:rStyle w:val="FootnoteReference"/>
        </w:rPr>
        <w:footnoteRef/>
      </w:r>
      <w:r w:rsidRPr="0089306C">
        <w:rPr>
          <w:lang w:val="fr-CH"/>
        </w:rPr>
        <w:tab/>
        <w:t>Aux fins des paragraphes 4.a) et</w:t>
      </w:r>
      <w:r w:rsidR="00087CDB">
        <w:rPr>
          <w:lang w:val="fr-CH"/>
        </w:rPr>
        <w:t> </w:t>
      </w:r>
      <w:r w:rsidRPr="0089306C">
        <w:rPr>
          <w:lang w:val="fr-CH"/>
        </w:rPr>
        <w:t>6, l</w:t>
      </w:r>
      <w:r w:rsidR="00FA7DBC">
        <w:rPr>
          <w:lang w:val="fr-CH"/>
        </w:rPr>
        <w:t>’</w:t>
      </w:r>
      <w:r w:rsidRPr="0089306C">
        <w:rPr>
          <w:lang w:val="fr-CH"/>
        </w:rPr>
        <w:t xml:space="preserve">expression publication </w:t>
      </w:r>
      <w:r w:rsidR="00653823" w:rsidRPr="0089306C">
        <w:rPr>
          <w:lang w:val="fr-CH"/>
        </w:rPr>
        <w:t>“</w:t>
      </w:r>
      <w:r w:rsidRPr="0089306C">
        <w:rPr>
          <w:lang w:val="fr-CH"/>
        </w:rPr>
        <w:t>immédiate” tient compte du temps nécessaire au Bureau international pour effectuer les préparatifs techniques pertinents en vue de la publication.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8407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0B79" w:rsidRDefault="00C41BF6" w:rsidP="00C41BF6">
        <w:pPr>
          <w:pStyle w:val="Header"/>
          <w:spacing w:before="240" w:after="240"/>
          <w:jc w:val="right"/>
        </w:pPr>
        <w:r>
          <w:t>page </w:t>
        </w:r>
        <w:r w:rsidR="00BF0B79">
          <w:fldChar w:fldCharType="begin"/>
        </w:r>
        <w:r w:rsidR="00BF0B79">
          <w:instrText xml:space="preserve"> PAGE   \* MERGEFORMAT </w:instrText>
        </w:r>
        <w:r w:rsidR="00BF0B79">
          <w:fldChar w:fldCharType="separate"/>
        </w:r>
        <w:r>
          <w:rPr>
            <w:noProof/>
          </w:rPr>
          <w:t>2</w:t>
        </w:r>
        <w:r w:rsidR="00BF0B79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602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41BF6" w:rsidRDefault="00C41BF6" w:rsidP="00C41BF6">
        <w:pPr>
          <w:pStyle w:val="Header"/>
          <w:spacing w:before="240" w:after="240"/>
          <w:jc w:val="right"/>
        </w:pPr>
        <w:r>
          <w:t>page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8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Header"/>
      <w:jc w:val="right"/>
      <w:rPr>
        <w:lang w:val="fr-CH"/>
      </w:rPr>
    </w:pPr>
  </w:p>
  <w:p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0B79">
      <w:rPr>
        <w:rStyle w:val="PageNumber"/>
        <w:noProof/>
      </w:rPr>
      <w:t>2</w:t>
    </w:r>
    <w:r>
      <w:rPr>
        <w:rStyle w:val="PageNumber"/>
      </w:rPr>
      <w:fldChar w:fldCharType="end"/>
    </w:r>
  </w:p>
  <w:p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BF0B79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C41BF6" w:rsidP="00C41BF6">
    <w:pPr>
      <w:pStyle w:val="Header"/>
      <w:spacing w:before="24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476C4"/>
    <w:multiLevelType w:val="hybridMultilevel"/>
    <w:tmpl w:val="0220EED2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BF0B79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87CDB"/>
    <w:rsid w:val="00094D3C"/>
    <w:rsid w:val="00096EA4"/>
    <w:rsid w:val="000A1A91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15F98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67F26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094B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55746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1875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9502C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6176"/>
    <w:rsid w:val="005473CD"/>
    <w:rsid w:val="0057245E"/>
    <w:rsid w:val="0057360E"/>
    <w:rsid w:val="00576A06"/>
    <w:rsid w:val="0058229E"/>
    <w:rsid w:val="00582A7B"/>
    <w:rsid w:val="00582B32"/>
    <w:rsid w:val="005839D1"/>
    <w:rsid w:val="0058636A"/>
    <w:rsid w:val="00587374"/>
    <w:rsid w:val="005A2B90"/>
    <w:rsid w:val="005A2E88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23C63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53823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5003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0BE1"/>
    <w:rsid w:val="007464CA"/>
    <w:rsid w:val="007536B7"/>
    <w:rsid w:val="0076301A"/>
    <w:rsid w:val="00781245"/>
    <w:rsid w:val="00781CF5"/>
    <w:rsid w:val="00787559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0A9F"/>
    <w:rsid w:val="008D64B7"/>
    <w:rsid w:val="008D7F6B"/>
    <w:rsid w:val="008E6468"/>
    <w:rsid w:val="00907F4A"/>
    <w:rsid w:val="009141E8"/>
    <w:rsid w:val="0091724D"/>
    <w:rsid w:val="00930665"/>
    <w:rsid w:val="009319A3"/>
    <w:rsid w:val="00933F8C"/>
    <w:rsid w:val="00934458"/>
    <w:rsid w:val="009402DE"/>
    <w:rsid w:val="009465F5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27C0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B6A3B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264D"/>
    <w:rsid w:val="00BD3AB2"/>
    <w:rsid w:val="00BE3D7E"/>
    <w:rsid w:val="00BE6A20"/>
    <w:rsid w:val="00BF0B79"/>
    <w:rsid w:val="00BF12DC"/>
    <w:rsid w:val="00BF1458"/>
    <w:rsid w:val="00BF5E09"/>
    <w:rsid w:val="00BF6F5E"/>
    <w:rsid w:val="00C05AD1"/>
    <w:rsid w:val="00C10DDF"/>
    <w:rsid w:val="00C2151D"/>
    <w:rsid w:val="00C30669"/>
    <w:rsid w:val="00C41BF6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364"/>
    <w:rsid w:val="00DA7B8A"/>
    <w:rsid w:val="00DB0A0E"/>
    <w:rsid w:val="00DB28AE"/>
    <w:rsid w:val="00DB60CA"/>
    <w:rsid w:val="00DC7C2D"/>
    <w:rsid w:val="00DD4C78"/>
    <w:rsid w:val="00DD69B4"/>
    <w:rsid w:val="00DE5A4F"/>
    <w:rsid w:val="00DE6474"/>
    <w:rsid w:val="00DF1E1C"/>
    <w:rsid w:val="00DF37E6"/>
    <w:rsid w:val="00DF7254"/>
    <w:rsid w:val="00E01FAA"/>
    <w:rsid w:val="00E23D7C"/>
    <w:rsid w:val="00E25414"/>
    <w:rsid w:val="00E37946"/>
    <w:rsid w:val="00E43EB6"/>
    <w:rsid w:val="00E46284"/>
    <w:rsid w:val="00E5062D"/>
    <w:rsid w:val="00E67A5E"/>
    <w:rsid w:val="00E70857"/>
    <w:rsid w:val="00E74749"/>
    <w:rsid w:val="00E75FD1"/>
    <w:rsid w:val="00E763D5"/>
    <w:rsid w:val="00E77E68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A7DBC"/>
    <w:rsid w:val="00FB6472"/>
    <w:rsid w:val="00FC5C36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76CE4C4"/>
  <w15:chartTrackingRefBased/>
  <w15:docId w15:val="{D77B8B08-D08B-468F-81A7-28EE3F5B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DD69B4"/>
    <w:pPr>
      <w:keepNext/>
      <w:spacing w:after="240"/>
      <w:outlineLvl w:val="2"/>
    </w:pPr>
    <w:rPr>
      <w:bCs/>
      <w:szCs w:val="26"/>
      <w:u w:val="single"/>
      <w:lang w:val="fr-FR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locked/>
    <w:rsid w:val="00DD69B4"/>
    <w:rPr>
      <w:rFonts w:ascii="Arial" w:eastAsia="SimSun" w:hAnsi="Arial" w:cs="Arial"/>
      <w:bCs/>
      <w:sz w:val="22"/>
      <w:szCs w:val="26"/>
      <w:u w:val="single"/>
      <w:lang w:val="fr-FR" w:eastAsia="zh-CN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D69B4"/>
    <w:pPr>
      <w:spacing w:before="480"/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link w:val="indent1Char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DD69B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BF0B79"/>
    <w:rPr>
      <w:rFonts w:ascii="Arial" w:eastAsia="SimSun" w:hAnsi="Arial" w:cs="Arial"/>
      <w:sz w:val="22"/>
      <w:lang w:eastAsia="zh-CN"/>
    </w:rPr>
  </w:style>
  <w:style w:type="character" w:customStyle="1" w:styleId="indent1Char">
    <w:name w:val="indent_1 Char"/>
    <w:link w:val="indent1"/>
    <w:rsid w:val="00BF0B79"/>
    <w:rPr>
      <w:sz w:val="28"/>
      <w:szCs w:val="28"/>
      <w:lang w:val="en-GB" w:eastAsia="ja-JP"/>
    </w:rPr>
  </w:style>
  <w:style w:type="table" w:styleId="TableGrid">
    <w:name w:val="Table Grid"/>
    <w:basedOn w:val="TableNormal"/>
    <w:rsid w:val="00BF0B7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30A0-C4B1-4077-B9BE-6FF04EDB6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51553-DFEA-4203-8E41-6607B0FA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DUMITRU Elena</cp:lastModifiedBy>
  <cp:revision>3</cp:revision>
  <cp:lastPrinted>2013-12-12T12:33:00Z</cp:lastPrinted>
  <dcterms:created xsi:type="dcterms:W3CDTF">2021-11-30T15:42:00Z</dcterms:created>
  <dcterms:modified xsi:type="dcterms:W3CDTF">2021-11-30T15:45:00Z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b4c8d351-1b47-4aa8-8f1e-0825e5365d54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