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Borders>
          <w:bottom w:val="single" w:sz="4" w:space="0" w:color="auto"/>
        </w:tblBorders>
        <w:tblLook w:val="01E0" w:firstRow="1" w:lastRow="1" w:firstColumn="1" w:lastColumn="1" w:noHBand="0" w:noVBand="0"/>
      </w:tblPr>
      <w:tblGrid>
        <w:gridCol w:w="4513"/>
        <w:gridCol w:w="4843"/>
      </w:tblGrid>
      <w:tr w:rsidR="00A953E1" w:rsidRPr="007161E8">
        <w:tc>
          <w:tcPr>
            <w:tcW w:w="4513" w:type="dxa"/>
            <w:tcMar>
              <w:left w:w="0" w:type="dxa"/>
              <w:right w:w="0" w:type="dxa"/>
            </w:tcMar>
          </w:tcPr>
          <w:p w:rsidR="00A953E1" w:rsidRPr="007161E8" w:rsidRDefault="00A953E1"/>
        </w:tc>
        <w:tc>
          <w:tcPr>
            <w:tcW w:w="0" w:type="auto"/>
            <w:tcMar>
              <w:left w:w="0" w:type="dxa"/>
              <w:bottom w:w="142" w:type="dxa"/>
              <w:right w:w="0" w:type="dxa"/>
            </w:tcMar>
          </w:tcPr>
          <w:p w:rsidR="00A953E1" w:rsidRPr="007161E8" w:rsidRDefault="007B1C0F">
            <w:r w:rsidRPr="007161E8">
              <w:rPr>
                <w:noProof/>
                <w:lang w:eastAsia="en-US"/>
              </w:rPr>
              <w:drawing>
                <wp:inline distT="0" distB="0" distL="0" distR="0">
                  <wp:extent cx="1856105" cy="1323975"/>
                  <wp:effectExtent l="0" t="0" r="0" b="0"/>
                  <wp:docPr id="4"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r>
    </w:tbl>
    <w:p w:rsidR="00AB2DB7" w:rsidRDefault="005E284E" w:rsidP="00555CC8">
      <w:pPr>
        <w:spacing w:before="240" w:after="1200"/>
        <w:jc w:val="right"/>
        <w:rPr>
          <w:lang w:val="fr-CH"/>
        </w:rPr>
      </w:pPr>
      <w:r w:rsidRPr="007161E8">
        <w:rPr>
          <w:rFonts w:ascii="Arial Black" w:hAnsi="Arial Black"/>
          <w:sz w:val="15"/>
          <w:szCs w:val="15"/>
          <w:lang w:val="pt-BR"/>
        </w:rPr>
        <w:t>AVIS</w:t>
      </w:r>
      <w:r w:rsidR="00715D12" w:rsidRPr="007161E8">
        <w:rPr>
          <w:rFonts w:ascii="Arial Black" w:hAnsi="Arial Black"/>
          <w:sz w:val="15"/>
          <w:szCs w:val="15"/>
          <w:lang w:val="pt-BR"/>
        </w:rPr>
        <w:t xml:space="preserve"> N</w:t>
      </w:r>
      <w:r w:rsidRPr="007161E8">
        <w:rPr>
          <w:rFonts w:ascii="Arial Black" w:hAnsi="Arial Black"/>
          <w:sz w:val="15"/>
          <w:szCs w:val="15"/>
          <w:lang w:val="pt-BR"/>
        </w:rPr>
        <w:t>° </w:t>
      </w:r>
      <w:r w:rsidR="007B1C0F">
        <w:rPr>
          <w:rFonts w:ascii="Arial Black" w:hAnsi="Arial Black"/>
          <w:sz w:val="15"/>
          <w:szCs w:val="15"/>
          <w:lang w:val="pt-BR"/>
        </w:rPr>
        <w:t>6</w:t>
      </w:r>
      <w:r w:rsidR="00715D12" w:rsidRPr="007161E8">
        <w:rPr>
          <w:rFonts w:ascii="Arial Black" w:hAnsi="Arial Black"/>
          <w:sz w:val="15"/>
          <w:szCs w:val="15"/>
          <w:lang w:val="pt-BR"/>
        </w:rPr>
        <w:t>/20</w:t>
      </w:r>
      <w:r w:rsidR="007B1C0F">
        <w:rPr>
          <w:rFonts w:ascii="Arial Black" w:hAnsi="Arial Black"/>
          <w:sz w:val="15"/>
          <w:szCs w:val="15"/>
          <w:lang w:val="pt-BR"/>
        </w:rPr>
        <w:t>22</w:t>
      </w:r>
    </w:p>
    <w:p w:rsidR="00507C9E" w:rsidRPr="0067619C" w:rsidRDefault="007B3638" w:rsidP="007B3638">
      <w:pPr>
        <w:spacing w:after="720"/>
        <w:rPr>
          <w:b/>
          <w:sz w:val="28"/>
          <w:szCs w:val="28"/>
          <w:lang w:val="fr-CH"/>
        </w:rPr>
      </w:pPr>
      <w:r w:rsidRPr="0067619C">
        <w:rPr>
          <w:b/>
          <w:sz w:val="28"/>
          <w:szCs w:val="28"/>
          <w:lang w:val="fr-CH"/>
        </w:rPr>
        <w:t xml:space="preserve">Arrangement de </w:t>
      </w:r>
      <w:r w:rsidR="00507C9E" w:rsidRPr="0067619C">
        <w:rPr>
          <w:b/>
          <w:sz w:val="28"/>
          <w:szCs w:val="28"/>
          <w:lang w:val="fr-CH"/>
        </w:rPr>
        <w:t>La Haye</w:t>
      </w:r>
      <w:r w:rsidRPr="0067619C">
        <w:rPr>
          <w:b/>
          <w:sz w:val="28"/>
          <w:szCs w:val="28"/>
          <w:lang w:val="fr-CH"/>
        </w:rPr>
        <w:t xml:space="preserve"> concernant l</w:t>
      </w:r>
      <w:r w:rsidR="00507C9E" w:rsidRPr="0067619C">
        <w:rPr>
          <w:b/>
          <w:sz w:val="28"/>
          <w:szCs w:val="28"/>
          <w:lang w:val="fr-CH"/>
        </w:rPr>
        <w:t>’</w:t>
      </w:r>
      <w:r w:rsidRPr="0067619C">
        <w:rPr>
          <w:b/>
          <w:sz w:val="28"/>
          <w:szCs w:val="28"/>
          <w:lang w:val="fr-CH"/>
        </w:rPr>
        <w:t>enregistrement international des dessins et modèles industriels</w:t>
      </w:r>
    </w:p>
    <w:p w:rsidR="00AB2DB7" w:rsidRPr="0067619C" w:rsidRDefault="007B3638" w:rsidP="00666DF5">
      <w:pPr>
        <w:spacing w:after="240"/>
        <w:rPr>
          <w:b/>
          <w:sz w:val="24"/>
          <w:szCs w:val="24"/>
          <w:lang w:val="fr-CH"/>
        </w:rPr>
      </w:pPr>
      <w:r w:rsidRPr="0067619C">
        <w:rPr>
          <w:b/>
          <w:sz w:val="24"/>
          <w:szCs w:val="24"/>
          <w:lang w:val="fr-CH"/>
        </w:rPr>
        <w:t>Adhésion à l</w:t>
      </w:r>
      <w:r w:rsidR="00507C9E" w:rsidRPr="0067619C">
        <w:rPr>
          <w:b/>
          <w:sz w:val="24"/>
          <w:szCs w:val="24"/>
          <w:lang w:val="fr-CH"/>
        </w:rPr>
        <w:t>’</w:t>
      </w:r>
      <w:r w:rsidRPr="0067619C">
        <w:rPr>
          <w:b/>
          <w:sz w:val="24"/>
          <w:szCs w:val="24"/>
          <w:lang w:val="fr-CH"/>
        </w:rPr>
        <w:t>Acte de 1999</w:t>
      </w:r>
      <w:r w:rsidR="00507C9E" w:rsidRPr="0067619C">
        <w:rPr>
          <w:b/>
          <w:sz w:val="24"/>
          <w:szCs w:val="24"/>
          <w:lang w:val="fr-CH"/>
        </w:rPr>
        <w:t> :</w:t>
      </w:r>
      <w:r w:rsidRPr="0067619C">
        <w:rPr>
          <w:b/>
          <w:sz w:val="24"/>
          <w:szCs w:val="24"/>
          <w:lang w:val="fr-CH"/>
        </w:rPr>
        <w:t xml:space="preserve"> Chine</w:t>
      </w:r>
    </w:p>
    <w:p w:rsidR="00AB2DB7" w:rsidRPr="0067619C" w:rsidRDefault="007B3638" w:rsidP="007B3638">
      <w:pPr>
        <w:pStyle w:val="ListParagraph"/>
        <w:numPr>
          <w:ilvl w:val="0"/>
          <w:numId w:val="11"/>
        </w:numPr>
        <w:spacing w:after="220"/>
        <w:ind w:left="0" w:firstLine="0"/>
        <w:contextualSpacing w:val="0"/>
        <w:rPr>
          <w:lang w:val="fr-FR"/>
        </w:rPr>
      </w:pPr>
      <w:r w:rsidRPr="0067619C">
        <w:rPr>
          <w:lang w:val="fr-FR"/>
        </w:rPr>
        <w:t xml:space="preserve">Le </w:t>
      </w:r>
      <w:r w:rsidR="00507C9E" w:rsidRPr="0067619C">
        <w:rPr>
          <w:lang w:val="fr-FR"/>
        </w:rPr>
        <w:t>5 février 20</w:t>
      </w:r>
      <w:r w:rsidRPr="0067619C">
        <w:rPr>
          <w:lang w:val="fr-FR"/>
        </w:rPr>
        <w:t>22, le Gouvernement de la Chine a déposé auprès du Directeur général de l</w:t>
      </w:r>
      <w:r w:rsidR="00507C9E" w:rsidRPr="0067619C">
        <w:rPr>
          <w:lang w:val="fr-FR"/>
        </w:rPr>
        <w:t>’</w:t>
      </w:r>
      <w:r w:rsidRPr="0067619C">
        <w:rPr>
          <w:lang w:val="fr-FR"/>
        </w:rPr>
        <w:t>Organisation Mondiale de la Propriété Intellectuelle (OMPI) son instrument d</w:t>
      </w:r>
      <w:r w:rsidR="00507C9E" w:rsidRPr="0067619C">
        <w:rPr>
          <w:lang w:val="fr-FR"/>
        </w:rPr>
        <w:t>’</w:t>
      </w:r>
      <w:r w:rsidRPr="0067619C">
        <w:rPr>
          <w:lang w:val="fr-FR"/>
        </w:rPr>
        <w:t>adhésion à l</w:t>
      </w:r>
      <w:r w:rsidR="00507C9E" w:rsidRPr="0067619C">
        <w:rPr>
          <w:lang w:val="fr-FR"/>
        </w:rPr>
        <w:t>’</w:t>
      </w:r>
      <w:r w:rsidRPr="0067619C">
        <w:rPr>
          <w:lang w:val="fr-FR"/>
        </w:rPr>
        <w:t>Acte de Genève de l</w:t>
      </w:r>
      <w:r w:rsidR="00507C9E" w:rsidRPr="0067619C">
        <w:rPr>
          <w:lang w:val="fr-FR"/>
        </w:rPr>
        <w:t>’</w:t>
      </w:r>
      <w:r w:rsidRPr="0067619C">
        <w:rPr>
          <w:lang w:val="fr-FR"/>
        </w:rPr>
        <w:t xml:space="preserve">Arrangement de </w:t>
      </w:r>
      <w:r w:rsidR="00507C9E" w:rsidRPr="0067619C">
        <w:rPr>
          <w:lang w:val="fr-FR"/>
        </w:rPr>
        <w:t>La Haye</w:t>
      </w:r>
      <w:r w:rsidRPr="0067619C">
        <w:rPr>
          <w:lang w:val="fr-FR"/>
        </w:rPr>
        <w:t xml:space="preserve"> concernant l</w:t>
      </w:r>
      <w:r w:rsidR="00507C9E" w:rsidRPr="0067619C">
        <w:rPr>
          <w:lang w:val="fr-FR"/>
        </w:rPr>
        <w:t>’</w:t>
      </w:r>
      <w:r w:rsidRPr="0067619C">
        <w:rPr>
          <w:lang w:val="fr-FR"/>
        </w:rPr>
        <w:t xml:space="preserve">enregistrement international des dessins et modèles industriels (“Acte </w:t>
      </w:r>
      <w:r w:rsidR="00507C9E" w:rsidRPr="0067619C">
        <w:rPr>
          <w:lang w:val="fr-FR"/>
        </w:rPr>
        <w:t>de 1999</w:t>
      </w:r>
      <w:r w:rsidRPr="0067619C">
        <w:rPr>
          <w:lang w:val="fr-FR"/>
        </w:rPr>
        <w:t>”).</w:t>
      </w:r>
    </w:p>
    <w:p w:rsidR="00AB2DB7" w:rsidRPr="0067619C" w:rsidRDefault="007B3638" w:rsidP="007B3638">
      <w:pPr>
        <w:pStyle w:val="ListParagraph"/>
        <w:numPr>
          <w:ilvl w:val="0"/>
          <w:numId w:val="11"/>
        </w:numPr>
        <w:spacing w:after="220"/>
        <w:ind w:left="0" w:firstLine="0"/>
        <w:contextualSpacing w:val="0"/>
        <w:rPr>
          <w:lang w:val="fr-FR"/>
        </w:rPr>
      </w:pPr>
      <w:r w:rsidRPr="0067619C">
        <w:rPr>
          <w:lang w:val="fr-FR"/>
        </w:rPr>
        <w:t>Ledit instrument d</w:t>
      </w:r>
      <w:r w:rsidR="00507C9E" w:rsidRPr="0067619C">
        <w:rPr>
          <w:lang w:val="fr-FR"/>
        </w:rPr>
        <w:t>’</w:t>
      </w:r>
      <w:r w:rsidRPr="0067619C">
        <w:rPr>
          <w:lang w:val="fr-FR"/>
        </w:rPr>
        <w:t>adhésion était accompagné des déclarations ci</w:t>
      </w:r>
      <w:r w:rsidR="0000057D">
        <w:rPr>
          <w:lang w:val="fr-FR"/>
        </w:rPr>
        <w:noBreakHyphen/>
      </w:r>
      <w:r w:rsidRPr="0067619C">
        <w:rPr>
          <w:lang w:val="fr-FR"/>
        </w:rPr>
        <w:t>après en vertu de l</w:t>
      </w:r>
      <w:r w:rsidR="00507C9E" w:rsidRPr="0067619C">
        <w:rPr>
          <w:lang w:val="fr-FR"/>
        </w:rPr>
        <w:t>’</w:t>
      </w:r>
      <w:r w:rsidRPr="0067619C">
        <w:rPr>
          <w:lang w:val="fr-FR"/>
        </w:rPr>
        <w:t>Acte</w:t>
      </w:r>
      <w:r w:rsidR="00F406BE">
        <w:rPr>
          <w:lang w:val="fr-FR"/>
        </w:rPr>
        <w:t> </w:t>
      </w:r>
      <w:r w:rsidR="00507C9E" w:rsidRPr="0067619C">
        <w:rPr>
          <w:lang w:val="fr-FR"/>
        </w:rPr>
        <w:t>de 1999</w:t>
      </w:r>
      <w:r w:rsidRPr="0067619C">
        <w:rPr>
          <w:lang w:val="fr-FR"/>
        </w:rPr>
        <w:t xml:space="preserve"> et du règlement d</w:t>
      </w:r>
      <w:r w:rsidR="00507C9E" w:rsidRPr="0067619C">
        <w:rPr>
          <w:lang w:val="fr-FR"/>
        </w:rPr>
        <w:t>’</w:t>
      </w:r>
      <w:r w:rsidRPr="0067619C">
        <w:rPr>
          <w:lang w:val="fr-FR"/>
        </w:rPr>
        <w:t>exécution commun à l</w:t>
      </w:r>
      <w:r w:rsidR="00507C9E" w:rsidRPr="0067619C">
        <w:rPr>
          <w:lang w:val="fr-FR"/>
        </w:rPr>
        <w:t>’</w:t>
      </w:r>
      <w:r w:rsidRPr="0067619C">
        <w:rPr>
          <w:lang w:val="fr-FR"/>
        </w:rPr>
        <w:t xml:space="preserve">Acte </w:t>
      </w:r>
      <w:r w:rsidR="00507C9E" w:rsidRPr="0067619C">
        <w:rPr>
          <w:lang w:val="fr-FR"/>
        </w:rPr>
        <w:t>de 1999</w:t>
      </w:r>
      <w:r w:rsidRPr="0067619C">
        <w:rPr>
          <w:lang w:val="fr-FR"/>
        </w:rPr>
        <w:t xml:space="preserve"> et l</w:t>
      </w:r>
      <w:r w:rsidR="00507C9E" w:rsidRPr="0067619C">
        <w:rPr>
          <w:lang w:val="fr-FR"/>
        </w:rPr>
        <w:t>’</w:t>
      </w:r>
      <w:r w:rsidRPr="0067619C">
        <w:rPr>
          <w:lang w:val="fr-FR"/>
        </w:rPr>
        <w:t xml:space="preserve">Acte </w:t>
      </w:r>
      <w:r w:rsidR="00507C9E" w:rsidRPr="0067619C">
        <w:rPr>
          <w:lang w:val="fr-FR"/>
        </w:rPr>
        <w:t>de 1960</w:t>
      </w:r>
      <w:r w:rsidRPr="0067619C">
        <w:rPr>
          <w:lang w:val="fr-FR"/>
        </w:rPr>
        <w:t xml:space="preserve"> de l</w:t>
      </w:r>
      <w:r w:rsidR="00507C9E" w:rsidRPr="0067619C">
        <w:rPr>
          <w:lang w:val="fr-FR"/>
        </w:rPr>
        <w:t>’</w:t>
      </w:r>
      <w:r w:rsidRPr="0067619C">
        <w:rPr>
          <w:lang w:val="fr-FR"/>
        </w:rPr>
        <w:t xml:space="preserve">Arrangement de </w:t>
      </w:r>
      <w:r w:rsidR="00507C9E" w:rsidRPr="0067619C">
        <w:rPr>
          <w:lang w:val="fr-FR"/>
        </w:rPr>
        <w:t>La Haye</w:t>
      </w:r>
      <w:r w:rsidRPr="0067619C">
        <w:rPr>
          <w:lang w:val="fr-FR"/>
        </w:rPr>
        <w:t xml:space="preserve"> (ci</w:t>
      </w:r>
      <w:r w:rsidR="0000057D">
        <w:rPr>
          <w:lang w:val="fr-FR"/>
        </w:rPr>
        <w:noBreakHyphen/>
      </w:r>
      <w:r w:rsidRPr="0067619C">
        <w:rPr>
          <w:lang w:val="fr-FR"/>
        </w:rPr>
        <w:t xml:space="preserve">après dénommé </w:t>
      </w:r>
      <w:r w:rsidR="00507C9E" w:rsidRPr="0067619C">
        <w:rPr>
          <w:lang w:val="fr-FR"/>
        </w:rPr>
        <w:t>“r</w:t>
      </w:r>
      <w:r w:rsidRPr="0067619C">
        <w:rPr>
          <w:lang w:val="fr-FR"/>
        </w:rPr>
        <w:t>èglement d</w:t>
      </w:r>
      <w:r w:rsidR="00507C9E" w:rsidRPr="0067619C">
        <w:rPr>
          <w:lang w:val="fr-FR"/>
        </w:rPr>
        <w:t>’</w:t>
      </w:r>
      <w:r w:rsidRPr="0067619C">
        <w:rPr>
          <w:lang w:val="fr-FR"/>
        </w:rPr>
        <w:t>exécution commu</w:t>
      </w:r>
      <w:r w:rsidR="00507C9E" w:rsidRPr="0067619C">
        <w:rPr>
          <w:lang w:val="fr-FR"/>
        </w:rPr>
        <w:t>n”</w:t>
      </w:r>
      <w:r w:rsidRPr="0067619C">
        <w:rPr>
          <w:lang w:val="fr-FR"/>
        </w:rPr>
        <w:t>)</w:t>
      </w:r>
      <w:r w:rsidR="00507C9E" w:rsidRPr="0067619C">
        <w:rPr>
          <w:lang w:val="fr-FR"/>
        </w:rPr>
        <w:t> :</w:t>
      </w:r>
    </w:p>
    <w:p w:rsidR="00AB2DB7" w:rsidRPr="00D30DC9" w:rsidRDefault="007B3638" w:rsidP="0000057D">
      <w:pPr>
        <w:pStyle w:val="ListParagraph"/>
        <w:numPr>
          <w:ilvl w:val="0"/>
          <w:numId w:val="12"/>
        </w:numPr>
        <w:spacing w:after="220"/>
        <w:ind w:left="540" w:firstLine="27"/>
        <w:contextualSpacing w:val="0"/>
        <w:rPr>
          <w:lang w:val="fr-FR"/>
        </w:rPr>
      </w:pPr>
      <w:r w:rsidRPr="0000057D">
        <w:rPr>
          <w:color w:val="000000"/>
          <w:lang w:val="fr-FR"/>
        </w:rPr>
        <w:t>la déclaration visée à l</w:t>
      </w:r>
      <w:r w:rsidR="00507C9E" w:rsidRPr="0000057D">
        <w:rPr>
          <w:color w:val="000000"/>
          <w:lang w:val="fr-FR"/>
        </w:rPr>
        <w:t>’article 5</w:t>
      </w:r>
      <w:r w:rsidRPr="0000057D">
        <w:rPr>
          <w:color w:val="000000"/>
          <w:lang w:val="fr-FR"/>
        </w:rPr>
        <w:t>.2)a) de l</w:t>
      </w:r>
      <w:r w:rsidR="00507C9E" w:rsidRPr="0000057D">
        <w:rPr>
          <w:color w:val="000000"/>
          <w:lang w:val="fr-FR"/>
        </w:rPr>
        <w:t>’</w:t>
      </w:r>
      <w:r w:rsidRPr="0000057D">
        <w:rPr>
          <w:color w:val="000000"/>
          <w:lang w:val="fr-FR"/>
        </w:rPr>
        <w:t xml:space="preserve">Acte </w:t>
      </w:r>
      <w:r w:rsidR="00507C9E" w:rsidRPr="0000057D">
        <w:rPr>
          <w:color w:val="000000"/>
          <w:lang w:val="fr-FR"/>
        </w:rPr>
        <w:t>de 1999</w:t>
      </w:r>
      <w:r w:rsidRPr="0000057D">
        <w:rPr>
          <w:color w:val="000000"/>
          <w:lang w:val="fr-FR"/>
        </w:rPr>
        <w:t>, selon laquelle une demande</w:t>
      </w:r>
      <w:r w:rsidRPr="00D30DC9">
        <w:rPr>
          <w:lang w:val="fr-FR"/>
        </w:rPr>
        <w:t xml:space="preserve"> internationale désignant la Chine doit contenir une brève description des éléments caractéristiques du dessin ou modèle industriel, conformément à l</w:t>
      </w:r>
      <w:r w:rsidR="00507C9E" w:rsidRPr="00D30DC9">
        <w:rPr>
          <w:lang w:val="fr-FR"/>
        </w:rPr>
        <w:t>’article 5</w:t>
      </w:r>
      <w:r w:rsidRPr="00D30DC9">
        <w:rPr>
          <w:lang w:val="fr-FR"/>
        </w:rPr>
        <w:t>.2)b)ii);</w:t>
      </w:r>
    </w:p>
    <w:p w:rsidR="00AB2DB7" w:rsidRPr="00D30DC9" w:rsidRDefault="007B3638" w:rsidP="0000057D">
      <w:pPr>
        <w:pStyle w:val="ListParagraph"/>
        <w:numPr>
          <w:ilvl w:val="0"/>
          <w:numId w:val="12"/>
        </w:numPr>
        <w:spacing w:after="220"/>
        <w:ind w:left="540" w:firstLine="27"/>
        <w:contextualSpacing w:val="0"/>
        <w:rPr>
          <w:lang w:val="fr-FR"/>
        </w:rPr>
      </w:pPr>
      <w:r w:rsidRPr="00D30DC9">
        <w:rPr>
          <w:lang w:val="fr-FR"/>
        </w:rPr>
        <w:t>la déclaration visée à l</w:t>
      </w:r>
      <w:r w:rsidR="00507C9E" w:rsidRPr="00D30DC9">
        <w:rPr>
          <w:lang w:val="fr-FR"/>
        </w:rPr>
        <w:t>’article 7</w:t>
      </w:r>
      <w:r w:rsidRPr="00D30DC9">
        <w:rPr>
          <w:lang w:val="fr-FR"/>
        </w:rPr>
        <w:t>.2) de l</w:t>
      </w:r>
      <w:r w:rsidR="00507C9E" w:rsidRPr="00D30DC9">
        <w:rPr>
          <w:lang w:val="fr-FR"/>
        </w:rPr>
        <w:t>’</w:t>
      </w:r>
      <w:r w:rsidRPr="00D30DC9">
        <w:rPr>
          <w:lang w:val="fr-FR"/>
        </w:rPr>
        <w:t xml:space="preserve">Acte </w:t>
      </w:r>
      <w:r w:rsidR="00507C9E" w:rsidRPr="00D30DC9">
        <w:rPr>
          <w:lang w:val="fr-FR"/>
        </w:rPr>
        <w:t>de 1999</w:t>
      </w:r>
      <w:r w:rsidRPr="00D30DC9">
        <w:rPr>
          <w:lang w:val="fr-FR"/>
        </w:rPr>
        <w:t>, selon laquelle pour une demande internationale dans laquelle la Chine est désignée, ainsi que pour le renouvellement de tout enregistrement international découlant d</w:t>
      </w:r>
      <w:r w:rsidR="00507C9E" w:rsidRPr="00D30DC9">
        <w:rPr>
          <w:lang w:val="fr-FR"/>
        </w:rPr>
        <w:t>’</w:t>
      </w:r>
      <w:r w:rsidRPr="00D30DC9">
        <w:rPr>
          <w:lang w:val="fr-FR"/>
        </w:rPr>
        <w:t>une telle demande internationale, la taxe de désignation prescrite est remplacée par une taxe de désignation individuel</w:t>
      </w:r>
      <w:r w:rsidR="0067619C" w:rsidRPr="00D30DC9">
        <w:rPr>
          <w:lang w:val="fr-FR"/>
        </w:rPr>
        <w:t>le.  Le</w:t>
      </w:r>
      <w:r w:rsidRPr="00D30DC9">
        <w:rPr>
          <w:lang w:val="fr-FR"/>
        </w:rPr>
        <w:t>s détails de la déclaration et le montant de la taxe de désignation individuelle feront l</w:t>
      </w:r>
      <w:r w:rsidR="00507C9E" w:rsidRPr="00D30DC9">
        <w:rPr>
          <w:lang w:val="fr-FR"/>
        </w:rPr>
        <w:t>’</w:t>
      </w:r>
      <w:r w:rsidRPr="00D30DC9">
        <w:rPr>
          <w:lang w:val="fr-FR"/>
        </w:rPr>
        <w:t>objet d</w:t>
      </w:r>
      <w:r w:rsidR="00507C9E" w:rsidRPr="00D30DC9">
        <w:rPr>
          <w:lang w:val="fr-FR"/>
        </w:rPr>
        <w:t>’</w:t>
      </w:r>
      <w:r w:rsidRPr="00D30DC9">
        <w:rPr>
          <w:lang w:val="fr-FR"/>
        </w:rPr>
        <w:t>un autre avis;</w:t>
      </w:r>
    </w:p>
    <w:p w:rsidR="00AB2DB7" w:rsidRDefault="007B3638" w:rsidP="0000057D">
      <w:pPr>
        <w:pStyle w:val="ListParagraph"/>
        <w:numPr>
          <w:ilvl w:val="0"/>
          <w:numId w:val="12"/>
        </w:numPr>
        <w:spacing w:after="220"/>
        <w:ind w:left="540" w:firstLine="27"/>
        <w:contextualSpacing w:val="0"/>
        <w:rPr>
          <w:lang w:val="fr-FR"/>
        </w:rPr>
      </w:pPr>
      <w:r w:rsidRPr="007B3638">
        <w:rPr>
          <w:color w:val="000000"/>
          <w:lang w:val="fr-FR"/>
        </w:rPr>
        <w:t>la déclaration visée à l</w:t>
      </w:r>
      <w:r w:rsidR="00507C9E">
        <w:rPr>
          <w:color w:val="000000"/>
          <w:lang w:val="fr-FR"/>
        </w:rPr>
        <w:t>’</w:t>
      </w:r>
      <w:r w:rsidR="00507C9E" w:rsidRPr="007B3638">
        <w:rPr>
          <w:color w:val="000000"/>
          <w:lang w:val="fr-FR"/>
        </w:rPr>
        <w:t>article</w:t>
      </w:r>
      <w:r w:rsidR="00507C9E">
        <w:rPr>
          <w:color w:val="000000"/>
          <w:lang w:val="fr-FR"/>
        </w:rPr>
        <w:t> </w:t>
      </w:r>
      <w:r w:rsidR="00507C9E" w:rsidRPr="007B3638">
        <w:rPr>
          <w:color w:val="000000"/>
          <w:lang w:val="fr-FR"/>
        </w:rPr>
        <w:t>1</w:t>
      </w:r>
      <w:r w:rsidRPr="007B3638">
        <w:rPr>
          <w:color w:val="000000"/>
          <w:lang w:val="fr-FR"/>
        </w:rPr>
        <w:t>3.1) de l</w:t>
      </w:r>
      <w:r w:rsidR="00507C9E">
        <w:rPr>
          <w:color w:val="000000"/>
          <w:lang w:val="fr-FR"/>
        </w:rPr>
        <w:t>’</w:t>
      </w:r>
      <w:r w:rsidRPr="007B3638">
        <w:rPr>
          <w:color w:val="000000"/>
          <w:lang w:val="fr-FR"/>
        </w:rPr>
        <w:t xml:space="preserve">Acte </w:t>
      </w:r>
      <w:r w:rsidR="00507C9E" w:rsidRPr="007B3638">
        <w:rPr>
          <w:color w:val="000000"/>
          <w:lang w:val="fr-FR"/>
        </w:rPr>
        <w:t>de</w:t>
      </w:r>
      <w:r w:rsidR="00507C9E">
        <w:rPr>
          <w:color w:val="000000"/>
          <w:lang w:val="fr-FR"/>
        </w:rPr>
        <w:t> </w:t>
      </w:r>
      <w:r w:rsidR="00507C9E" w:rsidRPr="007B3638">
        <w:rPr>
          <w:color w:val="000000"/>
          <w:lang w:val="fr-FR"/>
        </w:rPr>
        <w:t>1999</w:t>
      </w:r>
      <w:r w:rsidRPr="007B3638">
        <w:rPr>
          <w:color w:val="000000"/>
          <w:lang w:val="fr-FR"/>
        </w:rPr>
        <w:t xml:space="preserve"> selon laquelle, conformément à la législation de la Chine, </w:t>
      </w:r>
      <w:r w:rsidR="00507C9E">
        <w:rPr>
          <w:color w:val="000000"/>
          <w:lang w:val="fr-FR"/>
        </w:rPr>
        <w:t>“</w:t>
      </w:r>
      <w:r w:rsidR="00507C9E" w:rsidRPr="007B3638">
        <w:rPr>
          <w:color w:val="000000"/>
          <w:lang w:val="fr-FR"/>
        </w:rPr>
        <w:t>u</w:t>
      </w:r>
      <w:r w:rsidRPr="007B3638">
        <w:rPr>
          <w:color w:val="000000"/>
          <w:lang w:val="fr-FR"/>
        </w:rPr>
        <w:t>ne demande de brevet de dessin ou modèle est limitée à un dessin ou modè</w:t>
      </w:r>
      <w:r w:rsidR="0067619C" w:rsidRPr="007B3638">
        <w:rPr>
          <w:color w:val="000000"/>
          <w:lang w:val="fr-FR"/>
        </w:rPr>
        <w:t>le</w:t>
      </w:r>
      <w:r w:rsidR="0067619C">
        <w:rPr>
          <w:color w:val="000000"/>
          <w:lang w:val="fr-FR"/>
        </w:rPr>
        <w:t xml:space="preserve">.  </w:t>
      </w:r>
      <w:r w:rsidR="0067619C" w:rsidRPr="00F16FF9">
        <w:rPr>
          <w:color w:val="000000"/>
          <w:lang w:val="fr-FR"/>
        </w:rPr>
        <w:t>Pl</w:t>
      </w:r>
      <w:r w:rsidR="00F16FF9" w:rsidRPr="00F16FF9">
        <w:rPr>
          <w:color w:val="000000"/>
          <w:lang w:val="fr-FR"/>
        </w:rPr>
        <w:t>usieurs dessins ou modèles similaires pour le même produit ou plusieurs dessins ou modèles qui sont incorporés dans des produits appartenant à la même classe et sont vendus ou utilisés sous forme d</w:t>
      </w:r>
      <w:r w:rsidR="00507C9E">
        <w:rPr>
          <w:color w:val="000000"/>
          <w:lang w:val="fr-FR"/>
        </w:rPr>
        <w:t>’</w:t>
      </w:r>
      <w:r w:rsidR="00F16FF9" w:rsidRPr="00F16FF9">
        <w:rPr>
          <w:color w:val="000000"/>
          <w:lang w:val="fr-FR"/>
        </w:rPr>
        <w:t>assortiments peuvent faire l</w:t>
      </w:r>
      <w:r w:rsidR="00507C9E">
        <w:rPr>
          <w:color w:val="000000"/>
          <w:lang w:val="fr-FR"/>
        </w:rPr>
        <w:t>’</w:t>
      </w:r>
      <w:r w:rsidR="00F16FF9" w:rsidRPr="00F16FF9">
        <w:rPr>
          <w:color w:val="000000"/>
          <w:lang w:val="fr-FR"/>
        </w:rPr>
        <w:t>objet d</w:t>
      </w:r>
      <w:r w:rsidR="00507C9E">
        <w:rPr>
          <w:color w:val="000000"/>
          <w:lang w:val="fr-FR"/>
        </w:rPr>
        <w:t>’</w:t>
      </w:r>
      <w:r w:rsidR="00F16FF9" w:rsidRPr="00F16FF9">
        <w:rPr>
          <w:color w:val="000000"/>
          <w:lang w:val="fr-FR"/>
        </w:rPr>
        <w:t>une seule et même deman</w:t>
      </w:r>
      <w:r w:rsidR="0067619C" w:rsidRPr="00F16FF9">
        <w:rPr>
          <w:color w:val="000000"/>
          <w:lang w:val="fr-FR"/>
        </w:rPr>
        <w:t>de</w:t>
      </w:r>
      <w:r w:rsidR="0067619C">
        <w:rPr>
          <w:color w:val="000000"/>
          <w:lang w:val="fr-FR"/>
        </w:rPr>
        <w:t xml:space="preserve">.  </w:t>
      </w:r>
      <w:r w:rsidR="0067619C" w:rsidRPr="0021517F">
        <w:rPr>
          <w:color w:val="000000"/>
          <w:lang w:val="fr-FR"/>
        </w:rPr>
        <w:t>Lo</w:t>
      </w:r>
      <w:r w:rsidR="0021517F" w:rsidRPr="0021517F">
        <w:rPr>
          <w:color w:val="000000"/>
          <w:lang w:val="fr-FR"/>
        </w:rPr>
        <w:t>rsque plusieurs dessins ou modèles simi</w:t>
      </w:r>
      <w:r w:rsidR="0067619C">
        <w:rPr>
          <w:color w:val="000000"/>
          <w:lang w:val="fr-FR"/>
        </w:rPr>
        <w:t>laires du même produit sont incl</w:t>
      </w:r>
      <w:r w:rsidR="0021517F" w:rsidRPr="0021517F">
        <w:rPr>
          <w:color w:val="000000"/>
          <w:lang w:val="fr-FR"/>
        </w:rPr>
        <w:t>us dans une seule demande, les autres dessins ou modèles doivent être similaires à celui qui est indiqué comme dessin ou modèle principal et le nombre total de dessins ou modèles ne doit pas être supérieur à 10.  Dans le cas de plusieurs dessins ou modèles incorporés dans des produits appartenant à la même classe et vendus ou utilisés sous forme d</w:t>
      </w:r>
      <w:r w:rsidR="00507C9E">
        <w:rPr>
          <w:color w:val="000000"/>
          <w:lang w:val="fr-FR"/>
        </w:rPr>
        <w:t>’</w:t>
      </w:r>
      <w:r w:rsidR="0021517F" w:rsidRPr="0021517F">
        <w:rPr>
          <w:color w:val="000000"/>
          <w:lang w:val="fr-FR"/>
        </w:rPr>
        <w:t xml:space="preserve">assortiments, tous les produits doivent appartenir à la même classe de la </w:t>
      </w:r>
      <w:r w:rsidR="0021517F" w:rsidRPr="00B275A5">
        <w:rPr>
          <w:lang w:val="fr-FR"/>
        </w:rPr>
        <w:t xml:space="preserve">classification internationale pour les dessins et modèles industriels </w:t>
      </w:r>
      <w:r w:rsidR="0021517F" w:rsidRPr="0021517F">
        <w:rPr>
          <w:color w:val="000000"/>
          <w:lang w:val="fr-FR"/>
        </w:rPr>
        <w:t>et être habituellement vendus ou utilisés en même temps, et les dessins ou modèles incorporés dans chaque produit doivent avoir le même concept de dessin ou modèle.</w:t>
      </w:r>
      <w:r w:rsidR="00B275A5">
        <w:rPr>
          <w:color w:val="000000"/>
          <w:lang w:val="fr-FR"/>
        </w:rPr>
        <w:t>”;</w:t>
      </w:r>
    </w:p>
    <w:p w:rsidR="00AB2DB7" w:rsidRDefault="00F9777F" w:rsidP="0000057D">
      <w:pPr>
        <w:pStyle w:val="ListParagraph"/>
        <w:numPr>
          <w:ilvl w:val="0"/>
          <w:numId w:val="12"/>
        </w:numPr>
        <w:spacing w:after="220"/>
        <w:ind w:left="540" w:firstLine="27"/>
        <w:contextualSpacing w:val="0"/>
        <w:rPr>
          <w:color w:val="000000"/>
          <w:lang w:val="fr-FR"/>
        </w:rPr>
      </w:pPr>
      <w:r w:rsidRPr="00F9777F">
        <w:rPr>
          <w:color w:val="000000"/>
          <w:lang w:val="fr-FR"/>
        </w:rPr>
        <w:lastRenderedPageBreak/>
        <w:t>la déclaration visée à l</w:t>
      </w:r>
      <w:r w:rsidR="00507C9E">
        <w:rPr>
          <w:color w:val="000000"/>
          <w:lang w:val="fr-FR"/>
        </w:rPr>
        <w:t>’</w:t>
      </w:r>
      <w:r w:rsidR="00507C9E" w:rsidRPr="00F9777F">
        <w:rPr>
          <w:color w:val="000000"/>
          <w:lang w:val="fr-FR"/>
        </w:rPr>
        <w:t>article</w:t>
      </w:r>
      <w:r w:rsidR="00507C9E">
        <w:rPr>
          <w:color w:val="000000"/>
          <w:lang w:val="fr-FR"/>
        </w:rPr>
        <w:t> </w:t>
      </w:r>
      <w:r w:rsidR="00507C9E" w:rsidRPr="00F9777F">
        <w:rPr>
          <w:color w:val="000000"/>
          <w:lang w:val="fr-FR"/>
        </w:rPr>
        <w:t>1</w:t>
      </w:r>
      <w:r w:rsidRPr="00F9777F">
        <w:rPr>
          <w:color w:val="000000"/>
          <w:lang w:val="fr-FR"/>
        </w:rPr>
        <w:t>6.2) de l</w:t>
      </w:r>
      <w:r w:rsidR="00507C9E">
        <w:rPr>
          <w:color w:val="000000"/>
          <w:lang w:val="fr-FR"/>
        </w:rPr>
        <w:t>’</w:t>
      </w:r>
      <w:r w:rsidRPr="00F9777F">
        <w:rPr>
          <w:color w:val="000000"/>
          <w:lang w:val="fr-FR"/>
        </w:rPr>
        <w:t xml:space="preserve">Acte </w:t>
      </w:r>
      <w:r w:rsidR="00507C9E" w:rsidRPr="00F9777F">
        <w:rPr>
          <w:color w:val="000000"/>
          <w:lang w:val="fr-FR"/>
        </w:rPr>
        <w:t>de</w:t>
      </w:r>
      <w:r w:rsidR="00507C9E">
        <w:rPr>
          <w:color w:val="000000"/>
          <w:lang w:val="fr-FR"/>
        </w:rPr>
        <w:t> </w:t>
      </w:r>
      <w:r w:rsidR="00507C9E" w:rsidRPr="00F9777F">
        <w:rPr>
          <w:color w:val="000000"/>
          <w:lang w:val="fr-FR"/>
        </w:rPr>
        <w:t>1999</w:t>
      </w:r>
      <w:r w:rsidRPr="00F9777F">
        <w:rPr>
          <w:color w:val="000000"/>
          <w:lang w:val="fr-FR"/>
        </w:rPr>
        <w:t>, selon laquelle l</w:t>
      </w:r>
      <w:r w:rsidR="00507C9E">
        <w:rPr>
          <w:color w:val="000000"/>
          <w:lang w:val="fr-FR"/>
        </w:rPr>
        <w:t>’</w:t>
      </w:r>
      <w:r w:rsidRPr="00F9777F">
        <w:rPr>
          <w:color w:val="000000"/>
          <w:lang w:val="fr-FR"/>
        </w:rPr>
        <w:t>inscription d</w:t>
      </w:r>
      <w:r w:rsidR="00507C9E">
        <w:rPr>
          <w:color w:val="000000"/>
          <w:lang w:val="fr-FR"/>
        </w:rPr>
        <w:t>’</w:t>
      </w:r>
      <w:r w:rsidRPr="00F9777F">
        <w:rPr>
          <w:color w:val="000000"/>
          <w:lang w:val="fr-FR"/>
        </w:rPr>
        <w:t>un changement de titulaire d</w:t>
      </w:r>
      <w:r w:rsidR="00507C9E">
        <w:rPr>
          <w:color w:val="000000"/>
          <w:lang w:val="fr-FR"/>
        </w:rPr>
        <w:t>’</w:t>
      </w:r>
      <w:r w:rsidRPr="00F9777F">
        <w:rPr>
          <w:color w:val="000000"/>
          <w:lang w:val="fr-FR"/>
        </w:rPr>
        <w:t>un enregistrement international dans le registre international ne produit pas d</w:t>
      </w:r>
      <w:r w:rsidR="00507C9E">
        <w:rPr>
          <w:color w:val="000000"/>
          <w:lang w:val="fr-FR"/>
        </w:rPr>
        <w:t>’</w:t>
      </w:r>
      <w:r w:rsidRPr="00F9777F">
        <w:rPr>
          <w:color w:val="000000"/>
          <w:lang w:val="fr-FR"/>
        </w:rPr>
        <w:t>effet en Chine tant que l</w:t>
      </w:r>
      <w:r w:rsidR="00507C9E">
        <w:rPr>
          <w:color w:val="000000"/>
          <w:lang w:val="fr-FR"/>
        </w:rPr>
        <w:t>’</w:t>
      </w:r>
      <w:r w:rsidRPr="00F9777F">
        <w:rPr>
          <w:color w:val="000000"/>
          <w:lang w:val="fr-FR"/>
        </w:rPr>
        <w:t>Administration nationale de la propriété intellectuelle de Chine (CNIPA) n</w:t>
      </w:r>
      <w:r w:rsidR="00507C9E">
        <w:rPr>
          <w:color w:val="000000"/>
          <w:lang w:val="fr-FR"/>
        </w:rPr>
        <w:t>’</w:t>
      </w:r>
      <w:r w:rsidRPr="00F9777F">
        <w:rPr>
          <w:color w:val="000000"/>
          <w:lang w:val="fr-FR"/>
        </w:rPr>
        <w:t xml:space="preserve">a pas reçu les documents certifiés </w:t>
      </w:r>
      <w:r w:rsidR="0047074A">
        <w:rPr>
          <w:color w:val="000000"/>
          <w:lang w:val="fr-FR"/>
        </w:rPr>
        <w:t>relatifs à</w:t>
      </w:r>
      <w:r w:rsidRPr="00F9777F">
        <w:rPr>
          <w:color w:val="000000"/>
          <w:lang w:val="fr-FR"/>
        </w:rPr>
        <w:t xml:space="preserve"> ce changement;</w:t>
      </w:r>
    </w:p>
    <w:p w:rsidR="00507C9E" w:rsidRPr="00B275A5" w:rsidRDefault="00F9777F" w:rsidP="0000057D">
      <w:pPr>
        <w:pStyle w:val="ListParagraph"/>
        <w:numPr>
          <w:ilvl w:val="0"/>
          <w:numId w:val="12"/>
        </w:numPr>
        <w:spacing w:after="220"/>
        <w:ind w:left="540" w:firstLine="27"/>
        <w:contextualSpacing w:val="0"/>
        <w:rPr>
          <w:lang w:val="fr-FR"/>
        </w:rPr>
      </w:pPr>
      <w:r w:rsidRPr="00B275A5">
        <w:rPr>
          <w:lang w:val="fr-FR"/>
        </w:rPr>
        <w:t>la déclaration requise par l</w:t>
      </w:r>
      <w:r w:rsidR="00507C9E" w:rsidRPr="00B275A5">
        <w:rPr>
          <w:lang w:val="fr-FR"/>
        </w:rPr>
        <w:t>’article 1</w:t>
      </w:r>
      <w:r w:rsidRPr="00B275A5">
        <w:rPr>
          <w:lang w:val="fr-FR"/>
        </w:rPr>
        <w:t>7.3)c) de l</w:t>
      </w:r>
      <w:r w:rsidR="00507C9E" w:rsidRPr="00B275A5">
        <w:rPr>
          <w:lang w:val="fr-FR"/>
        </w:rPr>
        <w:t>’</w:t>
      </w:r>
      <w:r w:rsidRPr="00B275A5">
        <w:rPr>
          <w:lang w:val="fr-FR"/>
        </w:rPr>
        <w:t xml:space="preserve">Acte </w:t>
      </w:r>
      <w:r w:rsidR="00507C9E" w:rsidRPr="00B275A5">
        <w:rPr>
          <w:lang w:val="fr-FR"/>
        </w:rPr>
        <w:t>de 1999</w:t>
      </w:r>
      <w:r w:rsidRPr="00B275A5">
        <w:rPr>
          <w:lang w:val="fr-FR"/>
        </w:rPr>
        <w:t>, spécifiant que la durée maximale de protection prévue par la législation de la Chine sur les dessins et modèles est de 15</w:t>
      </w:r>
      <w:r w:rsidR="0067619C" w:rsidRPr="00B275A5">
        <w:rPr>
          <w:lang w:val="fr-FR"/>
        </w:rPr>
        <w:t> </w:t>
      </w:r>
      <w:r w:rsidRPr="00B275A5">
        <w:rPr>
          <w:lang w:val="fr-FR"/>
        </w:rPr>
        <w:t>ans;</w:t>
      </w:r>
    </w:p>
    <w:p w:rsidR="00AB2DB7" w:rsidRPr="00D01CE6" w:rsidRDefault="00005B5D" w:rsidP="00E717A0">
      <w:pPr>
        <w:pStyle w:val="ListParagraph"/>
        <w:numPr>
          <w:ilvl w:val="0"/>
          <w:numId w:val="12"/>
        </w:numPr>
        <w:spacing w:after="220"/>
        <w:ind w:left="540" w:firstLine="27"/>
        <w:contextualSpacing w:val="0"/>
        <w:rPr>
          <w:lang w:val="fr-FR"/>
        </w:rPr>
      </w:pPr>
      <w:r w:rsidRPr="00D01CE6">
        <w:rPr>
          <w:color w:val="000000"/>
          <w:lang w:val="fr-FR"/>
        </w:rPr>
        <w:t xml:space="preserve">la déclaration visée à la </w:t>
      </w:r>
      <w:r w:rsidR="00507C9E" w:rsidRPr="00D01CE6">
        <w:rPr>
          <w:color w:val="000000"/>
          <w:lang w:val="fr-FR"/>
        </w:rPr>
        <w:t>règle 9</w:t>
      </w:r>
      <w:r w:rsidRPr="00D01CE6">
        <w:rPr>
          <w:color w:val="000000"/>
          <w:lang w:val="fr-FR"/>
        </w:rPr>
        <w:t>.3)a) du règlement d</w:t>
      </w:r>
      <w:r w:rsidR="00507C9E" w:rsidRPr="00D01CE6">
        <w:rPr>
          <w:color w:val="000000"/>
          <w:lang w:val="fr-FR"/>
        </w:rPr>
        <w:t>’</w:t>
      </w:r>
      <w:r w:rsidRPr="00D01CE6">
        <w:rPr>
          <w:color w:val="000000"/>
          <w:lang w:val="fr-FR"/>
        </w:rPr>
        <w:t xml:space="preserve">exécution commun, selon laquelle </w:t>
      </w:r>
      <w:r w:rsidR="00507C9E" w:rsidRPr="00D01CE6">
        <w:rPr>
          <w:color w:val="000000"/>
          <w:lang w:val="fr-FR"/>
        </w:rPr>
        <w:t>“p</w:t>
      </w:r>
      <w:r w:rsidRPr="00D01CE6">
        <w:rPr>
          <w:color w:val="000000"/>
          <w:lang w:val="fr-FR"/>
        </w:rPr>
        <w:t>our chaque demande internationale désignant la Chine, en ce qui concerne un produit dont le dessin ou modèle est tridimensionnel, ou les caractéristiques essentielles du dessin ou modèle du produit ne concernant qu</w:t>
      </w:r>
      <w:r w:rsidR="00507C9E" w:rsidRPr="00D01CE6">
        <w:rPr>
          <w:color w:val="000000"/>
          <w:lang w:val="fr-FR"/>
        </w:rPr>
        <w:t>’</w:t>
      </w:r>
      <w:r w:rsidRPr="00D01CE6">
        <w:rPr>
          <w:color w:val="000000"/>
          <w:lang w:val="fr-FR"/>
        </w:rPr>
        <w:t>une interface utilisateur graphique, le déposant doit présenter la ou les vues conformes du produi</w:t>
      </w:r>
      <w:r w:rsidR="00507C9E" w:rsidRPr="00D01CE6">
        <w:rPr>
          <w:color w:val="000000"/>
          <w:lang w:val="fr-FR"/>
        </w:rPr>
        <w:t>t”</w:t>
      </w:r>
      <w:r>
        <w:rPr>
          <w:rStyle w:val="FootnoteReference"/>
          <w:color w:val="000000"/>
          <w:lang w:val="fr-FR"/>
        </w:rPr>
        <w:footnoteReference w:id="2"/>
      </w:r>
      <w:r w:rsidRPr="00D01CE6">
        <w:rPr>
          <w:color w:val="000000"/>
          <w:lang w:val="fr-FR"/>
        </w:rPr>
        <w:t>;</w:t>
      </w:r>
    </w:p>
    <w:p w:rsidR="00507C9E" w:rsidRPr="00B275A5" w:rsidRDefault="00005B5D" w:rsidP="0000057D">
      <w:pPr>
        <w:pStyle w:val="ListParagraph"/>
        <w:numPr>
          <w:ilvl w:val="0"/>
          <w:numId w:val="12"/>
        </w:numPr>
        <w:spacing w:after="220"/>
        <w:ind w:left="540" w:firstLine="27"/>
        <w:contextualSpacing w:val="0"/>
        <w:rPr>
          <w:lang w:val="fr-FR"/>
        </w:rPr>
      </w:pPr>
      <w:r w:rsidRPr="00B275A5">
        <w:rPr>
          <w:lang w:val="fr-FR"/>
        </w:rPr>
        <w:t xml:space="preserve">la déclaration visée à la </w:t>
      </w:r>
      <w:r w:rsidR="00507C9E" w:rsidRPr="00B275A5">
        <w:rPr>
          <w:lang w:val="fr-FR"/>
        </w:rPr>
        <w:t>règle 1</w:t>
      </w:r>
      <w:r w:rsidRPr="00B275A5">
        <w:rPr>
          <w:lang w:val="fr-FR"/>
        </w:rPr>
        <w:t>8.1)b) du règlement d</w:t>
      </w:r>
      <w:r w:rsidR="00507C9E" w:rsidRPr="00B275A5">
        <w:rPr>
          <w:lang w:val="fr-FR"/>
        </w:rPr>
        <w:t>’</w:t>
      </w:r>
      <w:r w:rsidRPr="00B275A5">
        <w:rPr>
          <w:lang w:val="fr-FR"/>
        </w:rPr>
        <w:t>exécution commun, selon laquelle le délai de six</w:t>
      </w:r>
      <w:r w:rsidR="005C06CF" w:rsidRPr="00B275A5">
        <w:rPr>
          <w:lang w:val="fr-FR"/>
        </w:rPr>
        <w:t> </w:t>
      </w:r>
      <w:r w:rsidRPr="00B275A5">
        <w:rPr>
          <w:lang w:val="fr-FR"/>
        </w:rPr>
        <w:t>mois prescrit pour notifier un refus des effets d</w:t>
      </w:r>
      <w:r w:rsidR="00507C9E" w:rsidRPr="00B275A5">
        <w:rPr>
          <w:lang w:val="fr-FR"/>
        </w:rPr>
        <w:t>’</w:t>
      </w:r>
      <w:r w:rsidRPr="00B275A5">
        <w:rPr>
          <w:lang w:val="fr-FR"/>
        </w:rPr>
        <w:t>un enregistrement international est remplacé par un délai de 12</w:t>
      </w:r>
      <w:r w:rsidR="0067619C" w:rsidRPr="00B275A5">
        <w:rPr>
          <w:lang w:val="fr-FR"/>
        </w:rPr>
        <w:t> </w:t>
      </w:r>
      <w:r w:rsidRPr="00B275A5">
        <w:rPr>
          <w:lang w:val="fr-FR"/>
        </w:rPr>
        <w:t>mois;</w:t>
      </w:r>
    </w:p>
    <w:p w:rsidR="00AB2DB7" w:rsidRPr="0067619C" w:rsidRDefault="00005B5D" w:rsidP="00005B5D">
      <w:pPr>
        <w:pStyle w:val="ListParagraph"/>
        <w:numPr>
          <w:ilvl w:val="0"/>
          <w:numId w:val="12"/>
        </w:numPr>
        <w:spacing w:after="220"/>
        <w:ind w:left="540" w:firstLine="27"/>
        <w:contextualSpacing w:val="0"/>
        <w:rPr>
          <w:lang w:val="fr-FR"/>
        </w:rPr>
      </w:pPr>
      <w:r w:rsidRPr="0067619C">
        <w:rPr>
          <w:color w:val="000000"/>
          <w:lang w:val="fr-FR"/>
        </w:rPr>
        <w:t xml:space="preserve">la déclaration visée à la </w:t>
      </w:r>
      <w:r w:rsidR="00507C9E" w:rsidRPr="0067619C">
        <w:rPr>
          <w:color w:val="000000"/>
          <w:lang w:val="fr-FR"/>
        </w:rPr>
        <w:t>règle 1</w:t>
      </w:r>
      <w:r w:rsidRPr="0067619C">
        <w:rPr>
          <w:color w:val="000000"/>
          <w:lang w:val="fr-FR"/>
        </w:rPr>
        <w:t>8.1)c)i) du règlement d</w:t>
      </w:r>
      <w:r w:rsidR="00507C9E" w:rsidRPr="0067619C">
        <w:rPr>
          <w:color w:val="000000"/>
          <w:lang w:val="fr-FR"/>
        </w:rPr>
        <w:t>’</w:t>
      </w:r>
      <w:r w:rsidRPr="0067619C">
        <w:rPr>
          <w:color w:val="000000"/>
          <w:lang w:val="fr-FR"/>
        </w:rPr>
        <w:t>exécution commun, selon laquelle l</w:t>
      </w:r>
      <w:r w:rsidR="00507C9E" w:rsidRPr="0067619C">
        <w:rPr>
          <w:color w:val="000000"/>
          <w:lang w:val="fr-FR"/>
        </w:rPr>
        <w:t>’</w:t>
      </w:r>
      <w:r w:rsidRPr="0067619C">
        <w:rPr>
          <w:color w:val="000000"/>
          <w:lang w:val="fr-FR"/>
        </w:rPr>
        <w:t>enregistrement international produit les effets visés à l</w:t>
      </w:r>
      <w:r w:rsidR="00507C9E" w:rsidRPr="0067619C">
        <w:rPr>
          <w:color w:val="000000"/>
          <w:lang w:val="fr-FR"/>
        </w:rPr>
        <w:t>’article 1</w:t>
      </w:r>
      <w:r w:rsidRPr="0067619C">
        <w:rPr>
          <w:color w:val="000000"/>
          <w:lang w:val="fr-FR"/>
        </w:rPr>
        <w:t>4.2)a) de l</w:t>
      </w:r>
      <w:r w:rsidR="00507C9E" w:rsidRPr="0067619C">
        <w:rPr>
          <w:color w:val="000000"/>
          <w:lang w:val="fr-FR"/>
        </w:rPr>
        <w:t>’</w:t>
      </w:r>
      <w:r w:rsidRPr="0067619C">
        <w:rPr>
          <w:color w:val="000000"/>
          <w:lang w:val="fr-FR"/>
        </w:rPr>
        <w:t xml:space="preserve">Acte </w:t>
      </w:r>
      <w:r w:rsidR="00507C9E" w:rsidRPr="0067619C">
        <w:rPr>
          <w:color w:val="000000"/>
          <w:lang w:val="fr-FR"/>
        </w:rPr>
        <w:t>de 1999</w:t>
      </w:r>
      <w:r w:rsidRPr="0067619C">
        <w:rPr>
          <w:color w:val="000000"/>
          <w:lang w:val="fr-FR"/>
        </w:rPr>
        <w:t xml:space="preserve"> à compter de la date à laquelle la protection est accordée conformément à la législation chinoise, mais dans un délai de six</w:t>
      </w:r>
      <w:r w:rsidR="005C06CF" w:rsidRPr="0067619C">
        <w:rPr>
          <w:color w:val="000000"/>
          <w:lang w:val="fr-FR"/>
        </w:rPr>
        <w:t> </w:t>
      </w:r>
      <w:r w:rsidRPr="0067619C">
        <w:rPr>
          <w:color w:val="000000"/>
          <w:lang w:val="fr-FR"/>
        </w:rPr>
        <w:t>mois à compter de la date d</w:t>
      </w:r>
      <w:r w:rsidR="00507C9E" w:rsidRPr="0067619C">
        <w:rPr>
          <w:color w:val="000000"/>
          <w:lang w:val="fr-FR"/>
        </w:rPr>
        <w:t>’</w:t>
      </w:r>
      <w:r w:rsidRPr="0067619C">
        <w:rPr>
          <w:color w:val="000000"/>
          <w:lang w:val="fr-FR"/>
        </w:rPr>
        <w:t xml:space="preserve">expiration du délai de refus de </w:t>
      </w:r>
      <w:r w:rsidR="005C06CF" w:rsidRPr="0067619C">
        <w:rPr>
          <w:color w:val="000000"/>
          <w:lang w:val="fr-FR"/>
        </w:rPr>
        <w:t>12 </w:t>
      </w:r>
      <w:r w:rsidRPr="0067619C">
        <w:rPr>
          <w:color w:val="000000"/>
          <w:lang w:val="fr-FR"/>
        </w:rPr>
        <w:t>mois;</w:t>
      </w:r>
      <w:r w:rsidR="005C06CF" w:rsidRPr="0067619C">
        <w:rPr>
          <w:color w:val="000000"/>
          <w:lang w:val="fr-FR"/>
        </w:rPr>
        <w:t xml:space="preserve"> </w:t>
      </w:r>
      <w:r w:rsidRPr="0067619C">
        <w:rPr>
          <w:color w:val="000000"/>
          <w:lang w:val="fr-FR"/>
        </w:rPr>
        <w:t xml:space="preserve"> et</w:t>
      </w:r>
    </w:p>
    <w:p w:rsidR="00507C9E" w:rsidRDefault="00005B5D" w:rsidP="00005B5D">
      <w:pPr>
        <w:pStyle w:val="ListParagraph"/>
        <w:numPr>
          <w:ilvl w:val="0"/>
          <w:numId w:val="12"/>
        </w:numPr>
        <w:spacing w:after="220"/>
        <w:ind w:left="540" w:firstLine="0"/>
        <w:contextualSpacing w:val="0"/>
        <w:rPr>
          <w:lang w:val="fr-FR"/>
        </w:rPr>
      </w:pPr>
      <w:r w:rsidRPr="00005B5D">
        <w:rPr>
          <w:color w:val="000000"/>
          <w:lang w:val="fr-FR"/>
        </w:rPr>
        <w:t xml:space="preserve">la déclaration visée à la </w:t>
      </w:r>
      <w:r w:rsidR="00507C9E" w:rsidRPr="00005B5D">
        <w:rPr>
          <w:color w:val="000000"/>
          <w:lang w:val="fr-FR"/>
        </w:rPr>
        <w:t>règle</w:t>
      </w:r>
      <w:r w:rsidR="00507C9E">
        <w:rPr>
          <w:color w:val="000000"/>
          <w:lang w:val="fr-FR"/>
        </w:rPr>
        <w:t> </w:t>
      </w:r>
      <w:r w:rsidR="00507C9E" w:rsidRPr="00005B5D">
        <w:rPr>
          <w:color w:val="000000"/>
          <w:lang w:val="fr-FR"/>
        </w:rPr>
        <w:t>1</w:t>
      </w:r>
      <w:r w:rsidRPr="00005B5D">
        <w:rPr>
          <w:color w:val="000000"/>
          <w:lang w:val="fr-FR"/>
        </w:rPr>
        <w:t>8.1)c)ii) du règlement d</w:t>
      </w:r>
      <w:r w:rsidR="00507C9E">
        <w:rPr>
          <w:color w:val="000000"/>
          <w:lang w:val="fr-FR"/>
        </w:rPr>
        <w:t>’</w:t>
      </w:r>
      <w:r w:rsidRPr="00005B5D">
        <w:rPr>
          <w:color w:val="000000"/>
          <w:lang w:val="fr-FR"/>
        </w:rPr>
        <w:t>exécution commun, selon laquelle l</w:t>
      </w:r>
      <w:r w:rsidR="00507C9E">
        <w:rPr>
          <w:color w:val="000000"/>
          <w:lang w:val="fr-FR"/>
        </w:rPr>
        <w:t>’</w:t>
      </w:r>
      <w:r w:rsidRPr="00005B5D">
        <w:rPr>
          <w:color w:val="000000"/>
          <w:lang w:val="fr-FR"/>
        </w:rPr>
        <w:t>enregistrement international produit les effets visés à l</w:t>
      </w:r>
      <w:r w:rsidR="00507C9E">
        <w:rPr>
          <w:color w:val="000000"/>
          <w:lang w:val="fr-FR"/>
        </w:rPr>
        <w:t>’</w:t>
      </w:r>
      <w:r w:rsidR="00507C9E" w:rsidRPr="00005B5D">
        <w:rPr>
          <w:color w:val="000000"/>
          <w:lang w:val="fr-FR"/>
        </w:rPr>
        <w:t>article</w:t>
      </w:r>
      <w:r w:rsidR="00507C9E">
        <w:rPr>
          <w:color w:val="000000"/>
          <w:lang w:val="fr-FR"/>
        </w:rPr>
        <w:t> </w:t>
      </w:r>
      <w:r w:rsidR="00507C9E" w:rsidRPr="00005B5D">
        <w:rPr>
          <w:color w:val="000000"/>
          <w:lang w:val="fr-FR"/>
        </w:rPr>
        <w:t>1</w:t>
      </w:r>
      <w:r w:rsidRPr="00005B5D">
        <w:rPr>
          <w:color w:val="000000"/>
          <w:lang w:val="fr-FR"/>
        </w:rPr>
        <w:t>4.2)a) de l</w:t>
      </w:r>
      <w:r w:rsidR="00507C9E">
        <w:rPr>
          <w:color w:val="000000"/>
          <w:lang w:val="fr-FR"/>
        </w:rPr>
        <w:t>’</w:t>
      </w:r>
      <w:r w:rsidRPr="00005B5D">
        <w:rPr>
          <w:color w:val="000000"/>
          <w:lang w:val="fr-FR"/>
        </w:rPr>
        <w:t xml:space="preserve">Acte </w:t>
      </w:r>
      <w:r w:rsidR="00507C9E" w:rsidRPr="00005B5D">
        <w:rPr>
          <w:color w:val="000000"/>
          <w:lang w:val="fr-FR"/>
        </w:rPr>
        <w:t>de</w:t>
      </w:r>
      <w:r w:rsidR="00507C9E">
        <w:rPr>
          <w:color w:val="000000"/>
          <w:lang w:val="fr-FR"/>
        </w:rPr>
        <w:t> </w:t>
      </w:r>
      <w:r w:rsidR="00507C9E" w:rsidRPr="00005B5D">
        <w:rPr>
          <w:color w:val="000000"/>
          <w:lang w:val="fr-FR"/>
        </w:rPr>
        <w:t>1999</w:t>
      </w:r>
      <w:r w:rsidRPr="00005B5D">
        <w:rPr>
          <w:color w:val="000000"/>
          <w:lang w:val="fr-FR"/>
        </w:rPr>
        <w:t xml:space="preserve"> en Chine à compter de la date à laquelle la protection est accordée conformément à la législation chinoise, lorsque la communication d</w:t>
      </w:r>
      <w:r w:rsidR="00507C9E">
        <w:rPr>
          <w:color w:val="000000"/>
          <w:lang w:val="fr-FR"/>
        </w:rPr>
        <w:t>’</w:t>
      </w:r>
      <w:r w:rsidRPr="00005B5D">
        <w:rPr>
          <w:color w:val="000000"/>
          <w:lang w:val="fr-FR"/>
        </w:rPr>
        <w:t>une décision relative à l</w:t>
      </w:r>
      <w:r w:rsidR="00507C9E">
        <w:rPr>
          <w:color w:val="000000"/>
          <w:lang w:val="fr-FR"/>
        </w:rPr>
        <w:t>’</w:t>
      </w:r>
      <w:r w:rsidRPr="00005B5D">
        <w:rPr>
          <w:color w:val="000000"/>
          <w:lang w:val="fr-FR"/>
        </w:rPr>
        <w:t xml:space="preserve">octroi de la protection a été involontairement omise dans le délai de refus de </w:t>
      </w:r>
      <w:r w:rsidR="005C06CF">
        <w:rPr>
          <w:color w:val="000000"/>
          <w:lang w:val="fr-FR"/>
        </w:rPr>
        <w:t>12 </w:t>
      </w:r>
      <w:r w:rsidRPr="00005B5D">
        <w:rPr>
          <w:color w:val="000000"/>
          <w:lang w:val="fr-FR"/>
        </w:rPr>
        <w:t>mois.</w:t>
      </w:r>
    </w:p>
    <w:p w:rsidR="00AB2DB7" w:rsidRDefault="000A3BA7" w:rsidP="000A3BA7">
      <w:pPr>
        <w:pStyle w:val="ListParagraph"/>
        <w:numPr>
          <w:ilvl w:val="0"/>
          <w:numId w:val="11"/>
        </w:numPr>
        <w:spacing w:after="220"/>
        <w:ind w:left="0" w:firstLine="0"/>
        <w:contextualSpacing w:val="0"/>
        <w:rPr>
          <w:lang w:val="fr-FR"/>
        </w:rPr>
      </w:pPr>
      <w:r w:rsidRPr="000A3BA7">
        <w:rPr>
          <w:color w:val="000000"/>
          <w:lang w:val="fr-FR"/>
        </w:rPr>
        <w:t xml:space="preserve">En outre, le </w:t>
      </w:r>
      <w:r w:rsidR="005C06CF">
        <w:rPr>
          <w:color w:val="000000"/>
          <w:lang w:val="fr-FR"/>
        </w:rPr>
        <w:t>Gouvernement</w:t>
      </w:r>
      <w:r w:rsidRPr="000A3BA7">
        <w:rPr>
          <w:color w:val="000000"/>
          <w:lang w:val="fr-FR"/>
        </w:rPr>
        <w:t xml:space="preserve"> de la Chine a déclaré que, conformément à la </w:t>
      </w:r>
      <w:r w:rsidRPr="002A1BD1">
        <w:rPr>
          <w:color w:val="000000"/>
          <w:lang w:val="fr-FR"/>
        </w:rPr>
        <w:t>loi fondamentale de la Région administrative spéciale de Hong Kong de la République populaire de Chine</w:t>
      </w:r>
      <w:r w:rsidRPr="00FD6D61">
        <w:rPr>
          <w:color w:val="000000"/>
          <w:lang w:val="fr-FR"/>
        </w:rPr>
        <w:t xml:space="preserve"> et à la </w:t>
      </w:r>
      <w:r w:rsidRPr="002A1BD1">
        <w:rPr>
          <w:color w:val="000000"/>
          <w:lang w:val="fr-FR"/>
        </w:rPr>
        <w:t>loi fondamentale de la Région administrative spéciale de Macao de la</w:t>
      </w:r>
      <w:r w:rsidR="00CD659C" w:rsidRPr="002A1BD1">
        <w:rPr>
          <w:color w:val="000000"/>
          <w:lang w:val="fr-FR"/>
        </w:rPr>
        <w:t> </w:t>
      </w:r>
      <w:r w:rsidRPr="002A1BD1">
        <w:rPr>
          <w:color w:val="000000"/>
          <w:lang w:val="fr-FR"/>
        </w:rPr>
        <w:t>République populaire de Chine</w:t>
      </w:r>
      <w:r w:rsidRPr="000A3BA7">
        <w:rPr>
          <w:color w:val="000000"/>
          <w:lang w:val="fr-FR"/>
        </w:rPr>
        <w:t>, l</w:t>
      </w:r>
      <w:r w:rsidR="00507C9E">
        <w:rPr>
          <w:color w:val="000000"/>
          <w:lang w:val="fr-FR"/>
        </w:rPr>
        <w:t>’</w:t>
      </w:r>
      <w:r w:rsidR="00364C0F" w:rsidRPr="000A3BA7">
        <w:rPr>
          <w:color w:val="000000"/>
          <w:lang w:val="fr-FR"/>
        </w:rPr>
        <w:t>A</w:t>
      </w:r>
      <w:r w:rsidRPr="000A3BA7">
        <w:rPr>
          <w:color w:val="000000"/>
          <w:lang w:val="fr-FR"/>
        </w:rPr>
        <w:t xml:space="preserve">cte </w:t>
      </w:r>
      <w:r w:rsidR="00507C9E" w:rsidRPr="000A3BA7">
        <w:rPr>
          <w:color w:val="000000"/>
          <w:lang w:val="fr-FR"/>
        </w:rPr>
        <w:t>de</w:t>
      </w:r>
      <w:r w:rsidR="00507C9E">
        <w:rPr>
          <w:color w:val="000000"/>
          <w:lang w:val="fr-FR"/>
        </w:rPr>
        <w:t> </w:t>
      </w:r>
      <w:r w:rsidR="00507C9E" w:rsidRPr="000A3BA7">
        <w:rPr>
          <w:color w:val="000000"/>
          <w:lang w:val="fr-FR"/>
        </w:rPr>
        <w:t>1999</w:t>
      </w:r>
      <w:r w:rsidRPr="000A3BA7">
        <w:rPr>
          <w:color w:val="000000"/>
          <w:lang w:val="fr-FR"/>
        </w:rPr>
        <w:t xml:space="preserve"> ne s</w:t>
      </w:r>
      <w:r w:rsidR="00507C9E">
        <w:rPr>
          <w:color w:val="000000"/>
          <w:lang w:val="fr-FR"/>
        </w:rPr>
        <w:t>’</w:t>
      </w:r>
      <w:r w:rsidRPr="000A3BA7">
        <w:rPr>
          <w:color w:val="000000"/>
          <w:lang w:val="fr-FR"/>
        </w:rPr>
        <w:t>applique</w:t>
      </w:r>
      <w:r w:rsidR="00067CA1">
        <w:rPr>
          <w:color w:val="000000"/>
          <w:lang w:val="fr-FR"/>
        </w:rPr>
        <w:t>ra</w:t>
      </w:r>
      <w:r w:rsidRPr="000A3BA7">
        <w:rPr>
          <w:color w:val="000000"/>
          <w:lang w:val="fr-FR"/>
        </w:rPr>
        <w:t xml:space="preserve"> pas à la Région administrative spéciale de Hong Kong (Chine) </w:t>
      </w:r>
      <w:r w:rsidR="00067CA1">
        <w:rPr>
          <w:color w:val="000000"/>
          <w:lang w:val="fr-FR"/>
        </w:rPr>
        <w:t>ni</w:t>
      </w:r>
      <w:r w:rsidR="00067CA1" w:rsidRPr="000A3BA7">
        <w:rPr>
          <w:color w:val="000000"/>
          <w:lang w:val="fr-FR"/>
        </w:rPr>
        <w:t xml:space="preserve"> </w:t>
      </w:r>
      <w:r w:rsidRPr="000A3BA7">
        <w:rPr>
          <w:color w:val="000000"/>
          <w:lang w:val="fr-FR"/>
        </w:rPr>
        <w:t xml:space="preserve">à la Région administrative spéciale de </w:t>
      </w:r>
      <w:bookmarkStart w:id="0" w:name="_GoBack"/>
      <w:bookmarkEnd w:id="0"/>
      <w:r w:rsidRPr="000A3BA7">
        <w:rPr>
          <w:color w:val="000000"/>
          <w:lang w:val="fr-FR"/>
        </w:rPr>
        <w:t xml:space="preserve">Macao (Chine), sauf notification contraire du Gouvernement </w:t>
      </w:r>
      <w:r w:rsidR="00D01CE6">
        <w:rPr>
          <w:color w:val="000000"/>
          <w:lang w:val="fr-FR"/>
        </w:rPr>
        <w:t>de la Chine</w:t>
      </w:r>
      <w:r w:rsidRPr="000A3BA7">
        <w:rPr>
          <w:color w:val="000000"/>
          <w:lang w:val="fr-FR"/>
        </w:rPr>
        <w:t>.</w:t>
      </w:r>
    </w:p>
    <w:p w:rsidR="00AB2DB7" w:rsidRPr="00364C0F" w:rsidRDefault="000A3BA7" w:rsidP="000A3BA7">
      <w:pPr>
        <w:pStyle w:val="ListParagraph"/>
        <w:numPr>
          <w:ilvl w:val="0"/>
          <w:numId w:val="11"/>
        </w:numPr>
        <w:spacing w:after="220"/>
        <w:ind w:left="0" w:firstLine="0"/>
        <w:contextualSpacing w:val="0"/>
        <w:rPr>
          <w:lang w:val="fr-FR"/>
        </w:rPr>
      </w:pPr>
      <w:r w:rsidRPr="00364C0F">
        <w:rPr>
          <w:lang w:val="fr-FR"/>
        </w:rPr>
        <w:t>Conformément à l</w:t>
      </w:r>
      <w:r w:rsidR="00507C9E" w:rsidRPr="00364C0F">
        <w:rPr>
          <w:lang w:val="fr-FR"/>
        </w:rPr>
        <w:t>’article 2</w:t>
      </w:r>
      <w:r w:rsidRPr="00364C0F">
        <w:rPr>
          <w:lang w:val="fr-FR"/>
        </w:rPr>
        <w:t>8.3)b) de l</w:t>
      </w:r>
      <w:r w:rsidR="00507C9E" w:rsidRPr="00364C0F">
        <w:rPr>
          <w:lang w:val="fr-FR"/>
        </w:rPr>
        <w:t>’</w:t>
      </w:r>
      <w:r w:rsidRPr="00364C0F">
        <w:rPr>
          <w:lang w:val="fr-FR"/>
        </w:rPr>
        <w:t xml:space="preserve">Acte </w:t>
      </w:r>
      <w:r w:rsidR="00507C9E" w:rsidRPr="00364C0F">
        <w:rPr>
          <w:lang w:val="fr-FR"/>
        </w:rPr>
        <w:t>de 1999</w:t>
      </w:r>
      <w:r w:rsidRPr="00364C0F">
        <w:rPr>
          <w:lang w:val="fr-FR"/>
        </w:rPr>
        <w:t>, l</w:t>
      </w:r>
      <w:r w:rsidR="00507C9E" w:rsidRPr="00364C0F">
        <w:rPr>
          <w:lang w:val="fr-FR"/>
        </w:rPr>
        <w:t>’</w:t>
      </w:r>
      <w:r w:rsidRPr="00364C0F">
        <w:rPr>
          <w:lang w:val="fr-FR"/>
        </w:rPr>
        <w:t xml:space="preserve">Acte </w:t>
      </w:r>
      <w:r w:rsidR="00507C9E" w:rsidRPr="00364C0F">
        <w:rPr>
          <w:lang w:val="fr-FR"/>
        </w:rPr>
        <w:t>de 1999</w:t>
      </w:r>
      <w:r w:rsidRPr="00364C0F">
        <w:rPr>
          <w:lang w:val="fr-FR"/>
        </w:rPr>
        <w:t xml:space="preserve"> et les déclarations faites entreront en vigueur </w:t>
      </w:r>
      <w:r w:rsidR="00507C9E" w:rsidRPr="00364C0F">
        <w:rPr>
          <w:lang w:val="fr-FR"/>
        </w:rPr>
        <w:t>à l’égard</w:t>
      </w:r>
      <w:r w:rsidRPr="00364C0F">
        <w:rPr>
          <w:lang w:val="fr-FR"/>
        </w:rPr>
        <w:t xml:space="preserve"> de la Chine le </w:t>
      </w:r>
      <w:r w:rsidR="00507C9E" w:rsidRPr="00364C0F">
        <w:rPr>
          <w:lang w:val="fr-FR"/>
        </w:rPr>
        <w:t>5 mai 20</w:t>
      </w:r>
      <w:r w:rsidRPr="00364C0F">
        <w:rPr>
          <w:lang w:val="fr-FR"/>
        </w:rPr>
        <w:t>22.</w:t>
      </w:r>
    </w:p>
    <w:p w:rsidR="00AB2DB7" w:rsidRDefault="000A3BA7" w:rsidP="000A3BA7">
      <w:pPr>
        <w:pStyle w:val="ListParagraph"/>
        <w:numPr>
          <w:ilvl w:val="0"/>
          <w:numId w:val="11"/>
        </w:numPr>
        <w:spacing w:after="220"/>
        <w:ind w:left="0" w:firstLine="0"/>
        <w:contextualSpacing w:val="0"/>
        <w:rPr>
          <w:lang w:val="fr-FR"/>
        </w:rPr>
      </w:pPr>
      <w:r w:rsidRPr="00364C0F">
        <w:rPr>
          <w:lang w:val="fr-FR"/>
        </w:rPr>
        <w:t>L</w:t>
      </w:r>
      <w:r w:rsidR="00507C9E" w:rsidRPr="00364C0F">
        <w:rPr>
          <w:lang w:val="fr-FR"/>
        </w:rPr>
        <w:t>’</w:t>
      </w:r>
      <w:r w:rsidRPr="00364C0F">
        <w:rPr>
          <w:lang w:val="fr-FR"/>
        </w:rPr>
        <w:t>adhésion de la Chine à l</w:t>
      </w:r>
      <w:r w:rsidR="00507C9E" w:rsidRPr="00364C0F">
        <w:rPr>
          <w:lang w:val="fr-FR"/>
        </w:rPr>
        <w:t>’</w:t>
      </w:r>
      <w:r w:rsidRPr="00364C0F">
        <w:rPr>
          <w:lang w:val="fr-FR"/>
        </w:rPr>
        <w:t xml:space="preserve">Acte de 1999 porte à 68 le nombre de parties contractantes à cet acte et </w:t>
      </w:r>
      <w:r w:rsidR="00364C0F" w:rsidRPr="00364C0F">
        <w:rPr>
          <w:lang w:val="fr-FR"/>
        </w:rPr>
        <w:t xml:space="preserve">à 77 </w:t>
      </w:r>
      <w:r w:rsidRPr="00364C0F">
        <w:rPr>
          <w:lang w:val="fr-FR"/>
        </w:rPr>
        <w:t>le nombre total de parties contractantes à l</w:t>
      </w:r>
      <w:r w:rsidR="00507C9E" w:rsidRPr="00364C0F">
        <w:rPr>
          <w:lang w:val="fr-FR"/>
        </w:rPr>
        <w:t>’</w:t>
      </w:r>
      <w:r w:rsidRPr="00364C0F">
        <w:rPr>
          <w:lang w:val="fr-FR"/>
        </w:rPr>
        <w:t xml:space="preserve">Arrangement de </w:t>
      </w:r>
      <w:r w:rsidR="00507C9E" w:rsidRPr="00364C0F">
        <w:rPr>
          <w:lang w:val="fr-FR"/>
        </w:rPr>
        <w:t>La Haye</w:t>
      </w:r>
      <w:r w:rsidRPr="00364C0F">
        <w:rPr>
          <w:lang w:val="fr-FR"/>
        </w:rPr>
        <w:t xml:space="preserve">.  Une </w:t>
      </w:r>
      <w:r w:rsidRPr="00364C0F">
        <w:rPr>
          <w:rFonts w:eastAsia="SimSun"/>
          <w:lang w:val="fr-FR" w:eastAsia="zh-CN"/>
        </w:rPr>
        <w:t>liste des parties contractantes à l</w:t>
      </w:r>
      <w:r w:rsidR="00507C9E" w:rsidRPr="00364C0F">
        <w:rPr>
          <w:rFonts w:eastAsia="SimSun"/>
          <w:lang w:val="fr-FR" w:eastAsia="zh-CN"/>
        </w:rPr>
        <w:t>’</w:t>
      </w:r>
      <w:r w:rsidRPr="00364C0F">
        <w:rPr>
          <w:rFonts w:eastAsia="SimSun"/>
          <w:lang w:val="fr-FR" w:eastAsia="zh-CN"/>
        </w:rPr>
        <w:t xml:space="preserve">Arrangement de </w:t>
      </w:r>
      <w:r w:rsidR="00507C9E" w:rsidRPr="00364C0F">
        <w:rPr>
          <w:rFonts w:eastAsia="SimSun"/>
          <w:lang w:val="fr-FR" w:eastAsia="zh-CN"/>
        </w:rPr>
        <w:t>La Haye</w:t>
      </w:r>
      <w:r w:rsidRPr="00364C0F">
        <w:rPr>
          <w:lang w:val="fr-FR"/>
        </w:rPr>
        <w:t xml:space="preserve"> est disponible sur le site Web, à l</w:t>
      </w:r>
      <w:r w:rsidR="00507C9E" w:rsidRPr="00364C0F">
        <w:rPr>
          <w:lang w:val="fr-FR"/>
        </w:rPr>
        <w:t>’</w:t>
      </w:r>
      <w:r w:rsidRPr="00364C0F">
        <w:rPr>
          <w:lang w:val="fr-FR"/>
        </w:rPr>
        <w:t>adresse</w:t>
      </w:r>
      <w:r w:rsidR="00631DD4">
        <w:rPr>
          <w:lang w:val="fr-FR"/>
        </w:rPr>
        <w:t xml:space="preserve"> </w:t>
      </w:r>
      <w:hyperlink r:id="rId10" w:history="1">
        <w:r w:rsidRPr="00555CC8">
          <w:rPr>
            <w:rStyle w:val="Hyperlink"/>
            <w:rFonts w:eastAsia="SimSun"/>
            <w:lang w:val="fr-CH" w:eastAsia="zh-CN"/>
          </w:rPr>
          <w:t>https://www.wipo.int/export/sites/www/treaties/fr/documents/pdf/hague.pdf</w:t>
        </w:r>
      </w:hyperlink>
      <w:r w:rsidRPr="000A3BA7">
        <w:rPr>
          <w:color w:val="008000"/>
          <w:lang w:val="fr-FR"/>
        </w:rPr>
        <w:t>.</w:t>
      </w:r>
    </w:p>
    <w:p w:rsidR="00E25414" w:rsidRPr="007161E8" w:rsidRDefault="0000057D" w:rsidP="00096EA4">
      <w:pPr>
        <w:pStyle w:val="ONUME"/>
        <w:numPr>
          <w:ilvl w:val="0"/>
          <w:numId w:val="0"/>
        </w:numPr>
        <w:spacing w:before="480" w:after="0"/>
        <w:ind w:left="5534"/>
      </w:pPr>
      <w:r w:rsidRPr="002A1BD1">
        <w:rPr>
          <w:lang w:eastAsia="ja-JP"/>
        </w:rPr>
        <w:t xml:space="preserve">Le </w:t>
      </w:r>
      <w:r w:rsidR="002A1BD1" w:rsidRPr="002A1BD1">
        <w:rPr>
          <w:lang w:eastAsia="ja-JP"/>
        </w:rPr>
        <w:t>4 avril</w:t>
      </w:r>
      <w:r w:rsidR="006F18C8" w:rsidRPr="007161E8">
        <w:rPr>
          <w:lang w:eastAsia="ja-JP"/>
        </w:rPr>
        <w:t> </w:t>
      </w:r>
      <w:r w:rsidR="00AD1B68" w:rsidRPr="007161E8">
        <w:rPr>
          <w:lang w:eastAsia="ja-JP"/>
        </w:rPr>
        <w:t>20</w:t>
      </w:r>
      <w:r w:rsidR="00096EA4">
        <w:rPr>
          <w:lang w:eastAsia="ja-JP"/>
        </w:rPr>
        <w:t>2</w:t>
      </w:r>
      <w:r w:rsidR="000A3BA7">
        <w:rPr>
          <w:lang w:eastAsia="ja-JP"/>
        </w:rPr>
        <w:t>2</w:t>
      </w:r>
    </w:p>
    <w:sectPr w:rsidR="00E25414" w:rsidRPr="007161E8" w:rsidSect="00D01CE6">
      <w:headerReference w:type="even" r:id="rId11"/>
      <w:headerReference w:type="default" r:id="rId12"/>
      <w:footnotePr>
        <w:numFmt w:val="chicago"/>
      </w:footnotePr>
      <w:type w:val="continuous"/>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C0F" w:rsidRDefault="007B1C0F">
      <w:r>
        <w:separator/>
      </w:r>
    </w:p>
  </w:endnote>
  <w:endnote w:type="continuationSeparator" w:id="0">
    <w:p w:rsidR="007B1C0F" w:rsidRDefault="007B1C0F" w:rsidP="00A326CA">
      <w:r>
        <w:separator/>
      </w:r>
    </w:p>
    <w:p w:rsidR="007B1C0F" w:rsidRPr="00A326CA" w:rsidRDefault="007B1C0F" w:rsidP="00A326CA">
      <w:r>
        <w:rPr>
          <w:sz w:val="17"/>
        </w:rPr>
        <w:t>[Endnote continued from previous page]</w:t>
      </w:r>
    </w:p>
  </w:endnote>
  <w:endnote w:type="continuationNotice" w:id="1">
    <w:p w:rsidR="007B1C0F" w:rsidRPr="00A326CA" w:rsidRDefault="007B1C0F"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C0F" w:rsidRDefault="007B1C0F">
      <w:r>
        <w:separator/>
      </w:r>
    </w:p>
  </w:footnote>
  <w:footnote w:type="continuationSeparator" w:id="0">
    <w:p w:rsidR="007B1C0F" w:rsidRDefault="007B1C0F" w:rsidP="00A326CA">
      <w:r>
        <w:separator/>
      </w:r>
    </w:p>
    <w:p w:rsidR="007B1C0F" w:rsidRPr="00A326CA" w:rsidRDefault="007B1C0F" w:rsidP="00A326CA">
      <w:pPr>
        <w:spacing w:after="60"/>
        <w:rPr>
          <w:sz w:val="17"/>
          <w:szCs w:val="17"/>
        </w:rPr>
      </w:pPr>
      <w:r w:rsidRPr="00ED77FB">
        <w:rPr>
          <w:sz w:val="17"/>
          <w:szCs w:val="17"/>
        </w:rPr>
        <w:t>[Footnot</w:t>
      </w:r>
      <w:r>
        <w:rPr>
          <w:sz w:val="17"/>
          <w:szCs w:val="17"/>
        </w:rPr>
        <w:t>e continued from previous page]</w:t>
      </w:r>
    </w:p>
  </w:footnote>
  <w:footnote w:type="continuationNotice" w:id="1">
    <w:p w:rsidR="007B1C0F" w:rsidRPr="00A326CA" w:rsidRDefault="007B1C0F" w:rsidP="00A326CA">
      <w:pPr>
        <w:spacing w:before="60"/>
        <w:jc w:val="right"/>
        <w:rPr>
          <w:sz w:val="17"/>
          <w:szCs w:val="17"/>
        </w:rPr>
      </w:pPr>
      <w:r w:rsidRPr="000C7343">
        <w:rPr>
          <w:sz w:val="17"/>
          <w:szCs w:val="17"/>
        </w:rPr>
        <w:t>[F</w:t>
      </w:r>
      <w:r>
        <w:rPr>
          <w:sz w:val="17"/>
          <w:szCs w:val="17"/>
        </w:rPr>
        <w:t>ootnote continued on next page]</w:t>
      </w:r>
    </w:p>
  </w:footnote>
  <w:footnote w:id="2">
    <w:p w:rsidR="00005B5D" w:rsidRPr="00005B5D" w:rsidRDefault="00005B5D" w:rsidP="00005B5D">
      <w:pPr>
        <w:pStyle w:val="FootnoteText"/>
        <w:rPr>
          <w:lang w:val="fr-CH"/>
        </w:rPr>
      </w:pPr>
      <w:r>
        <w:rPr>
          <w:rStyle w:val="FootnoteReference"/>
        </w:rPr>
        <w:footnoteRef/>
      </w:r>
      <w:r w:rsidRPr="00555CC8">
        <w:rPr>
          <w:lang w:val="fr-CH"/>
        </w:rPr>
        <w:t xml:space="preserve"> </w:t>
      </w:r>
      <w:r>
        <w:rPr>
          <w:lang w:val="fr-CH"/>
        </w:rPr>
        <w:tab/>
      </w:r>
      <w:r w:rsidRPr="00005B5D">
        <w:rPr>
          <w:color w:val="000000"/>
          <w:lang w:val="fr-CH"/>
        </w:rPr>
        <w:t xml:space="preserve">Des informations précises sur les </w:t>
      </w:r>
      <w:r w:rsidR="005C6D19">
        <w:rPr>
          <w:color w:val="000000"/>
          <w:lang w:val="fr-CH"/>
        </w:rPr>
        <w:t>“</w:t>
      </w:r>
      <w:r w:rsidR="005C6D19" w:rsidRPr="00005B5D">
        <w:rPr>
          <w:color w:val="000000"/>
          <w:lang w:val="fr-CH"/>
        </w:rPr>
        <w:t>v</w:t>
      </w:r>
      <w:r w:rsidRPr="00005B5D">
        <w:rPr>
          <w:color w:val="000000"/>
          <w:lang w:val="fr-CH"/>
        </w:rPr>
        <w:t>ues conforme</w:t>
      </w:r>
      <w:r w:rsidR="005C6D19" w:rsidRPr="00005B5D">
        <w:rPr>
          <w:color w:val="000000"/>
          <w:lang w:val="fr-CH"/>
        </w:rPr>
        <w:t>s</w:t>
      </w:r>
      <w:r w:rsidR="005C6D19">
        <w:rPr>
          <w:color w:val="000000"/>
          <w:lang w:val="fr-CH"/>
        </w:rPr>
        <w:t>”</w:t>
      </w:r>
      <w:r w:rsidRPr="00005B5D">
        <w:rPr>
          <w:color w:val="000000"/>
          <w:lang w:val="fr-CH"/>
        </w:rPr>
        <w:t xml:space="preserve"> auxquelles il est fait référence dans cette déclaration seront disponibles en temps utile.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EA4" w:rsidRPr="00DD4C78" w:rsidRDefault="0000057D" w:rsidP="0000057D">
    <w:pPr>
      <w:pStyle w:val="Header"/>
      <w:spacing w:after="480"/>
      <w:jc w:val="right"/>
      <w:rPr>
        <w:lang w:val="fr-CH"/>
      </w:rPr>
    </w:pPr>
    <w:r>
      <w:rPr>
        <w:lang w:val="fr-CH"/>
      </w:rPr>
      <w:t>p</w:t>
    </w:r>
    <w:r w:rsidR="00096EA4">
      <w:rPr>
        <w:lang w:val="fr-CH"/>
      </w:rPr>
      <w:t>age</w:t>
    </w:r>
    <w:r>
      <w:rPr>
        <w:lang w:val="fr-CH"/>
      </w:rPr>
      <w:t> </w:t>
    </w:r>
    <w:r w:rsidR="00096EA4">
      <w:rPr>
        <w:rStyle w:val="PageNumber"/>
      </w:rPr>
      <w:fldChar w:fldCharType="begin"/>
    </w:r>
    <w:r w:rsidR="00096EA4">
      <w:rPr>
        <w:rStyle w:val="PageNumber"/>
      </w:rPr>
      <w:instrText xml:space="preserve"> PAGE </w:instrText>
    </w:r>
    <w:r w:rsidR="00096EA4">
      <w:rPr>
        <w:rStyle w:val="PageNumber"/>
      </w:rPr>
      <w:fldChar w:fldCharType="separate"/>
    </w:r>
    <w:r w:rsidR="002A1BD1">
      <w:rPr>
        <w:rStyle w:val="PageNumber"/>
        <w:noProof/>
      </w:rPr>
      <w:t>2</w:t>
    </w:r>
    <w:r w:rsidR="00096EA4">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9A3" w:rsidRDefault="007B1C0F" w:rsidP="00DD4C78">
    <w:pPr>
      <w:pStyle w:val="Header"/>
      <w:jc w:val="right"/>
      <w:rPr>
        <w:lang w:val="fr-CH"/>
      </w:rPr>
    </w:pPr>
    <w:r>
      <w:rPr>
        <w:noProof/>
        <w:lang w:eastAsia="en-US"/>
      </w:rPr>
      <mc:AlternateContent>
        <mc:Choice Requires="wps">
          <w:drawing>
            <wp:anchor distT="558800" distB="0" distL="114300" distR="114300" simplePos="0" relativeHeight="251658752" behindDoc="0" locked="0" layoutInCell="0" allowOverlap="1">
              <wp:simplePos x="0" y="0"/>
              <wp:positionH relativeFrom="page">
                <wp:posOffset>0</wp:posOffset>
              </wp:positionH>
              <wp:positionV relativeFrom="page">
                <wp:posOffset>558800</wp:posOffset>
              </wp:positionV>
              <wp:extent cx="7620000" cy="317500"/>
              <wp:effectExtent l="0" t="0" r="0" b="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EA4" w:rsidRDefault="00096EA4" w:rsidP="00096EA4">
                          <w:pPr>
                            <w:jc w:val="center"/>
                          </w:pPr>
                          <w:r w:rsidRPr="00096EA4">
                            <w:rPr>
                              <w:color w:val="000000"/>
                              <w:sz w:val="17"/>
                            </w:rPr>
                            <w:t>WIPO 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58752;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" o:allowincell="f" filled="f" stroked="f">
              <v:textbox>
                <w:txbxContent>
                  <w:p w:rsidR="00096EA4" w:rsidRDefault="00096EA4" w:rsidP="00096EA4">
                    <w:pPr>
                      <w:jc w:val="center"/>
                    </w:pPr>
                    <w:r w:rsidRPr="00096EA4">
                      <w:rPr>
                        <w:color w:val="000000"/>
                        <w:sz w:val="17"/>
                      </w:rPr>
                      <w:t>WIPO FOR OFFICIAL USE ONLY</w:t>
                    </w:r>
                  </w:p>
                </w:txbxContent>
              </v:textbox>
              <w10:wrap anchorx="page" anchory="page"/>
            </v:shape>
          </w:pict>
        </mc:Fallback>
      </mc:AlternateContent>
    </w:r>
    <w:r>
      <w:rPr>
        <w:noProof/>
        <w:lang w:eastAsia="en-US"/>
      </w:rPr>
      <mc:AlternateContent>
        <mc:Choice Requires="wps">
          <w:drawing>
            <wp:anchor distT="558800" distB="0" distL="114300" distR="114300" simplePos="0" relativeHeight="251657728" behindDoc="0" locked="0" layoutInCell="0" allowOverlap="1">
              <wp:simplePos x="0" y="0"/>
              <wp:positionH relativeFrom="page">
                <wp:posOffset>0</wp:posOffset>
              </wp:positionH>
              <wp:positionV relativeFrom="page">
                <wp:posOffset>558800</wp:posOffset>
              </wp:positionV>
              <wp:extent cx="7620000" cy="317500"/>
              <wp:effectExtent l="0" t="0" r="0" b="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EA4" w:rsidRDefault="00096EA4" w:rsidP="00096EA4">
                          <w:pPr>
                            <w:jc w:val="center"/>
                          </w:pPr>
                          <w:r w:rsidRPr="00096EA4">
                            <w:rPr>
                              <w:color w:val="000000"/>
                              <w:sz w:val="17"/>
                            </w:rPr>
                            <w:t>WIPO 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ITUSO1footer" o:spid="_x0000_s1027" type="#_x0000_t202" style="position:absolute;left:0;text-align:left;margin-left:0;margin-top:44pt;width:600pt;height:25pt;z-index:251657728;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" o:allowincell="f" filled="f" stroked="f">
              <v:textbox>
                <w:txbxContent>
                  <w:p w:rsidR="00096EA4" w:rsidRDefault="00096EA4" w:rsidP="00096EA4">
                    <w:pPr>
                      <w:jc w:val="center"/>
                    </w:pPr>
                    <w:r w:rsidRPr="00096EA4">
                      <w:rPr>
                        <w:color w:val="000000"/>
                        <w:sz w:val="17"/>
                      </w:rPr>
                      <w:t>WIPO FOR OFFICIAL USE ONLY</w:t>
                    </w:r>
                  </w:p>
                </w:txbxContent>
              </v:textbox>
              <w10:wrap anchorx="page" anchory="page"/>
            </v:shape>
          </w:pict>
        </mc:Fallback>
      </mc:AlternateContent>
    </w:r>
    <w:r>
      <w:rPr>
        <w:noProof/>
        <w:lang w:eastAsia="en-US"/>
      </w:rPr>
      <mc:AlternateContent>
        <mc:Choice Requires="wps">
          <w:drawing>
            <wp:anchor distT="558800" distB="0" distL="114300" distR="114300" simplePos="0" relativeHeight="251656704" behindDoc="0" locked="0" layoutInCell="0" allowOverlap="1">
              <wp:simplePos x="0" y="0"/>
              <wp:positionH relativeFrom="page">
                <wp:posOffset>0</wp:posOffset>
              </wp:positionH>
              <wp:positionV relativeFrom="page">
                <wp:posOffset>558800</wp:posOffset>
              </wp:positionV>
              <wp:extent cx="7620000" cy="317500"/>
              <wp:effectExtent l="0" t="0" r="0" b="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EA4" w:rsidRDefault="00096EA4" w:rsidP="00096EA4">
                          <w:pPr>
                            <w:jc w:val="center"/>
                          </w:pPr>
                          <w:r w:rsidRPr="00096EA4">
                            <w:rPr>
                              <w:color w:val="000000"/>
                              <w:sz w:val="17"/>
                            </w:rPr>
                            <w:t>WIPO 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ITUSF1footer" o:spid="_x0000_s1028" type="#_x0000_t202" style="position:absolute;left:0;text-align:left;margin-left:0;margin-top:44pt;width:600pt;height:25pt;z-index:251656704;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" o:allowincell="f" filled="f" stroked="f">
              <v:textbox>
                <w:txbxContent>
                  <w:p w:rsidR="00096EA4" w:rsidRDefault="00096EA4" w:rsidP="00096EA4">
                    <w:pPr>
                      <w:jc w:val="center"/>
                    </w:pPr>
                    <w:r w:rsidRPr="00096EA4">
                      <w:rPr>
                        <w:color w:val="000000"/>
                        <w:sz w:val="17"/>
                      </w:rPr>
                      <w:t>WIPO FOR OFFICIAL USE ONLY</w:t>
                    </w:r>
                  </w:p>
                </w:txbxContent>
              </v:textbox>
              <w10:wrap anchorx="page" anchory="page"/>
            </v:shape>
          </w:pict>
        </mc:Fallback>
      </mc:AlternateContent>
    </w:r>
  </w:p>
  <w:p w:rsidR="004921F7" w:rsidRDefault="004921F7" w:rsidP="00DD4C78">
    <w:pPr>
      <w:pStyle w:val="Header"/>
      <w:jc w:val="right"/>
      <w:rPr>
        <w:lang w:val="fr-CH"/>
      </w:rPr>
    </w:pPr>
    <w:r>
      <w:rPr>
        <w:lang w:val="fr-CH"/>
      </w:rPr>
      <w:t>page</w:t>
    </w:r>
    <w:r w:rsidR="0067619C">
      <w:rPr>
        <w:lang w:val="fr-CH"/>
      </w:rPr>
      <w:t> </w:t>
    </w:r>
    <w:r>
      <w:rPr>
        <w:rStyle w:val="PageNumber"/>
      </w:rPr>
      <w:fldChar w:fldCharType="begin"/>
    </w:r>
    <w:r>
      <w:rPr>
        <w:rStyle w:val="PageNumber"/>
      </w:rPr>
      <w:instrText xml:space="preserve"> PAGE </w:instrText>
    </w:r>
    <w:r>
      <w:rPr>
        <w:rStyle w:val="PageNumber"/>
      </w:rPr>
      <w:fldChar w:fldCharType="separate"/>
    </w:r>
    <w:r w:rsidR="0000057D">
      <w:rPr>
        <w:rStyle w:val="PageNumber"/>
        <w:noProof/>
      </w:rPr>
      <w:t>3</w:t>
    </w:r>
    <w:r>
      <w:rPr>
        <w:rStyle w:val="PageNumber"/>
      </w:rPr>
      <w:fldChar w:fldCharType="end"/>
    </w:r>
  </w:p>
  <w:p w:rsidR="004921F7" w:rsidRPr="00DD4C78" w:rsidRDefault="004921F7" w:rsidP="00DD4C78">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241F36"/>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77425BA"/>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B06CEB"/>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D424F6"/>
    <w:multiLevelType w:val="hybridMultilevel"/>
    <w:tmpl w:val="A82E8E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405529"/>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123639"/>
    <w:multiLevelType w:val="hybridMultilevel"/>
    <w:tmpl w:val="C7CC81E8"/>
    <w:lvl w:ilvl="0" w:tplc="252453BC">
      <w:start w:val="1"/>
      <w:numFmt w:val="lowerLetter"/>
      <w:lvlText w:val="(%1)"/>
      <w:lvlJc w:val="left"/>
      <w:pPr>
        <w:tabs>
          <w:tab w:val="num" w:pos="930"/>
        </w:tabs>
        <w:ind w:left="930" w:hanging="360"/>
      </w:pPr>
      <w:rPr>
        <w:rFonts w:hint="eastAsia"/>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4763C4F"/>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7742695D"/>
    <w:multiLevelType w:val="hybridMultilevel"/>
    <w:tmpl w:val="3BEE9158"/>
    <w:lvl w:ilvl="0" w:tplc="E7009DB4">
      <w:numFmt w:val="bullet"/>
      <w:lvlText w:val=""/>
      <w:lvlJc w:val="left"/>
      <w:pPr>
        <w:ind w:left="927" w:hanging="360"/>
      </w:pPr>
      <w:rPr>
        <w:rFonts w:ascii="Symbol" w:eastAsia="SimSun" w:hAnsi="Symbol" w:hint="default"/>
      </w:rPr>
    </w:lvl>
    <w:lvl w:ilvl="1" w:tplc="100C0003">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num w:numId="1">
    <w:abstractNumId w:val="3"/>
  </w:num>
  <w:num w:numId="2">
    <w:abstractNumId w:val="7"/>
  </w:num>
  <w:num w:numId="3">
    <w:abstractNumId w:val="0"/>
  </w:num>
  <w:num w:numId="4">
    <w:abstractNumId w:val="9"/>
  </w:num>
  <w:num w:numId="5">
    <w:abstractNumId w:val="1"/>
  </w:num>
  <w:num w:numId="6">
    <w:abstractNumId w:val="4"/>
  </w:num>
  <w:num w:numId="7">
    <w:abstractNumId w:val="10"/>
  </w:num>
  <w:num w:numId="8">
    <w:abstractNumId w:val="2"/>
  </w:num>
  <w:num w:numId="9">
    <w:abstractNumId w:val="8"/>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2529"/>
  </w:hdrShapeDefaults>
  <w:footnotePr>
    <w:numFmt w:val="chicago"/>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xUPOV LDTERM"/>
    <w:docVar w:name="TermBaseURL" w:val="empty"/>
    <w:docVar w:name="TextBases" w:val="TextBase TMs\WorkspaceFTS\Ad-hoc\Assemblies|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CT|TextBase TMs\WorkspaceFTS\Patents &amp; Innovation\SCP|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UPOV\TGs|TextBase TMs\WorkspaceFTS\UPOV\UPOV"/>
    <w:docVar w:name="TextBaseURL" w:val="empty"/>
    <w:docVar w:name="UILng" w:val="en"/>
  </w:docVars>
  <w:rsids>
    <w:rsidRoot w:val="007B1C0F"/>
    <w:rsid w:val="0000057D"/>
    <w:rsid w:val="0000121D"/>
    <w:rsid w:val="00002628"/>
    <w:rsid w:val="00005B5D"/>
    <w:rsid w:val="00010053"/>
    <w:rsid w:val="0001121D"/>
    <w:rsid w:val="00026397"/>
    <w:rsid w:val="00030BB4"/>
    <w:rsid w:val="00033B61"/>
    <w:rsid w:val="0004379E"/>
    <w:rsid w:val="00064153"/>
    <w:rsid w:val="00064EFA"/>
    <w:rsid w:val="00067CA1"/>
    <w:rsid w:val="0007642A"/>
    <w:rsid w:val="000777BD"/>
    <w:rsid w:val="00081827"/>
    <w:rsid w:val="00094D3C"/>
    <w:rsid w:val="00096EA4"/>
    <w:rsid w:val="000A3BA7"/>
    <w:rsid w:val="000C20E6"/>
    <w:rsid w:val="000C26B7"/>
    <w:rsid w:val="000C4F36"/>
    <w:rsid w:val="000D679A"/>
    <w:rsid w:val="000D74A8"/>
    <w:rsid w:val="000E451B"/>
    <w:rsid w:val="000E4932"/>
    <w:rsid w:val="000E6A7E"/>
    <w:rsid w:val="000E6C47"/>
    <w:rsid w:val="000F376E"/>
    <w:rsid w:val="000F5E56"/>
    <w:rsid w:val="00103AFE"/>
    <w:rsid w:val="001041E0"/>
    <w:rsid w:val="00105079"/>
    <w:rsid w:val="001129D5"/>
    <w:rsid w:val="00113653"/>
    <w:rsid w:val="0012154F"/>
    <w:rsid w:val="00123D9D"/>
    <w:rsid w:val="0012557D"/>
    <w:rsid w:val="001273B0"/>
    <w:rsid w:val="001319B3"/>
    <w:rsid w:val="00131D68"/>
    <w:rsid w:val="001358C5"/>
    <w:rsid w:val="0014002E"/>
    <w:rsid w:val="00145B81"/>
    <w:rsid w:val="0015324E"/>
    <w:rsid w:val="0016034A"/>
    <w:rsid w:val="00165C8B"/>
    <w:rsid w:val="00165F53"/>
    <w:rsid w:val="00167584"/>
    <w:rsid w:val="00170258"/>
    <w:rsid w:val="0017702B"/>
    <w:rsid w:val="001847E8"/>
    <w:rsid w:val="00185D5F"/>
    <w:rsid w:val="001A23AF"/>
    <w:rsid w:val="001B6596"/>
    <w:rsid w:val="001B77F1"/>
    <w:rsid w:val="001C1337"/>
    <w:rsid w:val="001C31EA"/>
    <w:rsid w:val="001C32BE"/>
    <w:rsid w:val="001C43BF"/>
    <w:rsid w:val="001D222D"/>
    <w:rsid w:val="001D4433"/>
    <w:rsid w:val="001D4D6E"/>
    <w:rsid w:val="001D5A19"/>
    <w:rsid w:val="001E14AA"/>
    <w:rsid w:val="001E35D3"/>
    <w:rsid w:val="001F1C3B"/>
    <w:rsid w:val="001F3CFD"/>
    <w:rsid w:val="0021517F"/>
    <w:rsid w:val="00224137"/>
    <w:rsid w:val="00227CED"/>
    <w:rsid w:val="00231577"/>
    <w:rsid w:val="002445FB"/>
    <w:rsid w:val="00246BF1"/>
    <w:rsid w:val="002473D1"/>
    <w:rsid w:val="002920A5"/>
    <w:rsid w:val="00294534"/>
    <w:rsid w:val="00295BAA"/>
    <w:rsid w:val="00297FCC"/>
    <w:rsid w:val="002A1BD1"/>
    <w:rsid w:val="002A65C1"/>
    <w:rsid w:val="002E202E"/>
    <w:rsid w:val="002F6356"/>
    <w:rsid w:val="002F67F6"/>
    <w:rsid w:val="00300122"/>
    <w:rsid w:val="003030B7"/>
    <w:rsid w:val="00307E98"/>
    <w:rsid w:val="00313032"/>
    <w:rsid w:val="003171DB"/>
    <w:rsid w:val="0032095F"/>
    <w:rsid w:val="00321EF7"/>
    <w:rsid w:val="00323DED"/>
    <w:rsid w:val="003320F1"/>
    <w:rsid w:val="00332496"/>
    <w:rsid w:val="00335F34"/>
    <w:rsid w:val="003509BA"/>
    <w:rsid w:val="00351A99"/>
    <w:rsid w:val="0035459E"/>
    <w:rsid w:val="003560D7"/>
    <w:rsid w:val="00362FA0"/>
    <w:rsid w:val="0036403C"/>
    <w:rsid w:val="00364C0F"/>
    <w:rsid w:val="00370217"/>
    <w:rsid w:val="00372B2A"/>
    <w:rsid w:val="00373C38"/>
    <w:rsid w:val="00381CA6"/>
    <w:rsid w:val="0038618A"/>
    <w:rsid w:val="003904B6"/>
    <w:rsid w:val="00393056"/>
    <w:rsid w:val="003934B8"/>
    <w:rsid w:val="00393B6C"/>
    <w:rsid w:val="003A1028"/>
    <w:rsid w:val="003A37B2"/>
    <w:rsid w:val="003A5D6B"/>
    <w:rsid w:val="003C2136"/>
    <w:rsid w:val="003C334B"/>
    <w:rsid w:val="003C36AC"/>
    <w:rsid w:val="003D0A71"/>
    <w:rsid w:val="003D0A7E"/>
    <w:rsid w:val="003D22AF"/>
    <w:rsid w:val="003F3B00"/>
    <w:rsid w:val="0040386E"/>
    <w:rsid w:val="004132B9"/>
    <w:rsid w:val="0041796E"/>
    <w:rsid w:val="00421DAF"/>
    <w:rsid w:val="0042403F"/>
    <w:rsid w:val="00426EA2"/>
    <w:rsid w:val="00432B5B"/>
    <w:rsid w:val="00456CF9"/>
    <w:rsid w:val="00461332"/>
    <w:rsid w:val="00462FE1"/>
    <w:rsid w:val="0047074A"/>
    <w:rsid w:val="004828C8"/>
    <w:rsid w:val="0048340F"/>
    <w:rsid w:val="0049146B"/>
    <w:rsid w:val="004921F7"/>
    <w:rsid w:val="00494CC4"/>
    <w:rsid w:val="004B0C77"/>
    <w:rsid w:val="004B2BB3"/>
    <w:rsid w:val="004B73AF"/>
    <w:rsid w:val="004C3E72"/>
    <w:rsid w:val="004C5A42"/>
    <w:rsid w:val="004D26D3"/>
    <w:rsid w:val="004E4A92"/>
    <w:rsid w:val="004E592E"/>
    <w:rsid w:val="00504205"/>
    <w:rsid w:val="00507C9E"/>
    <w:rsid w:val="0051291E"/>
    <w:rsid w:val="00521DAC"/>
    <w:rsid w:val="00530150"/>
    <w:rsid w:val="00530187"/>
    <w:rsid w:val="005473CD"/>
    <w:rsid w:val="00555CC8"/>
    <w:rsid w:val="0057245E"/>
    <w:rsid w:val="0057360E"/>
    <w:rsid w:val="00576A06"/>
    <w:rsid w:val="0058229E"/>
    <w:rsid w:val="00582B32"/>
    <w:rsid w:val="005839D1"/>
    <w:rsid w:val="0058636A"/>
    <w:rsid w:val="00587374"/>
    <w:rsid w:val="005B46B4"/>
    <w:rsid w:val="005B4D0E"/>
    <w:rsid w:val="005B56FB"/>
    <w:rsid w:val="005B5842"/>
    <w:rsid w:val="005C06CF"/>
    <w:rsid w:val="005C6D19"/>
    <w:rsid w:val="005D18EC"/>
    <w:rsid w:val="005D3893"/>
    <w:rsid w:val="005D697E"/>
    <w:rsid w:val="005D7B22"/>
    <w:rsid w:val="005E1DB8"/>
    <w:rsid w:val="005E2774"/>
    <w:rsid w:val="005E284E"/>
    <w:rsid w:val="005F1619"/>
    <w:rsid w:val="005F1FE0"/>
    <w:rsid w:val="00600BD9"/>
    <w:rsid w:val="00604305"/>
    <w:rsid w:val="00607E66"/>
    <w:rsid w:val="00623038"/>
    <w:rsid w:val="00631DD4"/>
    <w:rsid w:val="0063208D"/>
    <w:rsid w:val="00632F27"/>
    <w:rsid w:val="00633629"/>
    <w:rsid w:val="006341FB"/>
    <w:rsid w:val="0063503D"/>
    <w:rsid w:val="006355DB"/>
    <w:rsid w:val="00635702"/>
    <w:rsid w:val="00636632"/>
    <w:rsid w:val="006427E3"/>
    <w:rsid w:val="0064611A"/>
    <w:rsid w:val="0065014C"/>
    <w:rsid w:val="0065171A"/>
    <w:rsid w:val="00651A2F"/>
    <w:rsid w:val="00663AFE"/>
    <w:rsid w:val="00666DF5"/>
    <w:rsid w:val="00674445"/>
    <w:rsid w:val="0067619C"/>
    <w:rsid w:val="00683EA2"/>
    <w:rsid w:val="006A1DE6"/>
    <w:rsid w:val="006A3CA1"/>
    <w:rsid w:val="006B2AD7"/>
    <w:rsid w:val="006B6251"/>
    <w:rsid w:val="006B71AB"/>
    <w:rsid w:val="006C7BC4"/>
    <w:rsid w:val="006D1AD0"/>
    <w:rsid w:val="006D20CD"/>
    <w:rsid w:val="006D6EBA"/>
    <w:rsid w:val="006E230F"/>
    <w:rsid w:val="006F18C8"/>
    <w:rsid w:val="006F53C2"/>
    <w:rsid w:val="00713BA1"/>
    <w:rsid w:val="00715D12"/>
    <w:rsid w:val="007161E8"/>
    <w:rsid w:val="007343C9"/>
    <w:rsid w:val="00734F71"/>
    <w:rsid w:val="007464CA"/>
    <w:rsid w:val="007536B7"/>
    <w:rsid w:val="0076301A"/>
    <w:rsid w:val="00781245"/>
    <w:rsid w:val="00781CF5"/>
    <w:rsid w:val="0079613E"/>
    <w:rsid w:val="007A2251"/>
    <w:rsid w:val="007A2586"/>
    <w:rsid w:val="007A7D7C"/>
    <w:rsid w:val="007A7F65"/>
    <w:rsid w:val="007B1C0F"/>
    <w:rsid w:val="007B1E7C"/>
    <w:rsid w:val="007B3638"/>
    <w:rsid w:val="007B5CAC"/>
    <w:rsid w:val="007B61C5"/>
    <w:rsid w:val="007C0305"/>
    <w:rsid w:val="007C5AD4"/>
    <w:rsid w:val="007C7BA9"/>
    <w:rsid w:val="007D4799"/>
    <w:rsid w:val="007D47B6"/>
    <w:rsid w:val="007E40F8"/>
    <w:rsid w:val="007F099A"/>
    <w:rsid w:val="007F2AE0"/>
    <w:rsid w:val="007F3140"/>
    <w:rsid w:val="007F444E"/>
    <w:rsid w:val="007F4704"/>
    <w:rsid w:val="007F4BC9"/>
    <w:rsid w:val="00805942"/>
    <w:rsid w:val="008145F6"/>
    <w:rsid w:val="00815D8E"/>
    <w:rsid w:val="00816984"/>
    <w:rsid w:val="00820CAA"/>
    <w:rsid w:val="008233C2"/>
    <w:rsid w:val="00841EC6"/>
    <w:rsid w:val="00842923"/>
    <w:rsid w:val="00842CE9"/>
    <w:rsid w:val="00853A00"/>
    <w:rsid w:val="008600B9"/>
    <w:rsid w:val="00872100"/>
    <w:rsid w:val="00880F71"/>
    <w:rsid w:val="008A7155"/>
    <w:rsid w:val="008A7F15"/>
    <w:rsid w:val="008B425E"/>
    <w:rsid w:val="008D64B7"/>
    <w:rsid w:val="008D7F6B"/>
    <w:rsid w:val="008E6468"/>
    <w:rsid w:val="00907F4A"/>
    <w:rsid w:val="0091724D"/>
    <w:rsid w:val="00930665"/>
    <w:rsid w:val="009319A3"/>
    <w:rsid w:val="00933F8C"/>
    <w:rsid w:val="00934458"/>
    <w:rsid w:val="009402DE"/>
    <w:rsid w:val="00963D53"/>
    <w:rsid w:val="009832F2"/>
    <w:rsid w:val="00987802"/>
    <w:rsid w:val="00995692"/>
    <w:rsid w:val="00997877"/>
    <w:rsid w:val="009A287B"/>
    <w:rsid w:val="009B0B61"/>
    <w:rsid w:val="009C1EEA"/>
    <w:rsid w:val="009C216E"/>
    <w:rsid w:val="009D65A7"/>
    <w:rsid w:val="009E45AB"/>
    <w:rsid w:val="009E4E37"/>
    <w:rsid w:val="009F0C26"/>
    <w:rsid w:val="009F428A"/>
    <w:rsid w:val="009F4EF4"/>
    <w:rsid w:val="00A00EA1"/>
    <w:rsid w:val="00A01E5D"/>
    <w:rsid w:val="00A06472"/>
    <w:rsid w:val="00A066E7"/>
    <w:rsid w:val="00A07274"/>
    <w:rsid w:val="00A13ECE"/>
    <w:rsid w:val="00A16459"/>
    <w:rsid w:val="00A243BA"/>
    <w:rsid w:val="00A2580D"/>
    <w:rsid w:val="00A323F9"/>
    <w:rsid w:val="00A326CA"/>
    <w:rsid w:val="00A3459C"/>
    <w:rsid w:val="00A41F5B"/>
    <w:rsid w:val="00A42F34"/>
    <w:rsid w:val="00A5423E"/>
    <w:rsid w:val="00A570CF"/>
    <w:rsid w:val="00A726F7"/>
    <w:rsid w:val="00A90F3B"/>
    <w:rsid w:val="00A9519F"/>
    <w:rsid w:val="00A953E1"/>
    <w:rsid w:val="00A97FF2"/>
    <w:rsid w:val="00AA15D6"/>
    <w:rsid w:val="00AA35D3"/>
    <w:rsid w:val="00AB2DB7"/>
    <w:rsid w:val="00AC2688"/>
    <w:rsid w:val="00AD1B68"/>
    <w:rsid w:val="00AD293D"/>
    <w:rsid w:val="00AD6E2D"/>
    <w:rsid w:val="00AD7D54"/>
    <w:rsid w:val="00AE08FC"/>
    <w:rsid w:val="00AE0A3F"/>
    <w:rsid w:val="00AE7468"/>
    <w:rsid w:val="00AF2751"/>
    <w:rsid w:val="00B03D5A"/>
    <w:rsid w:val="00B04D1A"/>
    <w:rsid w:val="00B100BD"/>
    <w:rsid w:val="00B16D21"/>
    <w:rsid w:val="00B178E7"/>
    <w:rsid w:val="00B22443"/>
    <w:rsid w:val="00B275A5"/>
    <w:rsid w:val="00B32412"/>
    <w:rsid w:val="00B5280B"/>
    <w:rsid w:val="00B63FE0"/>
    <w:rsid w:val="00B67083"/>
    <w:rsid w:val="00B70FCF"/>
    <w:rsid w:val="00B741B4"/>
    <w:rsid w:val="00B74A7B"/>
    <w:rsid w:val="00B7558D"/>
    <w:rsid w:val="00B75893"/>
    <w:rsid w:val="00B76D42"/>
    <w:rsid w:val="00B77243"/>
    <w:rsid w:val="00B77794"/>
    <w:rsid w:val="00B84D37"/>
    <w:rsid w:val="00B900CC"/>
    <w:rsid w:val="00B92372"/>
    <w:rsid w:val="00B9617C"/>
    <w:rsid w:val="00B96799"/>
    <w:rsid w:val="00BA25D9"/>
    <w:rsid w:val="00BA48EE"/>
    <w:rsid w:val="00BB0D42"/>
    <w:rsid w:val="00BB1956"/>
    <w:rsid w:val="00BB2622"/>
    <w:rsid w:val="00BB7FA3"/>
    <w:rsid w:val="00BD3AB2"/>
    <w:rsid w:val="00BE3D7E"/>
    <w:rsid w:val="00BE6A20"/>
    <w:rsid w:val="00BF12DC"/>
    <w:rsid w:val="00BF1458"/>
    <w:rsid w:val="00BF5E09"/>
    <w:rsid w:val="00BF6F5E"/>
    <w:rsid w:val="00C05AD1"/>
    <w:rsid w:val="00C10DDF"/>
    <w:rsid w:val="00C2151D"/>
    <w:rsid w:val="00C30669"/>
    <w:rsid w:val="00C52D12"/>
    <w:rsid w:val="00C5527E"/>
    <w:rsid w:val="00C55400"/>
    <w:rsid w:val="00C82F85"/>
    <w:rsid w:val="00C85F30"/>
    <w:rsid w:val="00C90726"/>
    <w:rsid w:val="00CA4EED"/>
    <w:rsid w:val="00CB3CB8"/>
    <w:rsid w:val="00CC017F"/>
    <w:rsid w:val="00CC672B"/>
    <w:rsid w:val="00CC7C1C"/>
    <w:rsid w:val="00CD2134"/>
    <w:rsid w:val="00CD3318"/>
    <w:rsid w:val="00CD57F7"/>
    <w:rsid w:val="00CD6034"/>
    <w:rsid w:val="00CD659C"/>
    <w:rsid w:val="00CD7CFA"/>
    <w:rsid w:val="00CE39D2"/>
    <w:rsid w:val="00CF38C8"/>
    <w:rsid w:val="00D01CE6"/>
    <w:rsid w:val="00D04BAC"/>
    <w:rsid w:val="00D05838"/>
    <w:rsid w:val="00D1442A"/>
    <w:rsid w:val="00D24AFC"/>
    <w:rsid w:val="00D257C5"/>
    <w:rsid w:val="00D30DC9"/>
    <w:rsid w:val="00D41C60"/>
    <w:rsid w:val="00D423D8"/>
    <w:rsid w:val="00D4481A"/>
    <w:rsid w:val="00D46A92"/>
    <w:rsid w:val="00D510D3"/>
    <w:rsid w:val="00D529C4"/>
    <w:rsid w:val="00D54B03"/>
    <w:rsid w:val="00D733AB"/>
    <w:rsid w:val="00D73759"/>
    <w:rsid w:val="00D872E7"/>
    <w:rsid w:val="00D92B47"/>
    <w:rsid w:val="00DA000D"/>
    <w:rsid w:val="00DA0453"/>
    <w:rsid w:val="00DA071B"/>
    <w:rsid w:val="00DA7B8A"/>
    <w:rsid w:val="00DB0A0E"/>
    <w:rsid w:val="00DB28AE"/>
    <w:rsid w:val="00DB60CA"/>
    <w:rsid w:val="00DC7C2D"/>
    <w:rsid w:val="00DD4C78"/>
    <w:rsid w:val="00DE5A4F"/>
    <w:rsid w:val="00DE6474"/>
    <w:rsid w:val="00DF37E6"/>
    <w:rsid w:val="00E01FAA"/>
    <w:rsid w:val="00E23D7C"/>
    <w:rsid w:val="00E25414"/>
    <w:rsid w:val="00E37946"/>
    <w:rsid w:val="00E43EB6"/>
    <w:rsid w:val="00E46284"/>
    <w:rsid w:val="00E5062D"/>
    <w:rsid w:val="00E57F25"/>
    <w:rsid w:val="00E67A5E"/>
    <w:rsid w:val="00E74749"/>
    <w:rsid w:val="00E763D5"/>
    <w:rsid w:val="00E86E5D"/>
    <w:rsid w:val="00E8708F"/>
    <w:rsid w:val="00E903C8"/>
    <w:rsid w:val="00EA2BCF"/>
    <w:rsid w:val="00EA7FDD"/>
    <w:rsid w:val="00EB0E89"/>
    <w:rsid w:val="00EB5EF3"/>
    <w:rsid w:val="00EE0442"/>
    <w:rsid w:val="00EE1300"/>
    <w:rsid w:val="00EE1D8B"/>
    <w:rsid w:val="00EE6096"/>
    <w:rsid w:val="00EF1CA7"/>
    <w:rsid w:val="00EF4D91"/>
    <w:rsid w:val="00F00A8C"/>
    <w:rsid w:val="00F0133E"/>
    <w:rsid w:val="00F01B52"/>
    <w:rsid w:val="00F12A6E"/>
    <w:rsid w:val="00F16FF9"/>
    <w:rsid w:val="00F2226C"/>
    <w:rsid w:val="00F36FD2"/>
    <w:rsid w:val="00F406BE"/>
    <w:rsid w:val="00F41529"/>
    <w:rsid w:val="00F45796"/>
    <w:rsid w:val="00F50021"/>
    <w:rsid w:val="00F6061D"/>
    <w:rsid w:val="00F64645"/>
    <w:rsid w:val="00F7095D"/>
    <w:rsid w:val="00F80F11"/>
    <w:rsid w:val="00F82596"/>
    <w:rsid w:val="00F836C9"/>
    <w:rsid w:val="00F9777F"/>
    <w:rsid w:val="00FA1DC8"/>
    <w:rsid w:val="00FB6472"/>
    <w:rsid w:val="00FD0B18"/>
    <w:rsid w:val="00FD0C23"/>
    <w:rsid w:val="00FD461F"/>
    <w:rsid w:val="00FD5916"/>
    <w:rsid w:val="00FD6D61"/>
    <w:rsid w:val="00FE4568"/>
    <w:rsid w:val="00FE512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9D6E4CE"/>
  <w15:chartTrackingRefBased/>
  <w15:docId w15:val="{B0573196-0F84-4EB5-83D5-6124746E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17F"/>
    <w:rPr>
      <w:rFonts w:ascii="Arial" w:eastAsia="SimSun" w:hAnsi="Arial" w:cs="Arial"/>
      <w:sz w:val="22"/>
      <w:lang w:val="en-US"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customStyle="1" w:styleId="Default">
    <w:name w:val="Default"/>
    <w:rsid w:val="00F36FD2"/>
    <w:pPr>
      <w:autoSpaceDE w:val="0"/>
      <w:autoSpaceDN w:val="0"/>
      <w:adjustRightInd w:val="0"/>
    </w:pPr>
    <w:rPr>
      <w:rFonts w:ascii="Arial" w:eastAsia="MS Mincho" w:hAnsi="Arial" w:cs="Arial"/>
      <w:color w:val="000000"/>
      <w:sz w:val="24"/>
      <w:szCs w:val="24"/>
      <w:lang w:val="en-US" w:eastAsia="ja-JP"/>
    </w:rPr>
  </w:style>
  <w:style w:type="character" w:customStyle="1" w:styleId="Heading3Char">
    <w:name w:val="Heading 3 Char"/>
    <w:link w:val="Heading3"/>
    <w:semiHidden/>
    <w:locked/>
    <w:rsid w:val="006D1AD0"/>
    <w:rPr>
      <w:rFonts w:ascii="Arial" w:eastAsia="SimSun" w:hAnsi="Arial" w:cs="Arial"/>
      <w:bCs/>
      <w:sz w:val="22"/>
      <w:szCs w:val="26"/>
      <w:u w:val="single"/>
      <w:lang w:val="en-US" w:eastAsia="zh-CN" w:bidi="ar-SA"/>
    </w:rPr>
  </w:style>
  <w:style w:type="character" w:styleId="Hyperlink">
    <w:name w:val="Hyperlink"/>
    <w:rsid w:val="001B6596"/>
    <w:rPr>
      <w:color w:val="0000FF"/>
      <w:u w:val="single"/>
    </w:rPr>
  </w:style>
  <w:style w:type="paragraph" w:styleId="BalloonText">
    <w:name w:val="Balloon Text"/>
    <w:basedOn w:val="Normal"/>
    <w:link w:val="BalloonTextChar"/>
    <w:rsid w:val="008B425E"/>
    <w:rPr>
      <w:rFonts w:ascii="Tahoma" w:hAnsi="Tahoma" w:cs="Tahoma"/>
      <w:sz w:val="16"/>
      <w:szCs w:val="16"/>
    </w:rPr>
  </w:style>
  <w:style w:type="character" w:customStyle="1" w:styleId="BalloonTextChar">
    <w:name w:val="Balloon Text Char"/>
    <w:link w:val="BalloonText"/>
    <w:rsid w:val="008B425E"/>
    <w:rPr>
      <w:rFonts w:ascii="Tahoma" w:eastAsia="SimSun" w:hAnsi="Tahoma" w:cs="Tahoma"/>
      <w:sz w:val="16"/>
      <w:szCs w:val="16"/>
      <w:lang w:eastAsia="zh-CN"/>
    </w:rPr>
  </w:style>
  <w:style w:type="character" w:customStyle="1" w:styleId="FootnoteTextChar">
    <w:name w:val="Footnote Text Char"/>
    <w:link w:val="FootnoteText"/>
    <w:semiHidden/>
    <w:rsid w:val="005F1FE0"/>
    <w:rPr>
      <w:rFonts w:ascii="Arial" w:eastAsia="SimSun" w:hAnsi="Arial" w:cs="Arial"/>
      <w:sz w:val="18"/>
      <w:lang w:eastAsia="zh-CN"/>
    </w:rPr>
  </w:style>
  <w:style w:type="character" w:styleId="FootnoteReference">
    <w:name w:val="footnote reference"/>
    <w:rsid w:val="005F1FE0"/>
    <w:rPr>
      <w:vertAlign w:val="superscript"/>
    </w:rPr>
  </w:style>
  <w:style w:type="paragraph" w:customStyle="1" w:styleId="Char">
    <w:name w:val="Char 字元 字元"/>
    <w:basedOn w:val="Normal"/>
    <w:rsid w:val="00E903C8"/>
    <w:pPr>
      <w:spacing w:after="160" w:line="240" w:lineRule="exact"/>
    </w:pPr>
    <w:rPr>
      <w:rFonts w:ascii="Verdana" w:eastAsia="PMingLiU" w:hAnsi="Verdana" w:cs="Times New Roman"/>
      <w:sz w:val="20"/>
      <w:lang w:eastAsia="en-US"/>
    </w:rPr>
  </w:style>
  <w:style w:type="paragraph" w:customStyle="1" w:styleId="Endofdocument-Annex">
    <w:name w:val="[End of document - Annex]"/>
    <w:basedOn w:val="Normal"/>
    <w:link w:val="Endofdocument-AnnexChar"/>
    <w:rsid w:val="00D4481A"/>
    <w:pPr>
      <w:ind w:left="5534"/>
    </w:pPr>
  </w:style>
  <w:style w:type="paragraph" w:customStyle="1" w:styleId="indenti">
    <w:name w:val="indent_i"/>
    <w:basedOn w:val="Normal"/>
    <w:rsid w:val="00D4481A"/>
    <w:pPr>
      <w:tabs>
        <w:tab w:val="right" w:pos="1418"/>
        <w:tab w:val="left" w:pos="1559"/>
      </w:tabs>
      <w:jc w:val="both"/>
    </w:pPr>
    <w:rPr>
      <w:rFonts w:ascii="Times New Roman" w:eastAsia="Times New Roman" w:hAnsi="Times New Roman" w:cs="Times New Roman"/>
      <w:sz w:val="24"/>
      <w:lang w:eastAsia="ja-JP"/>
    </w:rPr>
  </w:style>
  <w:style w:type="paragraph" w:customStyle="1" w:styleId="indent1">
    <w:name w:val="indent_1"/>
    <w:basedOn w:val="Normal"/>
    <w:rsid w:val="00D4481A"/>
    <w:pPr>
      <w:ind w:firstLine="567"/>
      <w:jc w:val="both"/>
    </w:pPr>
    <w:rPr>
      <w:rFonts w:ascii="Times New Roman" w:eastAsia="Times New Roman" w:hAnsi="Times New Roman" w:cs="Times New Roman"/>
      <w:sz w:val="28"/>
      <w:szCs w:val="28"/>
      <w:lang w:val="en-GB" w:eastAsia="ja-JP"/>
    </w:rPr>
  </w:style>
  <w:style w:type="character" w:customStyle="1" w:styleId="Heading4Char">
    <w:name w:val="Heading 4 Char"/>
    <w:link w:val="Heading4"/>
    <w:rsid w:val="00D4481A"/>
    <w:rPr>
      <w:rFonts w:ascii="Arial" w:eastAsia="SimSun" w:hAnsi="Arial" w:cs="Arial"/>
      <w:bCs/>
      <w:i/>
      <w:sz w:val="22"/>
      <w:szCs w:val="28"/>
      <w:lang w:eastAsia="zh-CN"/>
    </w:rPr>
  </w:style>
  <w:style w:type="paragraph" w:customStyle="1" w:styleId="indenta">
    <w:name w:val="indent_a"/>
    <w:basedOn w:val="Normal"/>
    <w:link w:val="indentaChar"/>
    <w:rsid w:val="00D448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D4481A"/>
    <w:rPr>
      <w:sz w:val="28"/>
      <w:szCs w:val="28"/>
      <w:lang w:val="en-GB" w:eastAsia="ja-JP"/>
    </w:rPr>
  </w:style>
  <w:style w:type="character" w:customStyle="1" w:styleId="Endofdocument-AnnexChar">
    <w:name w:val="[End of document - Annex] Char"/>
    <w:link w:val="Endofdocument-Annex"/>
    <w:rsid w:val="007B1C0F"/>
    <w:rPr>
      <w:rFonts w:ascii="Arial" w:eastAsia="SimSun" w:hAnsi="Arial" w:cs="Arial"/>
      <w:sz w:val="22"/>
      <w:lang w:val="en-US" w:eastAsia="zh-CN"/>
    </w:rPr>
  </w:style>
  <w:style w:type="paragraph" w:styleId="ListParagraph">
    <w:name w:val="List Paragraph"/>
    <w:basedOn w:val="Normal"/>
    <w:uiPriority w:val="34"/>
    <w:qFormat/>
    <w:rsid w:val="007B1C0F"/>
    <w:pPr>
      <w:ind w:left="720"/>
      <w:contextualSpacing/>
    </w:pPr>
    <w:rPr>
      <w:rFonts w:eastAsia="Times New Roman"/>
      <w:lang w:eastAsia="en-US"/>
    </w:rPr>
  </w:style>
  <w:style w:type="character" w:styleId="FollowedHyperlink">
    <w:name w:val="FollowedHyperlink"/>
    <w:basedOn w:val="DefaultParagraphFont"/>
    <w:rsid w:val="00364C0F"/>
    <w:rPr>
      <w:color w:val="954F72" w:themeColor="followedHyperlink"/>
      <w:u w:val="single"/>
    </w:rPr>
  </w:style>
  <w:style w:type="paragraph" w:styleId="Revision">
    <w:name w:val="Revision"/>
    <w:hidden/>
    <w:uiPriority w:val="99"/>
    <w:semiHidden/>
    <w:rsid w:val="002A1BD1"/>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wipo.int/export/sites/www/treaties/fr/documents/pdf/hague.pd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913B0-6C29-4680-9C7B-B405FFF9A2CD}">
  <ds:schemaRefs>
    <ds:schemaRef ds:uri="http://schemas.openxmlformats.org/officeDocument/2006/bibliography"/>
  </ds:schemaRefs>
</ds:datastoreItem>
</file>

<file path=customXml/itemProps2.xml><?xml version="1.0" encoding="utf-8"?>
<ds:datastoreItem xmlns:ds="http://schemas.openxmlformats.org/officeDocument/2006/customXml" ds:itemID="{6B4B5563-FCC1-47D2-91C3-692DDA02B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889</Words>
  <Characters>4840</Characters>
  <Application>Microsoft Office Word</Application>
  <DocSecurity>0</DocSecurity>
  <Lines>84</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WIPO</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BAILLY Delphine</dc:creator>
  <cp:keywords>FOR OFFICIAL USE ONLY</cp:keywords>
  <cp:lastModifiedBy>DUMITRU Elena</cp:lastModifiedBy>
  <cp:revision>4</cp:revision>
  <cp:lastPrinted>2013-12-12T12:33:00Z</cp:lastPrinted>
  <dcterms:created xsi:type="dcterms:W3CDTF">2022-03-28T13:32:00Z</dcterms:created>
  <dcterms:modified xsi:type="dcterms:W3CDTF">2022-04-04T09:22:00Z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423d7929-a2ba-4ec8-a356-56cb8ea41b72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