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Borders>
          <w:bottom w:val="single" w:sz="4" w:space="0" w:color="auto"/>
        </w:tblBorders>
        <w:tblLook w:val="01E0" w:firstRow="1" w:lastRow="1" w:firstColumn="1" w:lastColumn="1" w:noHBand="0" w:noVBand="0"/>
      </w:tblPr>
      <w:tblGrid>
        <w:gridCol w:w="4513"/>
        <w:gridCol w:w="4843"/>
      </w:tblGrid>
      <w:tr w:rsidR="00A953E1" w:rsidRPr="007161E8" w14:paraId="471371BA" w14:textId="77777777">
        <w:tc>
          <w:tcPr>
            <w:tcW w:w="4513" w:type="dxa"/>
            <w:tcMar>
              <w:left w:w="0" w:type="dxa"/>
              <w:right w:w="0" w:type="dxa"/>
            </w:tcMar>
          </w:tcPr>
          <w:p w14:paraId="02BB9255" w14:textId="77777777" w:rsidR="00A953E1" w:rsidRPr="007161E8" w:rsidRDefault="00A953E1" w:rsidP="00551BF5"/>
        </w:tc>
        <w:tc>
          <w:tcPr>
            <w:tcW w:w="0" w:type="auto"/>
            <w:tcMar>
              <w:left w:w="0" w:type="dxa"/>
              <w:bottom w:w="142" w:type="dxa"/>
              <w:right w:w="0" w:type="dxa"/>
            </w:tcMar>
          </w:tcPr>
          <w:p w14:paraId="70E973FC" w14:textId="77777777" w:rsidR="00A953E1" w:rsidRPr="007161E8" w:rsidRDefault="001070F8" w:rsidP="00551BF5">
            <w:r w:rsidRPr="007161E8">
              <w:rPr>
                <w:noProof/>
                <w:lang w:eastAsia="en-US"/>
              </w:rPr>
              <w:drawing>
                <wp:inline distT="0" distB="0" distL="0" distR="0" wp14:anchorId="3076A601" wp14:editId="52CB3A7F">
                  <wp:extent cx="1857375" cy="1323975"/>
                  <wp:effectExtent l="0" t="0" r="0" b="0"/>
                  <wp:docPr id="7"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bl>
    <w:p w14:paraId="4FFEBB9E" w14:textId="77777777" w:rsidR="00E25414" w:rsidRPr="007161E8" w:rsidRDefault="005E284E" w:rsidP="00551BF5">
      <w:pPr>
        <w:spacing w:before="240" w:after="1600"/>
        <w:jc w:val="right"/>
        <w:rPr>
          <w:lang w:val="fr-CH"/>
        </w:rPr>
      </w:pPr>
      <w:r w:rsidRPr="007161E8">
        <w:rPr>
          <w:rFonts w:ascii="Arial Black" w:hAnsi="Arial Black"/>
          <w:sz w:val="15"/>
          <w:szCs w:val="15"/>
          <w:lang w:val="pt-BR"/>
        </w:rPr>
        <w:t>AVIS</w:t>
      </w:r>
      <w:r w:rsidR="00715D12" w:rsidRPr="007161E8">
        <w:rPr>
          <w:rFonts w:ascii="Arial Black" w:hAnsi="Arial Black"/>
          <w:sz w:val="15"/>
          <w:szCs w:val="15"/>
          <w:lang w:val="pt-BR"/>
        </w:rPr>
        <w:t xml:space="preserve"> N</w:t>
      </w:r>
      <w:r w:rsidRPr="007161E8">
        <w:rPr>
          <w:rFonts w:ascii="Arial Black" w:hAnsi="Arial Black"/>
          <w:sz w:val="15"/>
          <w:szCs w:val="15"/>
          <w:lang w:val="pt-BR"/>
        </w:rPr>
        <w:t>° </w:t>
      </w:r>
      <w:r w:rsidR="001070F8">
        <w:rPr>
          <w:rFonts w:ascii="Arial Black" w:hAnsi="Arial Black"/>
          <w:sz w:val="15"/>
          <w:szCs w:val="15"/>
          <w:lang w:val="pt-BR"/>
        </w:rPr>
        <w:t>12</w:t>
      </w:r>
      <w:r w:rsidR="00715D12" w:rsidRPr="007161E8">
        <w:rPr>
          <w:rFonts w:ascii="Arial Black" w:hAnsi="Arial Black"/>
          <w:sz w:val="15"/>
          <w:szCs w:val="15"/>
          <w:lang w:val="pt-BR"/>
        </w:rPr>
        <w:t>/20</w:t>
      </w:r>
      <w:r w:rsidR="001070F8">
        <w:rPr>
          <w:rFonts w:ascii="Arial Black" w:hAnsi="Arial Black"/>
          <w:sz w:val="15"/>
          <w:szCs w:val="15"/>
          <w:lang w:val="pt-BR"/>
        </w:rPr>
        <w:t>23</w:t>
      </w:r>
    </w:p>
    <w:p w14:paraId="7A708E70" w14:textId="77777777" w:rsidR="00E25414" w:rsidRPr="001070F8" w:rsidRDefault="001070F8" w:rsidP="00551BF5">
      <w:pPr>
        <w:spacing w:after="720"/>
        <w:rPr>
          <w:b/>
          <w:sz w:val="28"/>
          <w:szCs w:val="28"/>
          <w:lang w:val="fr-FR"/>
        </w:rPr>
      </w:pPr>
      <w:r w:rsidRPr="001070F8">
        <w:rPr>
          <w:b/>
          <w:sz w:val="28"/>
          <w:lang w:val="fr-FR"/>
        </w:rPr>
        <w:t xml:space="preserve">Arrangement de </w:t>
      </w:r>
      <w:r w:rsidR="00777879">
        <w:rPr>
          <w:b/>
          <w:sz w:val="28"/>
          <w:lang w:val="fr-FR"/>
        </w:rPr>
        <w:t>La Haye</w:t>
      </w:r>
      <w:r w:rsidRPr="001070F8">
        <w:rPr>
          <w:b/>
          <w:sz w:val="28"/>
          <w:lang w:val="fr-FR"/>
        </w:rPr>
        <w:t xml:space="preserve"> concernant l</w:t>
      </w:r>
      <w:r w:rsidR="00777879">
        <w:rPr>
          <w:b/>
          <w:sz w:val="28"/>
          <w:lang w:val="fr-FR"/>
        </w:rPr>
        <w:t>’</w:t>
      </w:r>
      <w:r w:rsidRPr="001070F8">
        <w:rPr>
          <w:b/>
          <w:sz w:val="28"/>
          <w:lang w:val="fr-FR"/>
        </w:rPr>
        <w:t>enregistrement international des dessins et modèles industriels</w:t>
      </w:r>
    </w:p>
    <w:p w14:paraId="4B154A0F" w14:textId="77777777" w:rsidR="00C2151D" w:rsidRPr="001070F8" w:rsidRDefault="001070F8" w:rsidP="00617BBC">
      <w:pPr>
        <w:spacing w:after="240"/>
        <w:rPr>
          <w:b/>
          <w:sz w:val="24"/>
          <w:szCs w:val="24"/>
          <w:lang w:val="fr-FR"/>
        </w:rPr>
      </w:pPr>
      <w:r w:rsidRPr="001070F8">
        <w:rPr>
          <w:b/>
          <w:sz w:val="24"/>
          <w:lang w:val="fr-FR"/>
        </w:rPr>
        <w:t>Modifications apportées au barème des taxes</w:t>
      </w:r>
    </w:p>
    <w:p w14:paraId="0AC70688" w14:textId="77777777" w:rsidR="001070F8" w:rsidRPr="001070F8" w:rsidRDefault="001070F8" w:rsidP="00551BF5">
      <w:pPr>
        <w:pStyle w:val="ONUMFS"/>
        <w:rPr>
          <w:lang w:val="fr-FR"/>
        </w:rPr>
      </w:pPr>
      <w:r w:rsidRPr="001070F8">
        <w:rPr>
          <w:lang w:val="fr-FR"/>
        </w:rPr>
        <w:t>L</w:t>
      </w:r>
      <w:r w:rsidR="00777879">
        <w:rPr>
          <w:lang w:val="fr-FR"/>
        </w:rPr>
        <w:t>’</w:t>
      </w:r>
      <w:r w:rsidRPr="001070F8">
        <w:rPr>
          <w:lang w:val="fr-FR"/>
        </w:rPr>
        <w:t>Assemblée de l</w:t>
      </w:r>
      <w:r w:rsidR="00777879">
        <w:rPr>
          <w:lang w:val="fr-FR"/>
        </w:rPr>
        <w:t>’</w:t>
      </w:r>
      <w:r w:rsidRPr="001070F8">
        <w:rPr>
          <w:lang w:val="fr-FR"/>
        </w:rPr>
        <w:t xml:space="preserve">Union de </w:t>
      </w:r>
      <w:r w:rsidR="00777879">
        <w:rPr>
          <w:lang w:val="fr-FR"/>
        </w:rPr>
        <w:t>La Haye</w:t>
      </w:r>
      <w:r w:rsidRPr="001070F8">
        <w:rPr>
          <w:lang w:val="fr-FR"/>
        </w:rPr>
        <w:t xml:space="preserve"> (ci</w:t>
      </w:r>
      <w:r w:rsidR="00551BF5">
        <w:rPr>
          <w:lang w:val="fr-FR"/>
        </w:rPr>
        <w:noBreakHyphen/>
      </w:r>
      <w:r w:rsidRPr="001070F8">
        <w:rPr>
          <w:lang w:val="fr-FR"/>
        </w:rPr>
        <w:t xml:space="preserve">après dénommée </w:t>
      </w:r>
      <w:r w:rsidR="00777879">
        <w:rPr>
          <w:lang w:val="fr-FR"/>
        </w:rPr>
        <w:t>“</w:t>
      </w:r>
      <w:r w:rsidR="00777879" w:rsidRPr="001070F8">
        <w:rPr>
          <w:lang w:val="fr-FR"/>
        </w:rPr>
        <w:t>a</w:t>
      </w:r>
      <w:r w:rsidRPr="001070F8">
        <w:rPr>
          <w:lang w:val="fr-FR"/>
        </w:rPr>
        <w:t>ssemblé</w:t>
      </w:r>
      <w:r w:rsidR="00777879" w:rsidRPr="001070F8">
        <w:rPr>
          <w:lang w:val="fr-FR"/>
        </w:rPr>
        <w:t>e</w:t>
      </w:r>
      <w:r w:rsidR="00777879">
        <w:rPr>
          <w:lang w:val="fr-FR"/>
        </w:rPr>
        <w:t>”</w:t>
      </w:r>
      <w:r w:rsidRPr="001070F8">
        <w:rPr>
          <w:lang w:val="fr-FR"/>
        </w:rPr>
        <w:t>), à sa quarante</w:t>
      </w:r>
      <w:r w:rsidR="00551BF5">
        <w:rPr>
          <w:lang w:val="fr-FR"/>
        </w:rPr>
        <w:noBreakHyphen/>
      </w:r>
      <w:r w:rsidRPr="001070F8">
        <w:rPr>
          <w:lang w:val="fr-FR"/>
        </w:rPr>
        <w:t>trois</w:t>
      </w:r>
      <w:r w:rsidR="00777879">
        <w:rPr>
          <w:lang w:val="fr-FR"/>
        </w:rPr>
        <w:t>ième session</w:t>
      </w:r>
      <w:r w:rsidRPr="001070F8">
        <w:rPr>
          <w:lang w:val="fr-FR"/>
        </w:rPr>
        <w:t xml:space="preserve"> (24</w:t>
      </w:r>
      <w:r w:rsidRPr="001070F8">
        <w:rPr>
          <w:vertAlign w:val="superscript"/>
          <w:lang w:val="fr-FR"/>
        </w:rPr>
        <w:t>e</w:t>
      </w:r>
      <w:r w:rsidR="00551BF5">
        <w:rPr>
          <w:lang w:val="fr-FR"/>
        </w:rPr>
        <w:t> </w:t>
      </w:r>
      <w:r w:rsidRPr="001070F8">
        <w:rPr>
          <w:lang w:val="fr-FR"/>
        </w:rPr>
        <w:t>session ordinaire), tenue à Genève du 6 au 1</w:t>
      </w:r>
      <w:r w:rsidR="00777879" w:rsidRPr="001070F8">
        <w:rPr>
          <w:lang w:val="fr-FR"/>
        </w:rPr>
        <w:t>4</w:t>
      </w:r>
      <w:r w:rsidR="00777879">
        <w:rPr>
          <w:lang w:val="fr-FR"/>
        </w:rPr>
        <w:t> </w:t>
      </w:r>
      <w:r w:rsidR="00777879" w:rsidRPr="001070F8">
        <w:rPr>
          <w:lang w:val="fr-FR"/>
        </w:rPr>
        <w:t>juillet</w:t>
      </w:r>
      <w:r w:rsidR="00777879">
        <w:rPr>
          <w:lang w:val="fr-FR"/>
        </w:rPr>
        <w:t> </w:t>
      </w:r>
      <w:r w:rsidR="00777879" w:rsidRPr="001070F8">
        <w:rPr>
          <w:lang w:val="fr-FR"/>
        </w:rPr>
        <w:t>20</w:t>
      </w:r>
      <w:r w:rsidRPr="001070F8">
        <w:rPr>
          <w:lang w:val="fr-FR"/>
        </w:rPr>
        <w:t>23, a adopté les modifications suivantes du barème des taxes</w:t>
      </w:r>
      <w:r>
        <w:rPr>
          <w:rStyle w:val="FootnoteReference"/>
        </w:rPr>
        <w:footnoteReference w:id="2"/>
      </w:r>
      <w:r w:rsidR="00880023">
        <w:rPr>
          <w:lang w:val="fr-FR"/>
        </w:rPr>
        <w:t> </w:t>
      </w:r>
      <w:r w:rsidRPr="001070F8">
        <w:rPr>
          <w:lang w:val="fr-FR"/>
        </w:rPr>
        <w:t>:</w:t>
      </w:r>
    </w:p>
    <w:p w14:paraId="10524429" w14:textId="7B5B416B" w:rsidR="001070F8" w:rsidRPr="001070F8" w:rsidRDefault="001070F8" w:rsidP="00551BF5">
      <w:pPr>
        <w:pStyle w:val="ONUMFS"/>
        <w:numPr>
          <w:ilvl w:val="0"/>
          <w:numId w:val="13"/>
        </w:numPr>
        <w:ind w:left="1134" w:hanging="567"/>
        <w:rPr>
          <w:lang w:val="fr-FR"/>
        </w:rPr>
      </w:pPr>
      <w:r w:rsidRPr="001070F8">
        <w:rPr>
          <w:lang w:val="fr-FR"/>
        </w:rPr>
        <w:t>Augmentation du montant de la taxe de base pour chaque dessin ou modèle supplémentaire inclus dans une demande internationale, qui passera de 19 à</w:t>
      </w:r>
      <w:r w:rsidR="00C432F0">
        <w:rPr>
          <w:lang w:val="fr-FR"/>
        </w:rPr>
        <w:t> </w:t>
      </w:r>
      <w:r w:rsidRPr="001070F8">
        <w:rPr>
          <w:lang w:val="fr-FR"/>
        </w:rPr>
        <w:t>5</w:t>
      </w:r>
      <w:r w:rsidR="00777879" w:rsidRPr="001070F8">
        <w:rPr>
          <w:lang w:val="fr-FR"/>
        </w:rPr>
        <w:t>0</w:t>
      </w:r>
      <w:r w:rsidR="00777879">
        <w:rPr>
          <w:lang w:val="fr-FR"/>
        </w:rPr>
        <w:t> </w:t>
      </w:r>
      <w:r w:rsidR="00777879" w:rsidRPr="001070F8">
        <w:rPr>
          <w:lang w:val="fr-FR"/>
        </w:rPr>
        <w:t>franc</w:t>
      </w:r>
      <w:r w:rsidRPr="001070F8">
        <w:rPr>
          <w:lang w:val="fr-FR"/>
        </w:rPr>
        <w:t>s suisses</w:t>
      </w:r>
      <w:r>
        <w:rPr>
          <w:rStyle w:val="FootnoteReference"/>
        </w:rPr>
        <w:footnoteReference w:id="3"/>
      </w:r>
      <w:r w:rsidRPr="001070F8">
        <w:rPr>
          <w:lang w:val="fr-FR"/>
        </w:rPr>
        <w:t xml:space="preserve"> (</w:t>
      </w:r>
      <w:r w:rsidR="00777879" w:rsidRPr="001070F8">
        <w:rPr>
          <w:lang w:val="fr-FR"/>
        </w:rPr>
        <w:t>point</w:t>
      </w:r>
      <w:r w:rsidR="00777879">
        <w:rPr>
          <w:lang w:val="fr-FR"/>
        </w:rPr>
        <w:t> </w:t>
      </w:r>
      <w:r w:rsidR="00777879" w:rsidRPr="001070F8">
        <w:rPr>
          <w:lang w:val="fr-FR"/>
        </w:rPr>
        <w:t>1</w:t>
      </w:r>
      <w:r w:rsidRPr="001070F8">
        <w:rPr>
          <w:lang w:val="fr-FR"/>
        </w:rPr>
        <w:t>.2 du barème des taxes);</w:t>
      </w:r>
    </w:p>
    <w:p w14:paraId="3F0D8793" w14:textId="77777777" w:rsidR="00777879" w:rsidRDefault="001070F8" w:rsidP="00551BF5">
      <w:pPr>
        <w:pStyle w:val="ONUMFS"/>
        <w:numPr>
          <w:ilvl w:val="0"/>
          <w:numId w:val="13"/>
        </w:numPr>
        <w:ind w:left="1134" w:hanging="567"/>
        <w:rPr>
          <w:lang w:val="fr-FR"/>
        </w:rPr>
      </w:pPr>
      <w:r w:rsidRPr="001070F8">
        <w:rPr>
          <w:lang w:val="fr-FR"/>
        </w:rPr>
        <w:t>Suppression de la surtaxe pour la communication d</w:t>
      </w:r>
      <w:r w:rsidR="00777879">
        <w:rPr>
          <w:lang w:val="fr-FR"/>
        </w:rPr>
        <w:t>’</w:t>
      </w:r>
      <w:r w:rsidRPr="001070F8">
        <w:rPr>
          <w:lang w:val="fr-FR"/>
        </w:rPr>
        <w:t>extraits, de copies, de renseignements ou de rapports de recherche par télécopie (</w:t>
      </w:r>
      <w:r w:rsidR="00777879" w:rsidRPr="001070F8">
        <w:rPr>
          <w:lang w:val="fr-FR"/>
        </w:rPr>
        <w:t>point</w:t>
      </w:r>
      <w:r w:rsidR="00777879">
        <w:rPr>
          <w:lang w:val="fr-FR"/>
        </w:rPr>
        <w:t> </w:t>
      </w:r>
      <w:r w:rsidR="00777879" w:rsidRPr="001070F8">
        <w:rPr>
          <w:lang w:val="fr-FR"/>
        </w:rPr>
        <w:t>2</w:t>
      </w:r>
      <w:r w:rsidRPr="001070F8">
        <w:rPr>
          <w:lang w:val="fr-FR"/>
        </w:rPr>
        <w:t>3 du barème des taxes).</w:t>
      </w:r>
    </w:p>
    <w:p w14:paraId="0516F277" w14:textId="77777777" w:rsidR="001070F8" w:rsidRPr="001070F8" w:rsidRDefault="001070F8" w:rsidP="00551BF5">
      <w:pPr>
        <w:pStyle w:val="ONUMFS"/>
        <w:rPr>
          <w:lang w:val="fr-FR"/>
        </w:rPr>
      </w:pPr>
      <w:r w:rsidRPr="001070F8">
        <w:rPr>
          <w:lang w:val="fr-FR"/>
        </w:rPr>
        <w:t>En ce qui concerne l</w:t>
      </w:r>
      <w:r w:rsidR="00777879">
        <w:rPr>
          <w:lang w:val="fr-FR"/>
        </w:rPr>
        <w:t>’</w:t>
      </w:r>
      <w:r w:rsidRPr="001070F8">
        <w:rPr>
          <w:lang w:val="fr-FR"/>
        </w:rPr>
        <w:t>a</w:t>
      </w:r>
      <w:r>
        <w:rPr>
          <w:lang w:val="fr-FR"/>
        </w:rPr>
        <w:t xml:space="preserve">mendement adopté se rapportant </w:t>
      </w:r>
      <w:r w:rsidRPr="001070F8">
        <w:rPr>
          <w:lang w:val="fr-FR"/>
        </w:rPr>
        <w:t xml:space="preserve">au </w:t>
      </w:r>
      <w:r w:rsidR="00777879" w:rsidRPr="001070F8">
        <w:rPr>
          <w:lang w:val="fr-FR"/>
        </w:rPr>
        <w:t>point</w:t>
      </w:r>
      <w:r w:rsidR="00777879">
        <w:rPr>
          <w:lang w:val="fr-FR"/>
        </w:rPr>
        <w:t> </w:t>
      </w:r>
      <w:r w:rsidR="00777879" w:rsidRPr="001070F8">
        <w:rPr>
          <w:lang w:val="fr-FR"/>
        </w:rPr>
        <w:t>1</w:t>
      </w:r>
      <w:r w:rsidRPr="001070F8">
        <w:rPr>
          <w:lang w:val="fr-FR"/>
        </w:rPr>
        <w:t xml:space="preserve">.2 du barème des taxes, il convient de rappeler que les taxes de base sont restées inchangées </w:t>
      </w:r>
      <w:r w:rsidR="00777879" w:rsidRPr="001070F8">
        <w:rPr>
          <w:lang w:val="fr-FR"/>
        </w:rPr>
        <w:t>depuis</w:t>
      </w:r>
      <w:r w:rsidR="00777879">
        <w:rPr>
          <w:lang w:val="fr-FR"/>
        </w:rPr>
        <w:t> </w:t>
      </w:r>
      <w:r w:rsidR="00777879" w:rsidRPr="001070F8">
        <w:rPr>
          <w:lang w:val="fr-FR"/>
        </w:rPr>
        <w:t>1996</w:t>
      </w:r>
      <w:r w:rsidRPr="001070F8">
        <w:rPr>
          <w:lang w:val="fr-FR"/>
        </w:rPr>
        <w:t>.</w:t>
      </w:r>
      <w:r w:rsidRPr="001070F8">
        <w:rPr>
          <w:lang w:val="fr-FR"/>
        </w:rPr>
        <w:tab/>
      </w:r>
    </w:p>
    <w:p w14:paraId="5C606D76" w14:textId="667E09C2" w:rsidR="00C432F0" w:rsidRDefault="001070F8" w:rsidP="00551BF5">
      <w:pPr>
        <w:pStyle w:val="ONUMFS"/>
        <w:rPr>
          <w:lang w:val="fr-FR"/>
        </w:rPr>
      </w:pPr>
      <w:r w:rsidRPr="001070F8">
        <w:rPr>
          <w:lang w:val="fr-FR"/>
        </w:rPr>
        <w:t xml:space="preserve">Le </w:t>
      </w:r>
      <w:r w:rsidR="00777879" w:rsidRPr="001070F8">
        <w:rPr>
          <w:lang w:val="fr-FR"/>
        </w:rPr>
        <w:t>point</w:t>
      </w:r>
      <w:r w:rsidR="00777879">
        <w:rPr>
          <w:lang w:val="fr-FR"/>
        </w:rPr>
        <w:t> </w:t>
      </w:r>
      <w:r w:rsidR="00777879" w:rsidRPr="001070F8">
        <w:rPr>
          <w:lang w:val="fr-FR"/>
        </w:rPr>
        <w:t>2</w:t>
      </w:r>
      <w:r w:rsidRPr="001070F8">
        <w:rPr>
          <w:lang w:val="fr-FR"/>
        </w:rPr>
        <w:t>3 du barème des taxes a été supprimé parce que l</w:t>
      </w:r>
      <w:r w:rsidR="00777879">
        <w:rPr>
          <w:lang w:val="fr-FR"/>
        </w:rPr>
        <w:t>’</w:t>
      </w:r>
      <w:r w:rsidRPr="001070F8">
        <w:rPr>
          <w:lang w:val="fr-FR"/>
        </w:rPr>
        <w:t>utilisation de la télécopie aux fins des communications avec le Bureau international a été supprimée avec effet au</w:t>
      </w:r>
      <w:r w:rsidR="00C432F0">
        <w:rPr>
          <w:lang w:val="fr-FR"/>
        </w:rPr>
        <w:t> </w:t>
      </w:r>
      <w:r w:rsidR="00777879">
        <w:rPr>
          <w:lang w:val="fr-FR"/>
        </w:rPr>
        <w:t>1</w:t>
      </w:r>
      <w:r w:rsidR="00777879" w:rsidRPr="00777879">
        <w:rPr>
          <w:vertAlign w:val="superscript"/>
          <w:lang w:val="fr-FR"/>
        </w:rPr>
        <w:t>er</w:t>
      </w:r>
      <w:r w:rsidR="00777879">
        <w:rPr>
          <w:lang w:val="fr-FR"/>
        </w:rPr>
        <w:t> </w:t>
      </w:r>
      <w:r w:rsidR="00777879" w:rsidRPr="001070F8">
        <w:rPr>
          <w:lang w:val="fr-FR"/>
        </w:rPr>
        <w:t>janvier</w:t>
      </w:r>
      <w:r w:rsidR="00777879">
        <w:rPr>
          <w:lang w:val="fr-FR"/>
        </w:rPr>
        <w:t> </w:t>
      </w:r>
      <w:r w:rsidR="00777879" w:rsidRPr="001070F8">
        <w:rPr>
          <w:lang w:val="fr-FR"/>
        </w:rPr>
        <w:t>20</w:t>
      </w:r>
      <w:r w:rsidRPr="001070F8">
        <w:rPr>
          <w:lang w:val="fr-FR"/>
        </w:rPr>
        <w:t>19</w:t>
      </w:r>
      <w:r>
        <w:rPr>
          <w:rStyle w:val="FootnoteReference"/>
        </w:rPr>
        <w:footnoteReference w:id="4"/>
      </w:r>
      <w:r w:rsidRPr="001070F8">
        <w:rPr>
          <w:lang w:val="fr-FR"/>
        </w:rPr>
        <w:t>.</w:t>
      </w:r>
      <w:r w:rsidR="00C432F0">
        <w:rPr>
          <w:lang w:val="fr-FR"/>
        </w:rPr>
        <w:br w:type="page"/>
      </w:r>
    </w:p>
    <w:p w14:paraId="26369963" w14:textId="77777777" w:rsidR="003B7DFE" w:rsidRPr="003B7DFE" w:rsidRDefault="003B7DFE" w:rsidP="003B7DFE">
      <w:pPr>
        <w:pStyle w:val="ONUMFS"/>
        <w:keepNext/>
        <w:numPr>
          <w:ilvl w:val="0"/>
          <w:numId w:val="0"/>
        </w:numPr>
        <w:rPr>
          <w:rFonts w:eastAsia="Arial"/>
          <w:szCs w:val="22"/>
          <w:lang w:val="fr-FR"/>
        </w:rPr>
      </w:pPr>
    </w:p>
    <w:p w14:paraId="7A54247A" w14:textId="2E810201" w:rsidR="001070F8" w:rsidRPr="001070F8" w:rsidRDefault="001070F8" w:rsidP="003B7DFE">
      <w:pPr>
        <w:pStyle w:val="ONUMFS"/>
        <w:keepNext/>
        <w:rPr>
          <w:rFonts w:eastAsia="Arial"/>
          <w:szCs w:val="22"/>
          <w:lang w:val="fr-FR"/>
        </w:rPr>
      </w:pPr>
      <w:r w:rsidRPr="001070F8">
        <w:rPr>
          <w:lang w:val="fr-FR"/>
        </w:rPr>
        <w:t>Conformément à la décision de l</w:t>
      </w:r>
      <w:r w:rsidR="00777879">
        <w:rPr>
          <w:lang w:val="fr-FR"/>
        </w:rPr>
        <w:t>’</w:t>
      </w:r>
      <w:r w:rsidRPr="001070F8">
        <w:rPr>
          <w:lang w:val="fr-FR"/>
        </w:rPr>
        <w:t>assemblée, les amendements sont les suivants</w:t>
      </w:r>
      <w:r w:rsidR="00777879">
        <w:rPr>
          <w:lang w:val="fr-FR"/>
        </w:rPr>
        <w:t> :</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2250"/>
        <w:gridCol w:w="2150"/>
      </w:tblGrid>
      <w:tr w:rsidR="001070F8" w:rsidRPr="007F23B2" w14:paraId="45393103" w14:textId="77777777" w:rsidTr="009603E3">
        <w:trPr>
          <w:cantSplit/>
          <w:jc w:val="center"/>
        </w:trPr>
        <w:tc>
          <w:tcPr>
            <w:tcW w:w="4680" w:type="dxa"/>
            <w:vAlign w:val="center"/>
          </w:tcPr>
          <w:p w14:paraId="090849A5" w14:textId="77777777" w:rsidR="001070F8" w:rsidRPr="00B62768" w:rsidRDefault="001070F8" w:rsidP="00551BF5">
            <w:pPr>
              <w:keepNext/>
              <w:jc w:val="both"/>
              <w:rPr>
                <w:b/>
                <w:bCs/>
                <w:i/>
                <w:iCs/>
              </w:rPr>
            </w:pPr>
            <w:r w:rsidRPr="001070F8">
              <w:rPr>
                <w:lang w:val="fr-FR"/>
              </w:rPr>
              <w:br w:type="page"/>
            </w:r>
            <w:r w:rsidRPr="001070F8">
              <w:rPr>
                <w:lang w:val="fr-FR"/>
              </w:rPr>
              <w:br w:type="page"/>
            </w:r>
            <w:r>
              <w:rPr>
                <w:b/>
              </w:rPr>
              <w:t>Taxes</w:t>
            </w:r>
          </w:p>
        </w:tc>
        <w:tc>
          <w:tcPr>
            <w:tcW w:w="2250" w:type="dxa"/>
            <w:vAlign w:val="center"/>
          </w:tcPr>
          <w:p w14:paraId="1DFDF305" w14:textId="77777777" w:rsidR="001070F8" w:rsidRPr="001070F8" w:rsidRDefault="001070F8" w:rsidP="00551BF5">
            <w:pPr>
              <w:keepNext/>
              <w:jc w:val="center"/>
              <w:rPr>
                <w:b/>
                <w:lang w:val="fr-FR"/>
              </w:rPr>
            </w:pPr>
            <w:r w:rsidRPr="001070F8">
              <w:rPr>
                <w:b/>
                <w:lang w:val="fr-FR"/>
              </w:rPr>
              <w:t>Montants actuels</w:t>
            </w:r>
            <w:r w:rsidRPr="001070F8">
              <w:rPr>
                <w:b/>
                <w:i/>
                <w:lang w:val="fr-FR"/>
              </w:rPr>
              <w:br/>
            </w:r>
            <w:r w:rsidRPr="001070F8">
              <w:rPr>
                <w:i/>
                <w:lang w:val="fr-FR"/>
              </w:rPr>
              <w:t>(en francs suisses)</w:t>
            </w:r>
          </w:p>
        </w:tc>
        <w:tc>
          <w:tcPr>
            <w:tcW w:w="2150" w:type="dxa"/>
            <w:tcBorders>
              <w:bottom w:val="single" w:sz="4" w:space="0" w:color="auto"/>
            </w:tcBorders>
            <w:vAlign w:val="center"/>
          </w:tcPr>
          <w:p w14:paraId="3260C382" w14:textId="77777777" w:rsidR="001070F8" w:rsidRPr="001070F8" w:rsidRDefault="001070F8" w:rsidP="00551BF5">
            <w:pPr>
              <w:keepNext/>
              <w:jc w:val="center"/>
              <w:rPr>
                <w:b/>
                <w:lang w:val="fr-FR"/>
              </w:rPr>
            </w:pPr>
            <w:r w:rsidRPr="001070F8">
              <w:rPr>
                <w:b/>
                <w:lang w:val="fr-FR"/>
              </w:rPr>
              <w:t>Nouveaux montants</w:t>
            </w:r>
            <w:r w:rsidRPr="001070F8">
              <w:rPr>
                <w:b/>
                <w:i/>
                <w:lang w:val="fr-FR"/>
              </w:rPr>
              <w:br/>
            </w:r>
            <w:r w:rsidRPr="001070F8">
              <w:rPr>
                <w:i/>
                <w:lang w:val="fr-FR"/>
              </w:rPr>
              <w:t>(en francs suisses)</w:t>
            </w:r>
          </w:p>
        </w:tc>
      </w:tr>
      <w:tr w:rsidR="001070F8" w:rsidRPr="006D7816" w14:paraId="5E917C91" w14:textId="77777777" w:rsidTr="009603E3">
        <w:trPr>
          <w:trHeight w:val="350"/>
          <w:jc w:val="center"/>
        </w:trPr>
        <w:tc>
          <w:tcPr>
            <w:tcW w:w="4680" w:type="dxa"/>
            <w:vAlign w:val="center"/>
          </w:tcPr>
          <w:p w14:paraId="3E1A1150" w14:textId="77777777" w:rsidR="001070F8" w:rsidRDefault="001070F8" w:rsidP="00551BF5">
            <w:pPr>
              <w:pStyle w:val="ListParagraph"/>
              <w:numPr>
                <w:ilvl w:val="0"/>
                <w:numId w:val="12"/>
              </w:numPr>
              <w:ind w:left="457" w:hanging="457"/>
            </w:pPr>
            <w:r>
              <w:t>Taxe de base pour le dépôt d</w:t>
            </w:r>
            <w:r w:rsidR="00777879">
              <w:t>’</w:t>
            </w:r>
            <w:r>
              <w:t>une demande internationale</w:t>
            </w:r>
          </w:p>
          <w:p w14:paraId="09170002" w14:textId="7DDF78D8" w:rsidR="001070F8" w:rsidRPr="001070F8" w:rsidRDefault="001070F8" w:rsidP="004B6EC9">
            <w:pPr>
              <w:tabs>
                <w:tab w:val="left" w:pos="457"/>
              </w:tabs>
              <w:spacing w:before="120" w:after="120"/>
              <w:ind w:left="870" w:hanging="413"/>
              <w:rPr>
                <w:lang w:val="fr-FR"/>
              </w:rPr>
            </w:pPr>
            <w:r w:rsidRPr="001070F8">
              <w:rPr>
                <w:lang w:val="fr-FR"/>
              </w:rPr>
              <w:t xml:space="preserve">1.2 </w:t>
            </w:r>
            <w:r w:rsidR="0082124B">
              <w:rPr>
                <w:lang w:val="fr-FR"/>
              </w:rPr>
              <w:tab/>
            </w:r>
            <w:r w:rsidRPr="001070F8">
              <w:rPr>
                <w:lang w:val="fr-FR"/>
              </w:rPr>
              <w:t>Pour chaque dessin ou modèle supplémentaire compris dans la même demande internationale</w:t>
            </w:r>
            <w:r>
              <w:rPr>
                <w:rStyle w:val="FootnoteReference"/>
              </w:rPr>
              <w:footnoteReference w:id="5"/>
            </w:r>
          </w:p>
        </w:tc>
        <w:tc>
          <w:tcPr>
            <w:tcW w:w="2250" w:type="dxa"/>
            <w:tcBorders>
              <w:bottom w:val="single" w:sz="4" w:space="0" w:color="auto"/>
            </w:tcBorders>
            <w:vAlign w:val="bottom"/>
          </w:tcPr>
          <w:p w14:paraId="52680D50" w14:textId="77777777" w:rsidR="001070F8" w:rsidRPr="00841490" w:rsidRDefault="001070F8" w:rsidP="00551BF5">
            <w:pPr>
              <w:spacing w:before="120" w:after="120"/>
              <w:ind w:right="61"/>
              <w:jc w:val="center"/>
            </w:pPr>
            <w:r>
              <w:t>19</w:t>
            </w:r>
          </w:p>
        </w:tc>
        <w:tc>
          <w:tcPr>
            <w:tcW w:w="2150" w:type="dxa"/>
            <w:tcBorders>
              <w:bottom w:val="single" w:sz="4" w:space="0" w:color="auto"/>
            </w:tcBorders>
            <w:vAlign w:val="bottom"/>
          </w:tcPr>
          <w:p w14:paraId="7CD3A5ED" w14:textId="77777777" w:rsidR="001070F8" w:rsidRPr="00FB3D1C" w:rsidRDefault="001070F8" w:rsidP="00551BF5">
            <w:pPr>
              <w:spacing w:before="120" w:after="120"/>
              <w:ind w:right="61"/>
              <w:jc w:val="center"/>
            </w:pPr>
            <w:r>
              <w:t>50</w:t>
            </w:r>
          </w:p>
        </w:tc>
      </w:tr>
      <w:tr w:rsidR="001070F8" w:rsidRPr="006D7816" w14:paraId="6658A85A" w14:textId="77777777" w:rsidTr="009603E3">
        <w:trPr>
          <w:trHeight w:val="350"/>
          <w:jc w:val="center"/>
        </w:trPr>
        <w:tc>
          <w:tcPr>
            <w:tcW w:w="4680" w:type="dxa"/>
            <w:vAlign w:val="center"/>
          </w:tcPr>
          <w:p w14:paraId="0E64B01A" w14:textId="77777777" w:rsidR="001070F8" w:rsidRPr="001070F8" w:rsidRDefault="001070F8" w:rsidP="00551BF5">
            <w:pPr>
              <w:spacing w:before="120" w:after="120"/>
              <w:ind w:left="510" w:hanging="510"/>
              <w:rPr>
                <w:lang w:val="fr-FR"/>
              </w:rPr>
            </w:pPr>
            <w:r w:rsidRPr="001070F8">
              <w:rPr>
                <w:lang w:val="fr-FR"/>
              </w:rPr>
              <w:t>23.</w:t>
            </w:r>
            <w:r w:rsidRPr="001070F8">
              <w:rPr>
                <w:lang w:val="fr-FR"/>
              </w:rPr>
              <w:tab/>
              <w:t>Surtaxe pour la communication d</w:t>
            </w:r>
            <w:r w:rsidR="00777879">
              <w:rPr>
                <w:lang w:val="fr-FR"/>
              </w:rPr>
              <w:t>’</w:t>
            </w:r>
            <w:r w:rsidRPr="001070F8">
              <w:rPr>
                <w:lang w:val="fr-FR"/>
              </w:rPr>
              <w:t>extraits, de copies, de renseignements ou de rapports de recherche par télécopie (par page)</w:t>
            </w:r>
          </w:p>
        </w:tc>
        <w:tc>
          <w:tcPr>
            <w:tcW w:w="2250" w:type="dxa"/>
            <w:tcBorders>
              <w:bottom w:val="single" w:sz="4" w:space="0" w:color="auto"/>
            </w:tcBorders>
            <w:vAlign w:val="center"/>
          </w:tcPr>
          <w:p w14:paraId="47C49EBA" w14:textId="77777777" w:rsidR="001070F8" w:rsidRPr="008B0B84" w:rsidRDefault="001070F8" w:rsidP="00551BF5">
            <w:pPr>
              <w:spacing w:before="120" w:after="120"/>
              <w:ind w:right="61"/>
              <w:jc w:val="center"/>
            </w:pPr>
            <w:r>
              <w:t>4</w:t>
            </w:r>
          </w:p>
        </w:tc>
        <w:tc>
          <w:tcPr>
            <w:tcW w:w="2150" w:type="dxa"/>
            <w:tcBorders>
              <w:bottom w:val="single" w:sz="4" w:space="0" w:color="auto"/>
            </w:tcBorders>
            <w:vAlign w:val="center"/>
          </w:tcPr>
          <w:p w14:paraId="5D0A11C5" w14:textId="77777777" w:rsidR="001070F8" w:rsidRPr="00551BF5" w:rsidRDefault="001070F8" w:rsidP="00551BF5">
            <w:pPr>
              <w:spacing w:before="120" w:after="120"/>
              <w:ind w:right="61"/>
              <w:jc w:val="center"/>
              <w:rPr>
                <w:lang w:val="fr-FR"/>
              </w:rPr>
            </w:pPr>
            <w:r w:rsidRPr="00551BF5">
              <w:rPr>
                <w:lang w:val="fr-FR"/>
              </w:rPr>
              <w:t>Supprimé</w:t>
            </w:r>
          </w:p>
        </w:tc>
      </w:tr>
    </w:tbl>
    <w:p w14:paraId="723F7336" w14:textId="6E6B80F5" w:rsidR="001070F8" w:rsidRPr="001070F8" w:rsidRDefault="001070F8" w:rsidP="00551BF5">
      <w:pPr>
        <w:pStyle w:val="ONUMFS"/>
        <w:spacing w:before="220"/>
        <w:rPr>
          <w:lang w:val="fr-FR"/>
        </w:rPr>
      </w:pPr>
      <w:r w:rsidRPr="001070F8">
        <w:rPr>
          <w:lang w:val="fr-FR"/>
        </w:rPr>
        <w:t xml:space="preserve">Les </w:t>
      </w:r>
      <w:r w:rsidR="005221E6">
        <w:rPr>
          <w:lang w:val="fr-FR"/>
        </w:rPr>
        <w:t>modifications ci-dessus du barème des taxes</w:t>
      </w:r>
      <w:r w:rsidRPr="001070F8">
        <w:rPr>
          <w:lang w:val="fr-FR"/>
        </w:rPr>
        <w:t xml:space="preserve">, </w:t>
      </w:r>
      <w:r w:rsidR="005221E6">
        <w:rPr>
          <w:lang w:val="fr-FR"/>
        </w:rPr>
        <w:t xml:space="preserve">telles </w:t>
      </w:r>
      <w:r w:rsidR="0082124B">
        <w:rPr>
          <w:lang w:val="fr-FR"/>
        </w:rPr>
        <w:t>que</w:t>
      </w:r>
      <w:r w:rsidRPr="001070F8">
        <w:rPr>
          <w:lang w:val="fr-FR"/>
        </w:rPr>
        <w:t xml:space="preserve"> reproduites dans l</w:t>
      </w:r>
      <w:r w:rsidR="00777879">
        <w:rPr>
          <w:lang w:val="fr-FR"/>
        </w:rPr>
        <w:t>’</w:t>
      </w:r>
      <w:r w:rsidRPr="001070F8">
        <w:rPr>
          <w:lang w:val="fr-FR"/>
        </w:rPr>
        <w:t xml:space="preserve">annexe du présent avis, </w:t>
      </w:r>
      <w:r w:rsidR="005221E6">
        <w:rPr>
          <w:lang w:val="fr-FR"/>
        </w:rPr>
        <w:t>entreront</w:t>
      </w:r>
      <w:r w:rsidRPr="001070F8">
        <w:rPr>
          <w:lang w:val="fr-FR"/>
        </w:rPr>
        <w:t xml:space="preserve"> en vigueur le</w:t>
      </w:r>
      <w:r w:rsidR="00777879">
        <w:rPr>
          <w:lang w:val="fr-FR"/>
        </w:rPr>
        <w:t xml:space="preserve"> 1</w:t>
      </w:r>
      <w:r w:rsidR="00777879" w:rsidRPr="00777879">
        <w:rPr>
          <w:vertAlign w:val="superscript"/>
          <w:lang w:val="fr-FR"/>
        </w:rPr>
        <w:t>er</w:t>
      </w:r>
      <w:r w:rsidR="00777879">
        <w:rPr>
          <w:lang w:val="fr-FR"/>
        </w:rPr>
        <w:t> </w:t>
      </w:r>
      <w:r w:rsidR="00777879" w:rsidRPr="001070F8">
        <w:rPr>
          <w:lang w:val="fr-FR"/>
        </w:rPr>
        <w:t>janvier</w:t>
      </w:r>
      <w:r w:rsidR="00777879">
        <w:rPr>
          <w:lang w:val="fr-FR"/>
        </w:rPr>
        <w:t> </w:t>
      </w:r>
      <w:r w:rsidR="00777879" w:rsidRPr="001070F8">
        <w:rPr>
          <w:lang w:val="fr-FR"/>
        </w:rPr>
        <w:t>20</w:t>
      </w:r>
      <w:r w:rsidRPr="001070F8">
        <w:rPr>
          <w:lang w:val="fr-FR"/>
        </w:rPr>
        <w:t>24.</w:t>
      </w:r>
    </w:p>
    <w:p w14:paraId="0733DBC0" w14:textId="7BB01E22" w:rsidR="001070F8" w:rsidRPr="00551BF5" w:rsidRDefault="003B7DFE" w:rsidP="00551BF5">
      <w:pPr>
        <w:pStyle w:val="Endofdocument-Annex"/>
        <w:spacing w:before="720"/>
        <w:rPr>
          <w:lang w:val="fr-FR"/>
        </w:rPr>
      </w:pPr>
      <w:r>
        <w:rPr>
          <w:lang w:val="fr-FR" w:eastAsia="ja-JP"/>
        </w:rPr>
        <w:t>9</w:t>
      </w:r>
      <w:r w:rsidR="001C32BE" w:rsidRPr="00551BF5">
        <w:rPr>
          <w:lang w:val="fr-FR" w:eastAsia="ja-JP"/>
        </w:rPr>
        <w:t> </w:t>
      </w:r>
      <w:r w:rsidR="001070F8" w:rsidRPr="00551BF5">
        <w:rPr>
          <w:lang w:val="fr-FR" w:eastAsia="ja-JP"/>
        </w:rPr>
        <w:t>novembre</w:t>
      </w:r>
      <w:r w:rsidR="006F18C8" w:rsidRPr="00551BF5">
        <w:rPr>
          <w:lang w:val="fr-FR" w:eastAsia="ja-JP"/>
        </w:rPr>
        <w:t> </w:t>
      </w:r>
      <w:r w:rsidR="00AD1B68" w:rsidRPr="00551BF5">
        <w:rPr>
          <w:lang w:val="fr-FR" w:eastAsia="ja-JP"/>
        </w:rPr>
        <w:t>20</w:t>
      </w:r>
      <w:r w:rsidR="00096EA4" w:rsidRPr="00551BF5">
        <w:rPr>
          <w:lang w:val="fr-FR" w:eastAsia="ja-JP"/>
        </w:rPr>
        <w:t>2</w:t>
      </w:r>
      <w:r w:rsidR="001070F8" w:rsidRPr="00551BF5">
        <w:rPr>
          <w:lang w:val="fr-FR" w:eastAsia="ja-JP"/>
        </w:rPr>
        <w:t>3</w:t>
      </w:r>
    </w:p>
    <w:p w14:paraId="6B821569" w14:textId="77777777" w:rsidR="001070F8" w:rsidRPr="00551BF5" w:rsidRDefault="001070F8" w:rsidP="00551BF5">
      <w:pPr>
        <w:pStyle w:val="Endofdocument-Annex"/>
        <w:spacing w:before="480"/>
        <w:rPr>
          <w:lang w:val="fr-FR"/>
        </w:rPr>
        <w:sectPr w:rsidR="001070F8" w:rsidRPr="00551BF5" w:rsidSect="00551BF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14:paraId="787C53FA" w14:textId="77777777" w:rsidR="001070F8" w:rsidRPr="00551BF5" w:rsidRDefault="001070F8" w:rsidP="00551BF5">
      <w:pPr>
        <w:pStyle w:val="Endofdocument-Annex"/>
        <w:spacing w:before="480"/>
        <w:ind w:left="0"/>
        <w:rPr>
          <w:lang w:val="fr-FR"/>
        </w:rPr>
      </w:pPr>
    </w:p>
    <w:p w14:paraId="54AEA152" w14:textId="77777777" w:rsidR="00777879" w:rsidRDefault="001070F8" w:rsidP="00551BF5">
      <w:pPr>
        <w:pStyle w:val="Endofdocument-Annex"/>
        <w:spacing w:before="480"/>
        <w:ind w:left="0"/>
        <w:jc w:val="center"/>
        <w:rPr>
          <w:b/>
          <w:lang w:val="fr-FR"/>
        </w:rPr>
      </w:pPr>
      <w:r w:rsidRPr="001070F8">
        <w:rPr>
          <w:b/>
          <w:lang w:val="fr-FR"/>
        </w:rPr>
        <w:t>Règlement d</w:t>
      </w:r>
      <w:r w:rsidR="00777879">
        <w:rPr>
          <w:b/>
          <w:lang w:val="fr-FR"/>
        </w:rPr>
        <w:t>’</w:t>
      </w:r>
      <w:r w:rsidRPr="001070F8">
        <w:rPr>
          <w:b/>
          <w:lang w:val="fr-FR"/>
        </w:rPr>
        <w:t>exécution commun</w:t>
      </w:r>
    </w:p>
    <w:p w14:paraId="4A6F983C" w14:textId="77777777" w:rsidR="00777879" w:rsidRDefault="001070F8" w:rsidP="00551BF5">
      <w:pPr>
        <w:pStyle w:val="Endofdocument-Annex"/>
        <w:ind w:left="0"/>
        <w:jc w:val="center"/>
        <w:rPr>
          <w:b/>
          <w:lang w:val="fr-FR"/>
        </w:rPr>
      </w:pPr>
      <w:r w:rsidRPr="001070F8">
        <w:rPr>
          <w:b/>
          <w:lang w:val="fr-FR"/>
        </w:rPr>
        <w:t>à l</w:t>
      </w:r>
      <w:r w:rsidR="00777879">
        <w:rPr>
          <w:b/>
          <w:lang w:val="fr-FR"/>
        </w:rPr>
        <w:t>’</w:t>
      </w:r>
      <w:r w:rsidRPr="001070F8">
        <w:rPr>
          <w:b/>
          <w:lang w:val="fr-FR"/>
        </w:rPr>
        <w:t>Acte de 1999 et l</w:t>
      </w:r>
      <w:r w:rsidR="00777879">
        <w:rPr>
          <w:b/>
          <w:lang w:val="fr-FR"/>
        </w:rPr>
        <w:t>’</w:t>
      </w:r>
      <w:r w:rsidRPr="001070F8">
        <w:rPr>
          <w:b/>
          <w:lang w:val="fr-FR"/>
        </w:rPr>
        <w:t>Acte de 1960</w:t>
      </w:r>
    </w:p>
    <w:p w14:paraId="363020A5" w14:textId="77777777" w:rsidR="001070F8" w:rsidRPr="001070F8" w:rsidRDefault="001070F8" w:rsidP="00551BF5">
      <w:pPr>
        <w:pStyle w:val="Endofdocument-Annex"/>
        <w:ind w:left="0"/>
        <w:jc w:val="center"/>
        <w:rPr>
          <w:b/>
          <w:bCs/>
          <w:szCs w:val="22"/>
          <w:lang w:val="fr-FR"/>
        </w:rPr>
      </w:pPr>
      <w:r w:rsidRPr="001070F8">
        <w:rPr>
          <w:b/>
          <w:lang w:val="fr-FR"/>
        </w:rPr>
        <w:t>de l</w:t>
      </w:r>
      <w:r w:rsidR="00777879">
        <w:rPr>
          <w:b/>
          <w:lang w:val="fr-FR"/>
        </w:rPr>
        <w:t>’</w:t>
      </w:r>
      <w:r w:rsidRPr="001070F8">
        <w:rPr>
          <w:b/>
          <w:lang w:val="fr-FR"/>
        </w:rPr>
        <w:t xml:space="preserve">Arrangement de </w:t>
      </w:r>
      <w:r w:rsidR="00777879">
        <w:rPr>
          <w:b/>
          <w:lang w:val="fr-FR"/>
        </w:rPr>
        <w:t>La Haye</w:t>
      </w:r>
    </w:p>
    <w:p w14:paraId="6F613487" w14:textId="77777777" w:rsidR="001070F8" w:rsidRPr="001070F8" w:rsidRDefault="001070F8" w:rsidP="00551BF5">
      <w:pPr>
        <w:pStyle w:val="Endofdocument-Annex"/>
        <w:spacing w:before="480"/>
        <w:ind w:left="0"/>
        <w:rPr>
          <w:lang w:val="fr-FR"/>
        </w:rPr>
      </w:pPr>
    </w:p>
    <w:p w14:paraId="7F291008" w14:textId="77777777" w:rsidR="001070F8" w:rsidRPr="001070F8" w:rsidRDefault="001070F8" w:rsidP="00551BF5">
      <w:pPr>
        <w:jc w:val="center"/>
        <w:rPr>
          <w:rFonts w:ascii="Times New Roman" w:eastAsia="Times New Roman" w:hAnsi="Times New Roman" w:cs="Times New Roman"/>
          <w:szCs w:val="22"/>
          <w:lang w:val="fr-FR"/>
        </w:rPr>
      </w:pPr>
      <w:r w:rsidRPr="001070F8">
        <w:rPr>
          <w:rFonts w:ascii="Times New Roman" w:hAnsi="Times New Roman"/>
          <w:lang w:val="fr-FR"/>
        </w:rPr>
        <w:t>BARÈME DES TAXES</w:t>
      </w:r>
    </w:p>
    <w:p w14:paraId="6558FFCF" w14:textId="77777777" w:rsidR="001070F8" w:rsidRPr="001070F8" w:rsidRDefault="001070F8" w:rsidP="00551BF5">
      <w:pPr>
        <w:jc w:val="center"/>
        <w:outlineLvl w:val="0"/>
        <w:rPr>
          <w:rFonts w:ascii="Times New Roman" w:eastAsia="Times New Roman" w:hAnsi="Times New Roman" w:cs="Times New Roman"/>
          <w:szCs w:val="22"/>
          <w:lang w:val="fr-FR"/>
        </w:rPr>
      </w:pPr>
      <w:r w:rsidRPr="001070F8">
        <w:rPr>
          <w:rFonts w:ascii="Times New Roman" w:hAnsi="Times New Roman"/>
          <w:lang w:val="fr-FR"/>
        </w:rPr>
        <w:t>(en vigueur le</w:t>
      </w:r>
      <w:r w:rsidR="00777879">
        <w:rPr>
          <w:rFonts w:ascii="Times New Roman" w:hAnsi="Times New Roman"/>
          <w:lang w:val="fr-FR"/>
        </w:rPr>
        <w:t xml:space="preserve"> 1</w:t>
      </w:r>
      <w:r w:rsidR="00777879" w:rsidRPr="00777879">
        <w:rPr>
          <w:rFonts w:ascii="Times New Roman" w:hAnsi="Times New Roman"/>
          <w:vertAlign w:val="superscript"/>
          <w:lang w:val="fr-FR"/>
        </w:rPr>
        <w:t>er</w:t>
      </w:r>
      <w:r w:rsidR="00777879">
        <w:rPr>
          <w:rFonts w:ascii="Times New Roman" w:hAnsi="Times New Roman"/>
          <w:lang w:val="fr-FR"/>
        </w:rPr>
        <w:t> </w:t>
      </w:r>
      <w:r w:rsidR="00777879" w:rsidRPr="001070F8">
        <w:rPr>
          <w:rFonts w:ascii="Times New Roman" w:hAnsi="Times New Roman"/>
          <w:lang w:val="fr-FR"/>
        </w:rPr>
        <w:t>janvier</w:t>
      </w:r>
      <w:r w:rsidR="00777879">
        <w:rPr>
          <w:rFonts w:ascii="Times New Roman" w:hAnsi="Times New Roman"/>
          <w:lang w:val="fr-FR"/>
        </w:rPr>
        <w:t> </w:t>
      </w:r>
      <w:r w:rsidR="00777879" w:rsidRPr="001070F8">
        <w:rPr>
          <w:rFonts w:ascii="Times New Roman" w:hAnsi="Times New Roman"/>
          <w:lang w:val="fr-FR"/>
        </w:rPr>
        <w:t>20</w:t>
      </w:r>
      <w:r w:rsidRPr="001070F8">
        <w:rPr>
          <w:rFonts w:ascii="Times New Roman" w:hAnsi="Times New Roman"/>
          <w:lang w:val="fr-FR"/>
        </w:rPr>
        <w:t>24)</w:t>
      </w:r>
    </w:p>
    <w:p w14:paraId="225AA09C" w14:textId="77777777" w:rsidR="001070F8" w:rsidRPr="00D16888" w:rsidRDefault="001070F8" w:rsidP="00551BF5">
      <w:pPr>
        <w:jc w:val="center"/>
        <w:outlineLvl w:val="0"/>
        <w:rPr>
          <w:rFonts w:ascii="Times New Roman" w:eastAsia="Times New Roman" w:hAnsi="Times New Roman" w:cs="Times New Roman"/>
          <w:sz w:val="28"/>
          <w:szCs w:val="28"/>
          <w:lang w:val="fr-FR" w:eastAsia="ja-JP"/>
        </w:rPr>
      </w:pPr>
    </w:p>
    <w:p w14:paraId="09D0568B" w14:textId="617FA0F5" w:rsidR="001070F8" w:rsidRPr="001070F8" w:rsidRDefault="005221E6" w:rsidP="005221E6">
      <w:pPr>
        <w:tabs>
          <w:tab w:val="left" w:pos="7110"/>
        </w:tabs>
        <w:ind w:left="567" w:hanging="567"/>
        <w:jc w:val="center"/>
        <w:outlineLvl w:val="4"/>
        <w:rPr>
          <w:rFonts w:eastAsia="Times New Roman"/>
          <w:i/>
          <w:szCs w:val="22"/>
          <w:lang w:val="fr-FR"/>
        </w:rPr>
      </w:pPr>
      <w:r>
        <w:rPr>
          <w:i/>
          <w:lang w:val="fr-FR"/>
        </w:rPr>
        <w:tab/>
      </w:r>
      <w:r>
        <w:rPr>
          <w:i/>
          <w:lang w:val="fr-FR"/>
        </w:rPr>
        <w:tab/>
      </w:r>
      <w:r w:rsidR="001070F8" w:rsidRPr="001070F8">
        <w:rPr>
          <w:i/>
          <w:lang w:val="fr-FR"/>
        </w:rPr>
        <w:t>Francs suisses</w:t>
      </w:r>
    </w:p>
    <w:p w14:paraId="1894CC1E" w14:textId="77777777" w:rsidR="001070F8" w:rsidRPr="00D16888" w:rsidRDefault="001070F8" w:rsidP="00551BF5">
      <w:pPr>
        <w:ind w:left="567" w:hanging="567"/>
        <w:jc w:val="right"/>
        <w:outlineLvl w:val="4"/>
        <w:rPr>
          <w:rFonts w:eastAsia="Times New Roman"/>
          <w:i/>
          <w:szCs w:val="22"/>
          <w:lang w:val="fr-FR" w:eastAsia="ja-JP"/>
        </w:rPr>
      </w:pPr>
    </w:p>
    <w:p w14:paraId="1F676887" w14:textId="77777777" w:rsidR="001070F8" w:rsidRPr="001070F8" w:rsidRDefault="001070F8" w:rsidP="00551BF5">
      <w:pPr>
        <w:ind w:left="567" w:hanging="567"/>
        <w:jc w:val="both"/>
        <w:rPr>
          <w:rFonts w:eastAsia="Times New Roman"/>
          <w:szCs w:val="22"/>
          <w:lang w:val="fr-FR"/>
        </w:rPr>
      </w:pPr>
      <w:r w:rsidRPr="001070F8">
        <w:rPr>
          <w:lang w:val="fr-FR"/>
        </w:rPr>
        <w:t>I.</w:t>
      </w:r>
      <w:r w:rsidR="00551BF5">
        <w:rPr>
          <w:lang w:val="fr-FR"/>
        </w:rPr>
        <w:tab/>
      </w:r>
      <w:r w:rsidRPr="001070F8">
        <w:rPr>
          <w:i/>
          <w:lang w:val="fr-FR"/>
        </w:rPr>
        <w:t>Demandes internationales</w:t>
      </w:r>
    </w:p>
    <w:p w14:paraId="5D21BD69" w14:textId="77777777" w:rsidR="001070F8" w:rsidRPr="001070F8" w:rsidRDefault="001070F8" w:rsidP="00551BF5">
      <w:pPr>
        <w:ind w:left="567" w:hanging="567"/>
        <w:jc w:val="both"/>
        <w:rPr>
          <w:rFonts w:eastAsia="Times New Roman"/>
          <w:szCs w:val="22"/>
          <w:lang w:val="fr-FR" w:eastAsia="ja-JP"/>
        </w:rPr>
      </w:pPr>
    </w:p>
    <w:p w14:paraId="726C5216" w14:textId="77777777" w:rsidR="001070F8" w:rsidRPr="001070F8" w:rsidRDefault="001070F8" w:rsidP="00551BF5">
      <w:pPr>
        <w:tabs>
          <w:tab w:val="right" w:pos="8363"/>
        </w:tabs>
        <w:ind w:left="567" w:right="1985" w:hanging="567"/>
        <w:jc w:val="both"/>
        <w:rPr>
          <w:rFonts w:eastAsia="Times New Roman"/>
          <w:szCs w:val="22"/>
          <w:lang w:val="fr-FR"/>
        </w:rPr>
      </w:pPr>
      <w:r w:rsidRPr="001070F8">
        <w:rPr>
          <w:lang w:val="fr-FR"/>
        </w:rPr>
        <w:t>1.</w:t>
      </w:r>
      <w:r w:rsidRPr="001070F8">
        <w:rPr>
          <w:lang w:val="fr-FR"/>
        </w:rPr>
        <w:tab/>
        <w:t>Taxe de base</w:t>
      </w:r>
      <w:r w:rsidRPr="00D16888">
        <w:rPr>
          <w:rFonts w:eastAsia="Times New Roman"/>
          <w:szCs w:val="22"/>
          <w:vertAlign w:val="superscript"/>
          <w:lang w:val="fr-FR" w:eastAsia="ja-JP"/>
        </w:rPr>
        <w:footnoteReference w:customMarkFollows="1" w:id="6"/>
        <w:t>*</w:t>
      </w:r>
    </w:p>
    <w:p w14:paraId="40961A3E" w14:textId="77777777" w:rsidR="001070F8" w:rsidRPr="001070F8" w:rsidRDefault="001070F8" w:rsidP="00E7401A">
      <w:pPr>
        <w:tabs>
          <w:tab w:val="left" w:pos="567"/>
          <w:tab w:val="right" w:pos="8364"/>
        </w:tabs>
        <w:ind w:left="1260" w:right="1985" w:hanging="693"/>
        <w:jc w:val="both"/>
        <w:rPr>
          <w:rFonts w:eastAsia="Times New Roman"/>
          <w:szCs w:val="22"/>
          <w:lang w:val="fr-FR"/>
        </w:rPr>
      </w:pPr>
      <w:r w:rsidRPr="001070F8">
        <w:rPr>
          <w:lang w:val="fr-FR"/>
        </w:rPr>
        <w:t>1.1</w:t>
      </w:r>
      <w:r w:rsidRPr="001070F8">
        <w:rPr>
          <w:lang w:val="fr-FR"/>
        </w:rPr>
        <w:tab/>
        <w:t>Pour un dessin ou modèle</w:t>
      </w:r>
      <w:r w:rsidRPr="001070F8">
        <w:rPr>
          <w:lang w:val="fr-FR"/>
        </w:rPr>
        <w:tab/>
        <w:t>397</w:t>
      </w:r>
    </w:p>
    <w:p w14:paraId="597986ED" w14:textId="77777777" w:rsidR="001070F8" w:rsidRPr="001070F8" w:rsidRDefault="001070F8" w:rsidP="00E7401A">
      <w:pPr>
        <w:tabs>
          <w:tab w:val="left" w:pos="567"/>
          <w:tab w:val="right" w:pos="8364"/>
        </w:tabs>
        <w:ind w:left="1260" w:right="1985" w:hanging="693"/>
        <w:jc w:val="both"/>
        <w:rPr>
          <w:rFonts w:eastAsia="Times New Roman"/>
          <w:szCs w:val="22"/>
          <w:lang w:val="fr-FR"/>
        </w:rPr>
      </w:pPr>
      <w:r w:rsidRPr="001070F8">
        <w:rPr>
          <w:lang w:val="fr-FR"/>
        </w:rPr>
        <w:t>1.2</w:t>
      </w:r>
      <w:r w:rsidRPr="001070F8">
        <w:rPr>
          <w:lang w:val="fr-FR"/>
        </w:rPr>
        <w:tab/>
        <w:t>Pour chaque dessin ou modèle supplémentaire compris dans la même demande internationale</w:t>
      </w:r>
      <w:r w:rsidRPr="001070F8">
        <w:rPr>
          <w:lang w:val="fr-FR"/>
        </w:rPr>
        <w:tab/>
        <w:t>50</w:t>
      </w:r>
    </w:p>
    <w:p w14:paraId="1E080F6B" w14:textId="77777777" w:rsidR="001070F8" w:rsidRPr="001070F8" w:rsidRDefault="001070F8" w:rsidP="00551BF5">
      <w:pPr>
        <w:pStyle w:val="Endofdocument-Annex"/>
        <w:spacing w:before="240"/>
        <w:ind w:left="0"/>
        <w:rPr>
          <w:szCs w:val="22"/>
          <w:lang w:val="fr-FR"/>
        </w:rPr>
      </w:pPr>
      <w:r w:rsidRPr="001070F8">
        <w:rPr>
          <w:lang w:val="fr-FR"/>
        </w:rPr>
        <w:t>[…]</w:t>
      </w:r>
    </w:p>
    <w:p w14:paraId="364449A6" w14:textId="77777777" w:rsidR="001070F8" w:rsidRPr="00D16888" w:rsidRDefault="001070F8" w:rsidP="00551BF5">
      <w:pPr>
        <w:jc w:val="both"/>
        <w:rPr>
          <w:rFonts w:eastAsia="Times New Roman"/>
          <w:szCs w:val="22"/>
          <w:lang w:val="fr-FR" w:eastAsia="ja-JP"/>
        </w:rPr>
      </w:pPr>
    </w:p>
    <w:p w14:paraId="74CA2D9C" w14:textId="77777777" w:rsidR="001070F8" w:rsidRPr="001070F8" w:rsidRDefault="001070F8" w:rsidP="00551BF5">
      <w:pPr>
        <w:jc w:val="both"/>
        <w:rPr>
          <w:rFonts w:eastAsia="Times New Roman"/>
          <w:szCs w:val="22"/>
          <w:lang w:val="fr-FR"/>
        </w:rPr>
      </w:pPr>
      <w:r w:rsidRPr="001070F8">
        <w:rPr>
          <w:lang w:val="fr-FR"/>
        </w:rPr>
        <w:t>VI.</w:t>
      </w:r>
      <w:r w:rsidRPr="001070F8">
        <w:rPr>
          <w:lang w:val="fr-FR"/>
        </w:rPr>
        <w:tab/>
      </w:r>
      <w:r w:rsidRPr="001070F8">
        <w:rPr>
          <w:i/>
          <w:lang w:val="fr-FR"/>
        </w:rPr>
        <w:t>Informations concernant les enregistrements internationaux publiés</w:t>
      </w:r>
    </w:p>
    <w:p w14:paraId="0B449E61" w14:textId="77777777" w:rsidR="001070F8" w:rsidRPr="001070F8" w:rsidRDefault="001070F8" w:rsidP="00551BF5">
      <w:pPr>
        <w:pStyle w:val="Endofdocument-Annex"/>
        <w:spacing w:before="240"/>
        <w:ind w:left="0"/>
        <w:rPr>
          <w:szCs w:val="22"/>
          <w:lang w:val="fr-FR"/>
        </w:rPr>
      </w:pPr>
      <w:r w:rsidRPr="001070F8">
        <w:rPr>
          <w:lang w:val="fr-FR"/>
        </w:rPr>
        <w:t>[…]</w:t>
      </w:r>
    </w:p>
    <w:p w14:paraId="627CA782" w14:textId="77777777" w:rsidR="001070F8" w:rsidRPr="001070F8" w:rsidRDefault="001070F8" w:rsidP="005221E6">
      <w:pPr>
        <w:pStyle w:val="Endofdocument-Annex"/>
        <w:ind w:left="0"/>
        <w:rPr>
          <w:szCs w:val="22"/>
          <w:lang w:val="fr-FR"/>
        </w:rPr>
      </w:pPr>
    </w:p>
    <w:p w14:paraId="63330FE0" w14:textId="2D3F3689" w:rsidR="00777879" w:rsidRDefault="001070F8" w:rsidP="00551BF5">
      <w:pPr>
        <w:tabs>
          <w:tab w:val="right" w:pos="8364"/>
        </w:tabs>
        <w:ind w:left="709" w:right="1985" w:hanging="709"/>
        <w:jc w:val="both"/>
        <w:rPr>
          <w:lang w:val="fr-FR"/>
        </w:rPr>
      </w:pPr>
      <w:r w:rsidRPr="001070F8">
        <w:rPr>
          <w:lang w:val="fr-FR"/>
        </w:rPr>
        <w:t>23.</w:t>
      </w:r>
      <w:r w:rsidRPr="001070F8">
        <w:rPr>
          <w:lang w:val="fr-FR"/>
        </w:rPr>
        <w:tab/>
        <w:t>[</w:t>
      </w:r>
      <w:r w:rsidR="005221E6">
        <w:rPr>
          <w:lang w:val="fr-FR"/>
        </w:rPr>
        <w:t>S</w:t>
      </w:r>
      <w:r w:rsidRPr="001070F8">
        <w:rPr>
          <w:lang w:val="fr-FR"/>
        </w:rPr>
        <w:t>upprimé]</w:t>
      </w:r>
    </w:p>
    <w:p w14:paraId="38F4E290" w14:textId="77777777" w:rsidR="001070F8" w:rsidRPr="00D16888" w:rsidRDefault="001070F8" w:rsidP="00551BF5">
      <w:pPr>
        <w:tabs>
          <w:tab w:val="right" w:pos="8364"/>
        </w:tabs>
        <w:ind w:left="709" w:right="1985" w:hanging="709"/>
        <w:jc w:val="both"/>
        <w:rPr>
          <w:rFonts w:eastAsia="Times New Roman"/>
          <w:szCs w:val="22"/>
          <w:lang w:val="fr-FR" w:eastAsia="ja-JP"/>
        </w:rPr>
      </w:pPr>
    </w:p>
    <w:p w14:paraId="30229EB8" w14:textId="709252A5" w:rsidR="001070F8" w:rsidRPr="00D16888" w:rsidRDefault="001070F8" w:rsidP="0082124B">
      <w:pPr>
        <w:tabs>
          <w:tab w:val="right" w:pos="8364"/>
        </w:tabs>
        <w:ind w:left="709" w:right="1985" w:hanging="709"/>
        <w:jc w:val="both"/>
        <w:rPr>
          <w:lang w:val="fr-FR"/>
        </w:rPr>
      </w:pPr>
      <w:r w:rsidRPr="001070F8">
        <w:rPr>
          <w:lang w:val="fr-FR"/>
        </w:rPr>
        <w:t>[…]</w:t>
      </w:r>
    </w:p>
    <w:p w14:paraId="3B2FB66F" w14:textId="0356404E" w:rsidR="001070F8" w:rsidRPr="001070F8" w:rsidRDefault="001070F8" w:rsidP="00551BF5">
      <w:pPr>
        <w:pStyle w:val="Endofdocument-Annex"/>
        <w:spacing w:before="720"/>
        <w:rPr>
          <w:szCs w:val="22"/>
          <w:lang w:val="fr-FR"/>
        </w:rPr>
      </w:pPr>
      <w:r w:rsidRPr="001070F8">
        <w:rPr>
          <w:lang w:val="fr-FR"/>
        </w:rPr>
        <w:t>[Fin de l</w:t>
      </w:r>
      <w:r w:rsidR="00777879">
        <w:rPr>
          <w:lang w:val="fr-FR"/>
        </w:rPr>
        <w:t>’</w:t>
      </w:r>
      <w:r w:rsidRPr="001070F8">
        <w:rPr>
          <w:lang w:val="fr-FR"/>
        </w:rPr>
        <w:t>annexe]</w:t>
      </w:r>
    </w:p>
    <w:sectPr w:rsidR="001070F8" w:rsidRPr="001070F8" w:rsidSect="00551BF5">
      <w:headerReference w:type="even" r:id="rId16"/>
      <w:headerReference w:type="default" r:id="rId17"/>
      <w:footerReference w:type="even" r:id="rId18"/>
      <w:footerReference w:type="default" r:id="rId19"/>
      <w:headerReference w:type="first" r:id="rId20"/>
      <w:footerReference w:type="first" r:id="rId2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C054" w14:textId="77777777" w:rsidR="001070F8" w:rsidRDefault="001070F8">
      <w:r>
        <w:separator/>
      </w:r>
    </w:p>
  </w:endnote>
  <w:endnote w:type="continuationSeparator" w:id="0">
    <w:p w14:paraId="02481471" w14:textId="77777777" w:rsidR="001070F8" w:rsidRDefault="001070F8" w:rsidP="00A326CA">
      <w:r>
        <w:separator/>
      </w:r>
    </w:p>
    <w:p w14:paraId="2244D18C" w14:textId="77777777" w:rsidR="001070F8" w:rsidRPr="00A326CA" w:rsidRDefault="001070F8" w:rsidP="00A326CA">
      <w:r>
        <w:rPr>
          <w:sz w:val="17"/>
        </w:rPr>
        <w:t>[Endnote continued from previous page]</w:t>
      </w:r>
    </w:p>
  </w:endnote>
  <w:endnote w:type="continuationNotice" w:id="1">
    <w:p w14:paraId="20D47D7D" w14:textId="77777777" w:rsidR="001070F8" w:rsidRPr="00A326CA" w:rsidRDefault="001070F8"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376D" w14:textId="77777777" w:rsidR="001070F8" w:rsidRDefault="00107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A75F" w14:textId="77777777" w:rsidR="001070F8" w:rsidRDefault="00107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E8F5" w14:textId="77777777" w:rsidR="001070F8" w:rsidRDefault="001070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12AD" w14:textId="77777777" w:rsidR="00096EA4" w:rsidRDefault="00096EA4" w:rsidP="00096E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5034" w14:textId="77777777" w:rsidR="00096EA4" w:rsidRDefault="00096E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2818" w14:textId="77777777" w:rsidR="00096EA4" w:rsidRDefault="0009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F493" w14:textId="77777777" w:rsidR="001070F8" w:rsidRDefault="001070F8">
      <w:r>
        <w:separator/>
      </w:r>
    </w:p>
  </w:footnote>
  <w:footnote w:type="continuationSeparator" w:id="0">
    <w:p w14:paraId="4AB3FD4A" w14:textId="77777777" w:rsidR="001070F8" w:rsidRDefault="001070F8" w:rsidP="00A326CA">
      <w:r>
        <w:separator/>
      </w:r>
    </w:p>
    <w:p w14:paraId="7608D11B" w14:textId="77777777" w:rsidR="001070F8" w:rsidRPr="00A326CA" w:rsidRDefault="001070F8"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135CFB27" w14:textId="77777777" w:rsidR="001070F8" w:rsidRPr="00A326CA" w:rsidRDefault="001070F8" w:rsidP="00A326CA">
      <w:pPr>
        <w:spacing w:before="60"/>
        <w:jc w:val="right"/>
        <w:rPr>
          <w:sz w:val="17"/>
          <w:szCs w:val="17"/>
        </w:rPr>
      </w:pPr>
      <w:r w:rsidRPr="000C7343">
        <w:rPr>
          <w:sz w:val="17"/>
          <w:szCs w:val="17"/>
        </w:rPr>
        <w:t>[F</w:t>
      </w:r>
      <w:r>
        <w:rPr>
          <w:sz w:val="17"/>
          <w:szCs w:val="17"/>
        </w:rPr>
        <w:t>ootnote continued on next page]</w:t>
      </w:r>
    </w:p>
  </w:footnote>
  <w:footnote w:id="2">
    <w:p w14:paraId="55462CCA" w14:textId="77777777" w:rsidR="001070F8" w:rsidRPr="001070F8" w:rsidRDefault="001070F8" w:rsidP="001070F8">
      <w:pPr>
        <w:pStyle w:val="FootnoteText"/>
        <w:tabs>
          <w:tab w:val="left" w:pos="567"/>
        </w:tabs>
        <w:rPr>
          <w:lang w:val="fr-FR"/>
        </w:rPr>
      </w:pPr>
      <w:r>
        <w:rPr>
          <w:rStyle w:val="FootnoteReference"/>
        </w:rPr>
        <w:footnoteRef/>
      </w:r>
      <w:r w:rsidRPr="001070F8">
        <w:rPr>
          <w:lang w:val="fr-FR"/>
        </w:rPr>
        <w:t xml:space="preserve"> </w:t>
      </w:r>
      <w:r w:rsidRPr="001070F8">
        <w:rPr>
          <w:lang w:val="fr-FR"/>
        </w:rPr>
        <w:tab/>
        <w:t>Pour de plus amples renseignements, voir les documents H/A/43/1 “Propositions de modification du barème des taxes annexé au règlement d</w:t>
      </w:r>
      <w:r w:rsidR="00D0509B">
        <w:rPr>
          <w:lang w:val="fr-FR"/>
        </w:rPr>
        <w:t>’</w:t>
      </w:r>
      <w:r w:rsidRPr="001070F8">
        <w:rPr>
          <w:lang w:val="fr-FR"/>
        </w:rPr>
        <w:t>exécution commun à l</w:t>
      </w:r>
      <w:r w:rsidR="00D0509B">
        <w:rPr>
          <w:lang w:val="fr-FR"/>
        </w:rPr>
        <w:t>’</w:t>
      </w:r>
      <w:r w:rsidRPr="001070F8">
        <w:rPr>
          <w:lang w:val="fr-FR"/>
        </w:rPr>
        <w:t>Acte de 1999 et l</w:t>
      </w:r>
      <w:r w:rsidR="00D0509B">
        <w:rPr>
          <w:lang w:val="fr-FR"/>
        </w:rPr>
        <w:t>’</w:t>
      </w:r>
      <w:r w:rsidRPr="001070F8">
        <w:rPr>
          <w:lang w:val="fr-FR"/>
        </w:rPr>
        <w:t>Acte de 1960 de l</w:t>
      </w:r>
      <w:r w:rsidR="00D0509B">
        <w:rPr>
          <w:lang w:val="fr-FR"/>
        </w:rPr>
        <w:t>’</w:t>
      </w:r>
      <w:r w:rsidRPr="001070F8">
        <w:rPr>
          <w:lang w:val="fr-FR"/>
        </w:rPr>
        <w:t xml:space="preserve">Arrangement de </w:t>
      </w:r>
      <w:r w:rsidR="00D0509B">
        <w:rPr>
          <w:lang w:val="fr-FR"/>
        </w:rPr>
        <w:t>La Haye</w:t>
      </w:r>
      <w:r w:rsidRPr="001070F8">
        <w:rPr>
          <w:lang w:val="fr-FR"/>
        </w:rPr>
        <w:t>” et H/A/43/2 “Rapport”.</w:t>
      </w:r>
    </w:p>
  </w:footnote>
  <w:footnote w:id="3">
    <w:p w14:paraId="00311861" w14:textId="77777777" w:rsidR="001070F8" w:rsidRPr="001070F8" w:rsidRDefault="001070F8" w:rsidP="001070F8">
      <w:pPr>
        <w:pStyle w:val="FootnoteText"/>
        <w:rPr>
          <w:lang w:val="fr-FR"/>
        </w:rPr>
      </w:pPr>
      <w:r>
        <w:rPr>
          <w:rStyle w:val="FootnoteReference"/>
        </w:rPr>
        <w:footnoteRef/>
      </w:r>
      <w:r w:rsidRPr="001070F8">
        <w:rPr>
          <w:lang w:val="fr-FR"/>
        </w:rPr>
        <w:t xml:space="preserve"> </w:t>
      </w:r>
      <w:r w:rsidRPr="001070F8">
        <w:rPr>
          <w:lang w:val="fr-FR"/>
        </w:rPr>
        <w:tab/>
        <w:t>Ainsi, pour les demandes internationales déposées par des déposants de pays de la catégorie des pays les moins avancés (PMA), la taxe de base pour chaque dessin ou modèle supplémentaire inclus dans la même demande internationale a été augmentée,</w:t>
      </w:r>
      <w:r w:rsidR="00551BF5">
        <w:rPr>
          <w:lang w:val="fr-FR"/>
        </w:rPr>
        <w:t xml:space="preserve"> </w:t>
      </w:r>
      <w:r w:rsidRPr="001070F8">
        <w:rPr>
          <w:lang w:val="fr-FR"/>
        </w:rPr>
        <w:t>passant de 2 à 5 francs suisses.</w:t>
      </w:r>
    </w:p>
  </w:footnote>
  <w:footnote w:id="4">
    <w:p w14:paraId="7680F04A" w14:textId="5D6B8E1B" w:rsidR="001070F8" w:rsidRPr="00551BF5" w:rsidRDefault="001070F8" w:rsidP="001070F8">
      <w:pPr>
        <w:pStyle w:val="FootnoteText"/>
        <w:rPr>
          <w:lang w:val="fr-FR"/>
        </w:rPr>
      </w:pPr>
      <w:r>
        <w:rPr>
          <w:rStyle w:val="FootnoteReference"/>
        </w:rPr>
        <w:footnoteRef/>
      </w:r>
      <w:r w:rsidRPr="00551BF5">
        <w:rPr>
          <w:lang w:val="fr-FR"/>
        </w:rPr>
        <w:tab/>
        <w:t>Voir l</w:t>
      </w:r>
      <w:r w:rsidR="00D0509B" w:rsidRPr="00551BF5">
        <w:rPr>
          <w:lang w:val="fr-FR"/>
        </w:rPr>
        <w:t>’</w:t>
      </w:r>
      <w:r w:rsidR="00A932A9">
        <w:rPr>
          <w:lang w:val="fr-FR"/>
        </w:rPr>
        <w:t>a</w:t>
      </w:r>
      <w:r w:rsidRPr="00551BF5">
        <w:rPr>
          <w:lang w:val="fr-FR"/>
        </w:rPr>
        <w:t>vis n° 17/2018.</w:t>
      </w:r>
    </w:p>
  </w:footnote>
  <w:footnote w:id="5">
    <w:p w14:paraId="4B8F49C9" w14:textId="77777777" w:rsidR="001070F8" w:rsidRPr="001070F8" w:rsidRDefault="001070F8" w:rsidP="001070F8">
      <w:pPr>
        <w:pStyle w:val="FootnoteText"/>
        <w:rPr>
          <w:lang w:val="fr-FR"/>
        </w:rPr>
      </w:pPr>
      <w:r>
        <w:rPr>
          <w:rStyle w:val="FootnoteReference"/>
        </w:rPr>
        <w:footnoteRef/>
      </w:r>
      <w:r w:rsidRPr="001070F8">
        <w:rPr>
          <w:lang w:val="fr-FR"/>
        </w:rPr>
        <w:t xml:space="preserve"> </w:t>
      </w:r>
      <w:r w:rsidR="00551BF5">
        <w:rPr>
          <w:lang w:val="fr-FR"/>
        </w:rPr>
        <w:tab/>
      </w:r>
      <w:r w:rsidRPr="001070F8">
        <w:rPr>
          <w:lang w:val="fr-FR"/>
        </w:rPr>
        <w:t>Voir la note 2 ci</w:t>
      </w:r>
      <w:r w:rsidR="00551BF5">
        <w:rPr>
          <w:lang w:val="fr-FR"/>
        </w:rPr>
        <w:noBreakHyphen/>
      </w:r>
      <w:r w:rsidRPr="001070F8">
        <w:rPr>
          <w:lang w:val="fr-FR"/>
        </w:rPr>
        <w:t>dessus.</w:t>
      </w:r>
    </w:p>
  </w:footnote>
  <w:footnote w:id="6">
    <w:p w14:paraId="530E7278" w14:textId="77777777" w:rsidR="001070F8" w:rsidRPr="001070F8" w:rsidRDefault="001070F8" w:rsidP="005221E6">
      <w:pPr>
        <w:pStyle w:val="FootnoteText"/>
        <w:ind w:left="540" w:hanging="540"/>
        <w:jc w:val="both"/>
        <w:rPr>
          <w:szCs w:val="18"/>
          <w:lang w:val="fr-FR"/>
        </w:rPr>
      </w:pPr>
      <w:r w:rsidRPr="001070F8">
        <w:rPr>
          <w:rStyle w:val="FootnoteReference"/>
          <w:sz w:val="24"/>
          <w:lang w:val="fr-FR"/>
        </w:rPr>
        <w:t>*</w:t>
      </w:r>
      <w:r w:rsidRPr="001070F8">
        <w:rPr>
          <w:sz w:val="24"/>
          <w:lang w:val="fr-FR"/>
        </w:rPr>
        <w:tab/>
      </w:r>
      <w:r w:rsidRPr="001070F8">
        <w:rPr>
          <w:lang w:val="fr-FR"/>
        </w:rPr>
        <w:t>En ce qui concerne les demandes internationales déposées par des déposants dont le droit à cet égard découle exclusivement d</w:t>
      </w:r>
      <w:r w:rsidR="00D0509B">
        <w:rPr>
          <w:lang w:val="fr-FR"/>
        </w:rPr>
        <w:t>’</w:t>
      </w:r>
      <w:r w:rsidRPr="001070F8">
        <w:rPr>
          <w:lang w:val="fr-FR"/>
        </w:rPr>
        <w:t>un rattachement à un pays de la catégorie des pays les moins avancés (PMA), conformément à la liste établie par l</w:t>
      </w:r>
      <w:r w:rsidR="00D0509B">
        <w:rPr>
          <w:lang w:val="fr-FR"/>
        </w:rPr>
        <w:t>’</w:t>
      </w:r>
      <w:r w:rsidRPr="001070F8">
        <w:rPr>
          <w:lang w:val="fr-FR"/>
        </w:rPr>
        <w:t xml:space="preserve">Organisation des </w:t>
      </w:r>
      <w:r w:rsidR="00D0509B">
        <w:rPr>
          <w:lang w:val="fr-FR"/>
        </w:rPr>
        <w:t>Nations Unies</w:t>
      </w:r>
      <w:r w:rsidRPr="001070F8">
        <w:rPr>
          <w:lang w:val="fr-FR"/>
        </w:rPr>
        <w:t>, ou à une organisation intergouvernementale dont la majorité des États membres sont des PMA, les taxes qui doivent être payées au Bureau international sont ramenées à 10% du montant prescrit (arrondi au nombre entier le plus proche).  Cette réduction s</w:t>
      </w:r>
      <w:r w:rsidR="00D0509B">
        <w:rPr>
          <w:lang w:val="fr-FR"/>
        </w:rPr>
        <w:t>’</w:t>
      </w:r>
      <w:r w:rsidRPr="001070F8">
        <w:rPr>
          <w:lang w:val="fr-FR"/>
        </w:rPr>
        <w:t xml:space="preserve">applique également </w:t>
      </w:r>
      <w:r w:rsidR="00D0509B">
        <w:rPr>
          <w:lang w:val="fr-FR"/>
        </w:rPr>
        <w:t>à l’égard</w:t>
      </w:r>
      <w:r w:rsidRPr="001070F8">
        <w:rPr>
          <w:lang w:val="fr-FR"/>
        </w:rPr>
        <w:t xml:space="preserve"> d</w:t>
      </w:r>
      <w:r w:rsidR="00D0509B">
        <w:rPr>
          <w:lang w:val="fr-FR"/>
        </w:rPr>
        <w:t>’</w:t>
      </w:r>
      <w:r w:rsidRPr="001070F8">
        <w:rPr>
          <w:lang w:val="fr-FR"/>
        </w:rPr>
        <w:t>une demande internationale déposée par un déposant dont le droit à cet égard ne découle pas exclusivement d</w:t>
      </w:r>
      <w:r w:rsidR="00D0509B">
        <w:rPr>
          <w:lang w:val="fr-FR"/>
        </w:rPr>
        <w:t>’</w:t>
      </w:r>
      <w:r w:rsidRPr="001070F8">
        <w:rPr>
          <w:lang w:val="fr-FR"/>
        </w:rPr>
        <w:t>un rattachement à une telle organisation intergouvernementale, pour autant que tout autre droit du déposant à cet égard découle d</w:t>
      </w:r>
      <w:r w:rsidR="00D0509B">
        <w:rPr>
          <w:lang w:val="fr-FR"/>
        </w:rPr>
        <w:t>’</w:t>
      </w:r>
      <w:r w:rsidRPr="001070F8">
        <w:rPr>
          <w:lang w:val="fr-FR"/>
        </w:rPr>
        <w:t>un rattachement à une partie contractante qui appartient à la catégorie des PMA ou, à défaut, qui est un État membre de cette organisation intergouvernementale et que, dans ce cas, la demande internationale soit régie exclusivement par l</w:t>
      </w:r>
      <w:r w:rsidR="00D0509B">
        <w:rPr>
          <w:lang w:val="fr-FR"/>
        </w:rPr>
        <w:t>’</w:t>
      </w:r>
      <w:r w:rsidRPr="001070F8">
        <w:rPr>
          <w:lang w:val="fr-FR"/>
        </w:rPr>
        <w:t>Acte de 1999.  En cas de pluralité de déposants, chacun d</w:t>
      </w:r>
      <w:r w:rsidR="00D0509B">
        <w:rPr>
          <w:lang w:val="fr-FR"/>
        </w:rPr>
        <w:t>’</w:t>
      </w:r>
      <w:r w:rsidRPr="001070F8">
        <w:rPr>
          <w:lang w:val="fr-FR"/>
        </w:rPr>
        <w:t>entre eux doit remplir ces critères.</w:t>
      </w:r>
    </w:p>
    <w:p w14:paraId="6C4A4640" w14:textId="77777777" w:rsidR="001070F8" w:rsidRPr="001070F8" w:rsidRDefault="001070F8" w:rsidP="005221E6">
      <w:pPr>
        <w:pStyle w:val="FootnoteText"/>
        <w:ind w:left="540"/>
        <w:jc w:val="both"/>
        <w:rPr>
          <w:szCs w:val="18"/>
          <w:lang w:val="fr-FR"/>
        </w:rPr>
      </w:pPr>
      <w:r w:rsidRPr="001070F8">
        <w:rPr>
          <w:lang w:val="fr-FR"/>
        </w:rPr>
        <w:t>Lorsque cette réduction de taxe s</w:t>
      </w:r>
      <w:r w:rsidR="00D0509B">
        <w:rPr>
          <w:lang w:val="fr-FR"/>
        </w:rPr>
        <w:t>’</w:t>
      </w:r>
      <w:r w:rsidRPr="001070F8">
        <w:rPr>
          <w:lang w:val="fr-FR"/>
        </w:rPr>
        <w:t>applique, la taxe de base s</w:t>
      </w:r>
      <w:r w:rsidR="00D0509B">
        <w:rPr>
          <w:lang w:val="fr-FR"/>
        </w:rPr>
        <w:t>’</w:t>
      </w:r>
      <w:r w:rsidRPr="001070F8">
        <w:rPr>
          <w:lang w:val="fr-FR"/>
        </w:rPr>
        <w:t>établit à 40 francs suisses (pour un dessin ou modèle) et à 5 francs suisses (pour chaque dessin ou modèle supplémentaire compris dans la même demande internationale), la taxe de publication s</w:t>
      </w:r>
      <w:r w:rsidR="00D0509B">
        <w:rPr>
          <w:lang w:val="fr-FR"/>
        </w:rPr>
        <w:t>’</w:t>
      </w:r>
      <w:r w:rsidRPr="001070F8">
        <w:rPr>
          <w:lang w:val="fr-FR"/>
        </w:rPr>
        <w:t>établit à 2 francs suisses pour chaque reproduction et à 15 francs suisses pour chaque page, en sus de la première, sur laquelle sont présentées une ou plusieurs reproductions, et la taxe supplémentaire lorsque la description excède 100 mots s</w:t>
      </w:r>
      <w:r w:rsidR="00D0509B">
        <w:rPr>
          <w:lang w:val="fr-FR"/>
        </w:rPr>
        <w:t>’</w:t>
      </w:r>
      <w:r w:rsidRPr="001070F8">
        <w:rPr>
          <w:lang w:val="fr-FR"/>
        </w:rPr>
        <w:t>établit à 1 franc suisse par groupe de cinq</w:t>
      </w:r>
      <w:r w:rsidR="00880023">
        <w:rPr>
          <w:lang w:val="fr-FR"/>
        </w:rPr>
        <w:t> </w:t>
      </w:r>
      <w:r w:rsidRPr="001070F8">
        <w:rPr>
          <w:lang w:val="fr-FR"/>
        </w:rPr>
        <w:t>mots au</w:t>
      </w:r>
      <w:r w:rsidR="00551BF5">
        <w:rPr>
          <w:lang w:val="fr-FR"/>
        </w:rPr>
        <w:noBreakHyphen/>
      </w:r>
      <w:r w:rsidRPr="001070F8">
        <w:rPr>
          <w:lang w:val="fr-FR"/>
        </w:rPr>
        <w:t>delà du 100</w:t>
      </w:r>
      <w:r w:rsidRPr="00551BF5">
        <w:rPr>
          <w:vertAlign w:val="superscript"/>
          <w:lang w:val="fr-FR"/>
        </w:rPr>
        <w:t>e</w:t>
      </w:r>
      <w:r w:rsidRPr="001070F8">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4108" w14:textId="77777777" w:rsidR="001070F8" w:rsidRDefault="001070F8" w:rsidP="00D300C7">
    <w:pPr>
      <w:jc w:val="right"/>
    </w:pPr>
    <w:r>
      <w:t xml:space="preserve">page </w:t>
    </w:r>
    <w:r>
      <w:fldChar w:fldCharType="begin"/>
    </w:r>
    <w:r>
      <w:instrText xml:space="preserve"> PAGE  \* MERGEFORMAT </w:instrText>
    </w:r>
    <w:r>
      <w:fldChar w:fldCharType="separate"/>
    </w:r>
    <w:r w:rsidR="00551BF5">
      <w:rPr>
        <w:noProof/>
      </w:rPr>
      <w:t>2</w:t>
    </w:r>
    <w:r>
      <w:fldChar w:fldCharType="end"/>
    </w:r>
  </w:p>
  <w:p w14:paraId="6BDD846E" w14:textId="77777777" w:rsidR="001070F8" w:rsidRDefault="001070F8" w:rsidP="00D300C7">
    <w:pPr>
      <w:jc w:val="right"/>
    </w:pPr>
  </w:p>
  <w:p w14:paraId="2C2E5677" w14:textId="77777777" w:rsidR="001070F8" w:rsidRDefault="001070F8" w:rsidP="00D300C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BF5B" w14:textId="77777777" w:rsidR="001070F8" w:rsidRDefault="001070F8" w:rsidP="00551BF5">
    <w:pPr>
      <w:spacing w:before="220" w:after="220"/>
      <w:jc w:val="right"/>
    </w:pPr>
    <w:r>
      <w:t xml:space="preserve">page </w:t>
    </w:r>
    <w:r>
      <w:fldChar w:fldCharType="begin"/>
    </w:r>
    <w:r>
      <w:instrText xml:space="preserve"> PAGE  \* MERGEFORMAT </w:instrText>
    </w:r>
    <w:r>
      <w:fldChar w:fldCharType="separate"/>
    </w:r>
    <w:r w:rsidR="00551BF5">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DA2F" w14:textId="77777777" w:rsidR="00551BF5" w:rsidRDefault="00551B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7132" w14:textId="77777777" w:rsidR="00096EA4" w:rsidRDefault="00096EA4" w:rsidP="00096EA4">
    <w:pPr>
      <w:pStyle w:val="Header"/>
      <w:jc w:val="right"/>
      <w:rPr>
        <w:lang w:val="fr-CH"/>
      </w:rPr>
    </w:pPr>
  </w:p>
  <w:p w14:paraId="754C521E" w14:textId="77777777" w:rsidR="00096EA4" w:rsidRDefault="00096EA4" w:rsidP="00096EA4">
    <w:pPr>
      <w:pStyle w:val="Header"/>
      <w:jc w:val="right"/>
      <w:rPr>
        <w:lang w:val="fr-CH"/>
      </w:rPr>
    </w:pPr>
    <w:r>
      <w:rPr>
        <w:lang w:val="fr-CH"/>
      </w:rPr>
      <w:t xml:space="preserve">page </w:t>
    </w:r>
    <w:r>
      <w:rPr>
        <w:rStyle w:val="PageNumber"/>
      </w:rPr>
      <w:fldChar w:fldCharType="begin"/>
    </w:r>
    <w:r>
      <w:rPr>
        <w:rStyle w:val="PageNumber"/>
      </w:rPr>
      <w:instrText xml:space="preserve"> PAGE </w:instrText>
    </w:r>
    <w:r>
      <w:rPr>
        <w:rStyle w:val="PageNumber"/>
      </w:rPr>
      <w:fldChar w:fldCharType="separate"/>
    </w:r>
    <w:r w:rsidR="001070F8">
      <w:rPr>
        <w:rStyle w:val="PageNumber"/>
        <w:noProof/>
      </w:rPr>
      <w:t>2</w:t>
    </w:r>
    <w:r>
      <w:rPr>
        <w:rStyle w:val="PageNumber"/>
      </w:rPr>
      <w:fldChar w:fldCharType="end"/>
    </w:r>
  </w:p>
  <w:p w14:paraId="0BF749A1" w14:textId="77777777" w:rsidR="00096EA4" w:rsidRPr="00DD4C78" w:rsidRDefault="00096EA4" w:rsidP="00096EA4">
    <w:pPr>
      <w:pStyle w:val="Heade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C943" w14:textId="77777777" w:rsidR="009319A3" w:rsidRDefault="009319A3" w:rsidP="00DD4C78">
    <w:pPr>
      <w:pStyle w:val="Header"/>
      <w:jc w:val="right"/>
      <w:rPr>
        <w:lang w:val="fr-CH"/>
      </w:rPr>
    </w:pPr>
  </w:p>
  <w:p w14:paraId="2F2EFE4F" w14:textId="77777777" w:rsidR="004921F7" w:rsidRDefault="004921F7" w:rsidP="00DD4C78">
    <w:pPr>
      <w:pStyle w:val="Header"/>
      <w:jc w:val="right"/>
      <w:rPr>
        <w:lang w:val="fr-CH"/>
      </w:rPr>
    </w:pPr>
    <w:r>
      <w:rPr>
        <w:lang w:val="fr-CH"/>
      </w:rPr>
      <w:t xml:space="preserve">page </w:t>
    </w:r>
    <w:r>
      <w:rPr>
        <w:rStyle w:val="PageNumber"/>
      </w:rPr>
      <w:fldChar w:fldCharType="begin"/>
    </w:r>
    <w:r>
      <w:rPr>
        <w:rStyle w:val="PageNumber"/>
      </w:rPr>
      <w:instrText xml:space="preserve"> PAGE </w:instrText>
    </w:r>
    <w:r>
      <w:rPr>
        <w:rStyle w:val="PageNumber"/>
      </w:rPr>
      <w:fldChar w:fldCharType="separate"/>
    </w:r>
    <w:r w:rsidR="009319A3">
      <w:rPr>
        <w:rStyle w:val="PageNumber"/>
        <w:noProof/>
      </w:rPr>
      <w:t>2</w:t>
    </w:r>
    <w:r>
      <w:rPr>
        <w:rStyle w:val="PageNumber"/>
      </w:rPr>
      <w:fldChar w:fldCharType="end"/>
    </w:r>
  </w:p>
  <w:p w14:paraId="38DEF6EA" w14:textId="77777777" w:rsidR="004921F7" w:rsidRPr="00DD4C78" w:rsidRDefault="004921F7" w:rsidP="00DD4C78">
    <w:pPr>
      <w:pStyle w:val="Heade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FC91" w14:textId="77777777" w:rsidR="00096EA4" w:rsidRPr="00551BF5" w:rsidRDefault="00551BF5" w:rsidP="00551BF5">
    <w:pPr>
      <w:pStyle w:val="Header"/>
      <w:spacing w:before="220" w:after="220"/>
      <w:jc w:val="right"/>
      <w:rPr>
        <w:lang w:val="fr-FR"/>
      </w:rPr>
    </w:pPr>
    <w:r>
      <w:rPr>
        <w:lang w:val="fr-FR"/>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241F36"/>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77425BA"/>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B06CEB"/>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405529"/>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6" w15:restartNumberingAfterBreak="0">
    <w:nsid w:val="3FD91B66"/>
    <w:multiLevelType w:val="multilevel"/>
    <w:tmpl w:val="ABD6D612"/>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123639"/>
    <w:multiLevelType w:val="hybridMultilevel"/>
    <w:tmpl w:val="C7CC81E8"/>
    <w:lvl w:ilvl="0" w:tplc="252453BC">
      <w:start w:val="1"/>
      <w:numFmt w:val="lowerLetter"/>
      <w:lvlText w:val="(%1)"/>
      <w:lvlJc w:val="left"/>
      <w:pPr>
        <w:tabs>
          <w:tab w:val="num" w:pos="930"/>
        </w:tabs>
        <w:ind w:left="930" w:hanging="360"/>
      </w:pPr>
      <w:rPr>
        <w:rFonts w:hint="eastAsia"/>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763C4F"/>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7916644"/>
    <w:multiLevelType w:val="hybridMultilevel"/>
    <w:tmpl w:val="B7CEE962"/>
    <w:lvl w:ilvl="0" w:tplc="E23475F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7A5949"/>
    <w:multiLevelType w:val="hybridMultilevel"/>
    <w:tmpl w:val="EA5E9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3836843">
    <w:abstractNumId w:val="3"/>
  </w:num>
  <w:num w:numId="2" w16cid:durableId="1906525285">
    <w:abstractNumId w:val="7"/>
  </w:num>
  <w:num w:numId="3" w16cid:durableId="332032784">
    <w:abstractNumId w:val="0"/>
  </w:num>
  <w:num w:numId="4" w16cid:durableId="1119375418">
    <w:abstractNumId w:val="9"/>
  </w:num>
  <w:num w:numId="5" w16cid:durableId="141045486">
    <w:abstractNumId w:val="1"/>
  </w:num>
  <w:num w:numId="6" w16cid:durableId="689527362">
    <w:abstractNumId w:val="4"/>
  </w:num>
  <w:num w:numId="7" w16cid:durableId="405883518">
    <w:abstractNumId w:val="10"/>
  </w:num>
  <w:num w:numId="8" w16cid:durableId="819419807">
    <w:abstractNumId w:val="2"/>
  </w:num>
  <w:num w:numId="9" w16cid:durableId="1587155">
    <w:abstractNumId w:val="8"/>
  </w:num>
  <w:num w:numId="10" w16cid:durableId="768162133">
    <w:abstractNumId w:val="5"/>
  </w:num>
  <w:num w:numId="11" w16cid:durableId="1321344254">
    <w:abstractNumId w:val="11"/>
  </w:num>
  <w:num w:numId="12" w16cid:durableId="1339234709">
    <w:abstractNumId w:val="12"/>
  </w:num>
  <w:num w:numId="13" w16cid:durableId="405229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WIPONew|WIPOTemp|PreTradBeta"/>
    <w:docVar w:name="TermBaseURL" w:val="empty"/>
    <w:docVar w:name="TextBases" w:val="Patents\Meetings|Patents\Publications|Administrative\Meetings|Administrative\Other|Administrative\Publications|Budget and Finance\Meetings|Budget and Finance\Other|Budget and Finance\Publications|Copyright\Other|Glossaries\EN-FR|IP in General\Meetings|IP in General\Other|IP in General\Press Room|IP in General\Publications|Treaties\WIPO-administered|Copyright\Meetings|Copyright\Publications|Patents\Other|Trademarks\Meetings|Trademarks\Other|Trademarks\Publications"/>
    <w:docVar w:name="TextBaseURL" w:val="empty"/>
    <w:docVar w:name="UILng" w:val="en"/>
  </w:docVars>
  <w:rsids>
    <w:rsidRoot w:val="001070F8"/>
    <w:rsid w:val="0000121D"/>
    <w:rsid w:val="00002628"/>
    <w:rsid w:val="00010053"/>
    <w:rsid w:val="0001121D"/>
    <w:rsid w:val="00026397"/>
    <w:rsid w:val="00030BB4"/>
    <w:rsid w:val="00033B61"/>
    <w:rsid w:val="0004379E"/>
    <w:rsid w:val="00064EFA"/>
    <w:rsid w:val="0007642A"/>
    <w:rsid w:val="000777BD"/>
    <w:rsid w:val="00081827"/>
    <w:rsid w:val="00094D3C"/>
    <w:rsid w:val="00096EA4"/>
    <w:rsid w:val="000C20E6"/>
    <w:rsid w:val="000C26B7"/>
    <w:rsid w:val="000C4F36"/>
    <w:rsid w:val="000D679A"/>
    <w:rsid w:val="000D74A8"/>
    <w:rsid w:val="000E451B"/>
    <w:rsid w:val="000E4932"/>
    <w:rsid w:val="000E6A7E"/>
    <w:rsid w:val="000E6C47"/>
    <w:rsid w:val="000F376E"/>
    <w:rsid w:val="000F5E56"/>
    <w:rsid w:val="00103AFE"/>
    <w:rsid w:val="001041E0"/>
    <w:rsid w:val="00105079"/>
    <w:rsid w:val="001070F8"/>
    <w:rsid w:val="001129D5"/>
    <w:rsid w:val="00113653"/>
    <w:rsid w:val="0012154F"/>
    <w:rsid w:val="00123D9D"/>
    <w:rsid w:val="0012557D"/>
    <w:rsid w:val="001273B0"/>
    <w:rsid w:val="001319B3"/>
    <w:rsid w:val="00131D68"/>
    <w:rsid w:val="001358C5"/>
    <w:rsid w:val="0014002E"/>
    <w:rsid w:val="00145B81"/>
    <w:rsid w:val="0015324E"/>
    <w:rsid w:val="0016034A"/>
    <w:rsid w:val="00165C8B"/>
    <w:rsid w:val="00165F53"/>
    <w:rsid w:val="00167584"/>
    <w:rsid w:val="00170258"/>
    <w:rsid w:val="0017702B"/>
    <w:rsid w:val="001847E8"/>
    <w:rsid w:val="00185D5F"/>
    <w:rsid w:val="001A23AF"/>
    <w:rsid w:val="001B6596"/>
    <w:rsid w:val="001B77F1"/>
    <w:rsid w:val="001C1337"/>
    <w:rsid w:val="001C31EA"/>
    <w:rsid w:val="001C32BE"/>
    <w:rsid w:val="001C43BF"/>
    <w:rsid w:val="001D222D"/>
    <w:rsid w:val="001D4433"/>
    <w:rsid w:val="001D4D6E"/>
    <w:rsid w:val="001D5A19"/>
    <w:rsid w:val="001E14AA"/>
    <w:rsid w:val="001E35D3"/>
    <w:rsid w:val="001F1C3B"/>
    <w:rsid w:val="001F3CFD"/>
    <w:rsid w:val="00224137"/>
    <w:rsid w:val="00227CED"/>
    <w:rsid w:val="00231577"/>
    <w:rsid w:val="002445FB"/>
    <w:rsid w:val="00246BF1"/>
    <w:rsid w:val="002473D1"/>
    <w:rsid w:val="002920A5"/>
    <w:rsid w:val="00294534"/>
    <w:rsid w:val="00295BAA"/>
    <w:rsid w:val="00297FCC"/>
    <w:rsid w:val="002A65C1"/>
    <w:rsid w:val="002E202E"/>
    <w:rsid w:val="002F6356"/>
    <w:rsid w:val="002F67F6"/>
    <w:rsid w:val="00300122"/>
    <w:rsid w:val="003030B7"/>
    <w:rsid w:val="00307E98"/>
    <w:rsid w:val="00313032"/>
    <w:rsid w:val="003171DB"/>
    <w:rsid w:val="0032095F"/>
    <w:rsid w:val="00321EF7"/>
    <w:rsid w:val="00323DED"/>
    <w:rsid w:val="003320F1"/>
    <w:rsid w:val="00332496"/>
    <w:rsid w:val="00335F34"/>
    <w:rsid w:val="003509BA"/>
    <w:rsid w:val="00351A99"/>
    <w:rsid w:val="0035459E"/>
    <w:rsid w:val="003560D7"/>
    <w:rsid w:val="00362FA0"/>
    <w:rsid w:val="0036403C"/>
    <w:rsid w:val="00372B2A"/>
    <w:rsid w:val="00373C38"/>
    <w:rsid w:val="00381CA6"/>
    <w:rsid w:val="0038618A"/>
    <w:rsid w:val="003904B6"/>
    <w:rsid w:val="00393056"/>
    <w:rsid w:val="003934B8"/>
    <w:rsid w:val="00393B6C"/>
    <w:rsid w:val="003A1028"/>
    <w:rsid w:val="003A37B2"/>
    <w:rsid w:val="003A5D6B"/>
    <w:rsid w:val="003B7DFE"/>
    <w:rsid w:val="003C2136"/>
    <w:rsid w:val="003C334B"/>
    <w:rsid w:val="003C36AC"/>
    <w:rsid w:val="003D0A71"/>
    <w:rsid w:val="003D0A7E"/>
    <w:rsid w:val="003D22AF"/>
    <w:rsid w:val="0040386E"/>
    <w:rsid w:val="004132B9"/>
    <w:rsid w:val="0041796E"/>
    <w:rsid w:val="00421DAF"/>
    <w:rsid w:val="0042403F"/>
    <w:rsid w:val="00426EA2"/>
    <w:rsid w:val="00432B5B"/>
    <w:rsid w:val="00456CF9"/>
    <w:rsid w:val="00461332"/>
    <w:rsid w:val="00462FE1"/>
    <w:rsid w:val="004828C8"/>
    <w:rsid w:val="0048340F"/>
    <w:rsid w:val="0049146B"/>
    <w:rsid w:val="004921F7"/>
    <w:rsid w:val="00494CC4"/>
    <w:rsid w:val="004B0C77"/>
    <w:rsid w:val="004B2BB3"/>
    <w:rsid w:val="004B6EC9"/>
    <w:rsid w:val="004B73AF"/>
    <w:rsid w:val="004C3E72"/>
    <w:rsid w:val="004C5A42"/>
    <w:rsid w:val="004D26D3"/>
    <w:rsid w:val="004E4A92"/>
    <w:rsid w:val="004E592E"/>
    <w:rsid w:val="00504205"/>
    <w:rsid w:val="0051291E"/>
    <w:rsid w:val="00521DAC"/>
    <w:rsid w:val="005221E6"/>
    <w:rsid w:val="00530150"/>
    <w:rsid w:val="00530187"/>
    <w:rsid w:val="005473CD"/>
    <w:rsid w:val="00551BF5"/>
    <w:rsid w:val="0057245E"/>
    <w:rsid w:val="0057360E"/>
    <w:rsid w:val="00576A06"/>
    <w:rsid w:val="0058229E"/>
    <w:rsid w:val="00582B32"/>
    <w:rsid w:val="005839D1"/>
    <w:rsid w:val="0058636A"/>
    <w:rsid w:val="00587374"/>
    <w:rsid w:val="005B46B4"/>
    <w:rsid w:val="005B4D0E"/>
    <w:rsid w:val="005B56FB"/>
    <w:rsid w:val="005B5842"/>
    <w:rsid w:val="005D18EC"/>
    <w:rsid w:val="005D3893"/>
    <w:rsid w:val="005D697E"/>
    <w:rsid w:val="005D7B22"/>
    <w:rsid w:val="005E1DB8"/>
    <w:rsid w:val="005E2774"/>
    <w:rsid w:val="005E284E"/>
    <w:rsid w:val="005F1619"/>
    <w:rsid w:val="005F1FE0"/>
    <w:rsid w:val="00600BD9"/>
    <w:rsid w:val="00604305"/>
    <w:rsid w:val="00607E66"/>
    <w:rsid w:val="00617BBC"/>
    <w:rsid w:val="00623038"/>
    <w:rsid w:val="0063208D"/>
    <w:rsid w:val="00632F27"/>
    <w:rsid w:val="00633629"/>
    <w:rsid w:val="006341FB"/>
    <w:rsid w:val="0063503D"/>
    <w:rsid w:val="006355DB"/>
    <w:rsid w:val="00635702"/>
    <w:rsid w:val="00636632"/>
    <w:rsid w:val="006427E3"/>
    <w:rsid w:val="0064611A"/>
    <w:rsid w:val="0065014C"/>
    <w:rsid w:val="0065171A"/>
    <w:rsid w:val="00651A2F"/>
    <w:rsid w:val="00663AFE"/>
    <w:rsid w:val="00674445"/>
    <w:rsid w:val="00683EA2"/>
    <w:rsid w:val="006A1DE6"/>
    <w:rsid w:val="006A3CA1"/>
    <w:rsid w:val="006B2AD7"/>
    <w:rsid w:val="006B6251"/>
    <w:rsid w:val="006B71AB"/>
    <w:rsid w:val="006C7BC4"/>
    <w:rsid w:val="006D1AD0"/>
    <w:rsid w:val="006D20CD"/>
    <w:rsid w:val="006D6EBA"/>
    <w:rsid w:val="006E230F"/>
    <w:rsid w:val="006F18C8"/>
    <w:rsid w:val="006F53C2"/>
    <w:rsid w:val="00713BA1"/>
    <w:rsid w:val="00715D12"/>
    <w:rsid w:val="007161E8"/>
    <w:rsid w:val="007343C9"/>
    <w:rsid w:val="00734F71"/>
    <w:rsid w:val="007464CA"/>
    <w:rsid w:val="007536B7"/>
    <w:rsid w:val="0076301A"/>
    <w:rsid w:val="00777879"/>
    <w:rsid w:val="00781245"/>
    <w:rsid w:val="00781CF5"/>
    <w:rsid w:val="0079613E"/>
    <w:rsid w:val="007A2251"/>
    <w:rsid w:val="007A2586"/>
    <w:rsid w:val="007A7D7C"/>
    <w:rsid w:val="007A7F65"/>
    <w:rsid w:val="007B1E7C"/>
    <w:rsid w:val="007B5CAC"/>
    <w:rsid w:val="007B61C5"/>
    <w:rsid w:val="007C0305"/>
    <w:rsid w:val="007C5AD4"/>
    <w:rsid w:val="007C7BA9"/>
    <w:rsid w:val="007D4799"/>
    <w:rsid w:val="007D47B6"/>
    <w:rsid w:val="007E40F8"/>
    <w:rsid w:val="007F099A"/>
    <w:rsid w:val="007F23B2"/>
    <w:rsid w:val="007F2AE0"/>
    <w:rsid w:val="007F3140"/>
    <w:rsid w:val="007F444E"/>
    <w:rsid w:val="007F4704"/>
    <w:rsid w:val="007F4BC9"/>
    <w:rsid w:val="00805942"/>
    <w:rsid w:val="008145F6"/>
    <w:rsid w:val="00815D8E"/>
    <w:rsid w:val="00816984"/>
    <w:rsid w:val="00820CAA"/>
    <w:rsid w:val="0082124B"/>
    <w:rsid w:val="008233C2"/>
    <w:rsid w:val="00841EC6"/>
    <w:rsid w:val="00842923"/>
    <w:rsid w:val="00842CE9"/>
    <w:rsid w:val="00853A00"/>
    <w:rsid w:val="008600B9"/>
    <w:rsid w:val="00872100"/>
    <w:rsid w:val="00880023"/>
    <w:rsid w:val="00880F71"/>
    <w:rsid w:val="008A7155"/>
    <w:rsid w:val="008A7F15"/>
    <w:rsid w:val="008B425E"/>
    <w:rsid w:val="008D64B7"/>
    <w:rsid w:val="008D7F6B"/>
    <w:rsid w:val="008E6468"/>
    <w:rsid w:val="00907F4A"/>
    <w:rsid w:val="0091724D"/>
    <w:rsid w:val="00930665"/>
    <w:rsid w:val="009319A3"/>
    <w:rsid w:val="00933F8C"/>
    <w:rsid w:val="00934458"/>
    <w:rsid w:val="009402DE"/>
    <w:rsid w:val="009832F2"/>
    <w:rsid w:val="00987802"/>
    <w:rsid w:val="00995692"/>
    <w:rsid w:val="00997877"/>
    <w:rsid w:val="009A287B"/>
    <w:rsid w:val="009B0B61"/>
    <w:rsid w:val="009C1EEA"/>
    <w:rsid w:val="009C216E"/>
    <w:rsid w:val="009D65A7"/>
    <w:rsid w:val="009E45AB"/>
    <w:rsid w:val="009E4E37"/>
    <w:rsid w:val="009F0C26"/>
    <w:rsid w:val="009F428A"/>
    <w:rsid w:val="009F4EF4"/>
    <w:rsid w:val="00A00EA1"/>
    <w:rsid w:val="00A01E5D"/>
    <w:rsid w:val="00A06472"/>
    <w:rsid w:val="00A066E7"/>
    <w:rsid w:val="00A07274"/>
    <w:rsid w:val="00A13ECE"/>
    <w:rsid w:val="00A16459"/>
    <w:rsid w:val="00A243BA"/>
    <w:rsid w:val="00A2580D"/>
    <w:rsid w:val="00A323F9"/>
    <w:rsid w:val="00A326CA"/>
    <w:rsid w:val="00A3459C"/>
    <w:rsid w:val="00A41F5B"/>
    <w:rsid w:val="00A42F34"/>
    <w:rsid w:val="00A5423E"/>
    <w:rsid w:val="00A570CF"/>
    <w:rsid w:val="00A726F7"/>
    <w:rsid w:val="00A90F3B"/>
    <w:rsid w:val="00A932A9"/>
    <w:rsid w:val="00A9519F"/>
    <w:rsid w:val="00A953E1"/>
    <w:rsid w:val="00A97FF2"/>
    <w:rsid w:val="00AA15D6"/>
    <w:rsid w:val="00AA35D3"/>
    <w:rsid w:val="00AC2688"/>
    <w:rsid w:val="00AD1B68"/>
    <w:rsid w:val="00AD293D"/>
    <w:rsid w:val="00AD6E2D"/>
    <w:rsid w:val="00AD7D54"/>
    <w:rsid w:val="00AE08FC"/>
    <w:rsid w:val="00AE0A3F"/>
    <w:rsid w:val="00AE7468"/>
    <w:rsid w:val="00AF2751"/>
    <w:rsid w:val="00B03D5A"/>
    <w:rsid w:val="00B04D1A"/>
    <w:rsid w:val="00B100BD"/>
    <w:rsid w:val="00B16D21"/>
    <w:rsid w:val="00B178E7"/>
    <w:rsid w:val="00B22443"/>
    <w:rsid w:val="00B32412"/>
    <w:rsid w:val="00B5280B"/>
    <w:rsid w:val="00B63FE0"/>
    <w:rsid w:val="00B67083"/>
    <w:rsid w:val="00B70FCF"/>
    <w:rsid w:val="00B741B4"/>
    <w:rsid w:val="00B74A7B"/>
    <w:rsid w:val="00B7558D"/>
    <w:rsid w:val="00B75893"/>
    <w:rsid w:val="00B76D42"/>
    <w:rsid w:val="00B77243"/>
    <w:rsid w:val="00B77794"/>
    <w:rsid w:val="00B84D37"/>
    <w:rsid w:val="00B900CC"/>
    <w:rsid w:val="00B92372"/>
    <w:rsid w:val="00B9617C"/>
    <w:rsid w:val="00B96799"/>
    <w:rsid w:val="00BA25D9"/>
    <w:rsid w:val="00BA48EE"/>
    <w:rsid w:val="00BB0D42"/>
    <w:rsid w:val="00BB1956"/>
    <w:rsid w:val="00BB2622"/>
    <w:rsid w:val="00BB7FA3"/>
    <w:rsid w:val="00BD3AB2"/>
    <w:rsid w:val="00BE3D7E"/>
    <w:rsid w:val="00BE6A20"/>
    <w:rsid w:val="00BF12DC"/>
    <w:rsid w:val="00BF1458"/>
    <w:rsid w:val="00BF5E09"/>
    <w:rsid w:val="00BF6F5E"/>
    <w:rsid w:val="00C05AD1"/>
    <w:rsid w:val="00C10DDF"/>
    <w:rsid w:val="00C2151D"/>
    <w:rsid w:val="00C30669"/>
    <w:rsid w:val="00C432F0"/>
    <w:rsid w:val="00C52D12"/>
    <w:rsid w:val="00C5527E"/>
    <w:rsid w:val="00C55400"/>
    <w:rsid w:val="00C82F85"/>
    <w:rsid w:val="00C85F30"/>
    <w:rsid w:val="00C90726"/>
    <w:rsid w:val="00CA4EED"/>
    <w:rsid w:val="00CB3CB8"/>
    <w:rsid w:val="00CC017F"/>
    <w:rsid w:val="00CC672B"/>
    <w:rsid w:val="00CC7C1C"/>
    <w:rsid w:val="00CD2134"/>
    <w:rsid w:val="00CD3318"/>
    <w:rsid w:val="00CD57F7"/>
    <w:rsid w:val="00CD6034"/>
    <w:rsid w:val="00CD7CFA"/>
    <w:rsid w:val="00CE39D2"/>
    <w:rsid w:val="00CF38C8"/>
    <w:rsid w:val="00D04BAC"/>
    <w:rsid w:val="00D0509B"/>
    <w:rsid w:val="00D05838"/>
    <w:rsid w:val="00D1442A"/>
    <w:rsid w:val="00D24AFC"/>
    <w:rsid w:val="00D41C60"/>
    <w:rsid w:val="00D423D8"/>
    <w:rsid w:val="00D4481A"/>
    <w:rsid w:val="00D46A92"/>
    <w:rsid w:val="00D510D3"/>
    <w:rsid w:val="00D529C4"/>
    <w:rsid w:val="00D54B03"/>
    <w:rsid w:val="00D733AB"/>
    <w:rsid w:val="00D73759"/>
    <w:rsid w:val="00D872E7"/>
    <w:rsid w:val="00D92B47"/>
    <w:rsid w:val="00DA000D"/>
    <w:rsid w:val="00DA0453"/>
    <w:rsid w:val="00DA071B"/>
    <w:rsid w:val="00DA7B8A"/>
    <w:rsid w:val="00DB0A0E"/>
    <w:rsid w:val="00DB28AE"/>
    <w:rsid w:val="00DB60CA"/>
    <w:rsid w:val="00DC7C2D"/>
    <w:rsid w:val="00DD4C78"/>
    <w:rsid w:val="00DE5A4F"/>
    <w:rsid w:val="00DE6474"/>
    <w:rsid w:val="00DF37E6"/>
    <w:rsid w:val="00E01FAA"/>
    <w:rsid w:val="00E23D7C"/>
    <w:rsid w:val="00E25414"/>
    <w:rsid w:val="00E37946"/>
    <w:rsid w:val="00E43EB6"/>
    <w:rsid w:val="00E46284"/>
    <w:rsid w:val="00E5062D"/>
    <w:rsid w:val="00E67A5E"/>
    <w:rsid w:val="00E7401A"/>
    <w:rsid w:val="00E74749"/>
    <w:rsid w:val="00E763D5"/>
    <w:rsid w:val="00E86E5D"/>
    <w:rsid w:val="00E8708F"/>
    <w:rsid w:val="00E903C8"/>
    <w:rsid w:val="00EA2BCF"/>
    <w:rsid w:val="00EA7FDD"/>
    <w:rsid w:val="00EB0E89"/>
    <w:rsid w:val="00EB5EF3"/>
    <w:rsid w:val="00EE0442"/>
    <w:rsid w:val="00EE1300"/>
    <w:rsid w:val="00EE6096"/>
    <w:rsid w:val="00EF1CA7"/>
    <w:rsid w:val="00EF4D91"/>
    <w:rsid w:val="00F00A8C"/>
    <w:rsid w:val="00F0133E"/>
    <w:rsid w:val="00F01B52"/>
    <w:rsid w:val="00F12A6E"/>
    <w:rsid w:val="00F2226C"/>
    <w:rsid w:val="00F36FD2"/>
    <w:rsid w:val="00F41529"/>
    <w:rsid w:val="00F45796"/>
    <w:rsid w:val="00F50021"/>
    <w:rsid w:val="00F6061D"/>
    <w:rsid w:val="00F64645"/>
    <w:rsid w:val="00F64F7A"/>
    <w:rsid w:val="00F7095D"/>
    <w:rsid w:val="00F80F11"/>
    <w:rsid w:val="00F82596"/>
    <w:rsid w:val="00F836C9"/>
    <w:rsid w:val="00FA1DC8"/>
    <w:rsid w:val="00FB6472"/>
    <w:rsid w:val="00FD0B18"/>
    <w:rsid w:val="00FD0C23"/>
    <w:rsid w:val="00FD461F"/>
    <w:rsid w:val="00FE4568"/>
    <w:rsid w:val="00FE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CF932B"/>
  <w15:chartTrackingRefBased/>
  <w15:docId w15:val="{6B544340-8852-4988-8152-98E1EFD1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17F"/>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customStyle="1" w:styleId="Default">
    <w:name w:val="Default"/>
    <w:rsid w:val="00F36FD2"/>
    <w:pPr>
      <w:autoSpaceDE w:val="0"/>
      <w:autoSpaceDN w:val="0"/>
      <w:adjustRightInd w:val="0"/>
    </w:pPr>
    <w:rPr>
      <w:rFonts w:ascii="Arial" w:eastAsia="MS Mincho" w:hAnsi="Arial" w:cs="Arial"/>
      <w:color w:val="000000"/>
      <w:sz w:val="24"/>
      <w:szCs w:val="24"/>
      <w:lang w:eastAsia="ja-JP"/>
    </w:rPr>
  </w:style>
  <w:style w:type="character" w:customStyle="1" w:styleId="Heading3Char">
    <w:name w:val="Heading 3 Char"/>
    <w:link w:val="Heading3"/>
    <w:semiHidden/>
    <w:locked/>
    <w:rsid w:val="006D1AD0"/>
    <w:rPr>
      <w:rFonts w:ascii="Arial" w:eastAsia="SimSun" w:hAnsi="Arial" w:cs="Arial"/>
      <w:bCs/>
      <w:sz w:val="22"/>
      <w:szCs w:val="26"/>
      <w:u w:val="single"/>
      <w:lang w:val="en-US" w:eastAsia="zh-CN" w:bidi="ar-SA"/>
    </w:rPr>
  </w:style>
  <w:style w:type="character" w:styleId="Hyperlink">
    <w:name w:val="Hyperlink"/>
    <w:rsid w:val="001B6596"/>
    <w:rPr>
      <w:color w:val="0000FF"/>
      <w:u w:val="single"/>
    </w:rPr>
  </w:style>
  <w:style w:type="paragraph" w:styleId="BalloonText">
    <w:name w:val="Balloon Text"/>
    <w:basedOn w:val="Normal"/>
    <w:link w:val="BalloonTextChar"/>
    <w:rsid w:val="008B425E"/>
    <w:rPr>
      <w:rFonts w:ascii="Tahoma" w:hAnsi="Tahoma" w:cs="Tahoma"/>
      <w:sz w:val="16"/>
      <w:szCs w:val="16"/>
    </w:rPr>
  </w:style>
  <w:style w:type="character" w:customStyle="1" w:styleId="BalloonTextChar">
    <w:name w:val="Balloon Text Char"/>
    <w:link w:val="BalloonText"/>
    <w:rsid w:val="008B425E"/>
    <w:rPr>
      <w:rFonts w:ascii="Tahoma" w:eastAsia="SimSun" w:hAnsi="Tahoma" w:cs="Tahoma"/>
      <w:sz w:val="16"/>
      <w:szCs w:val="16"/>
      <w:lang w:eastAsia="zh-CN"/>
    </w:rPr>
  </w:style>
  <w:style w:type="character" w:customStyle="1" w:styleId="FootnoteTextChar">
    <w:name w:val="Footnote Text Char"/>
    <w:link w:val="FootnoteText"/>
    <w:semiHidden/>
    <w:rsid w:val="005F1FE0"/>
    <w:rPr>
      <w:rFonts w:ascii="Arial" w:eastAsia="SimSun" w:hAnsi="Arial" w:cs="Arial"/>
      <w:sz w:val="18"/>
      <w:lang w:eastAsia="zh-CN"/>
    </w:rPr>
  </w:style>
  <w:style w:type="character" w:styleId="FootnoteReference">
    <w:name w:val="footnote reference"/>
    <w:rsid w:val="005F1FE0"/>
    <w:rPr>
      <w:vertAlign w:val="superscript"/>
    </w:rPr>
  </w:style>
  <w:style w:type="paragraph" w:customStyle="1" w:styleId="Char">
    <w:name w:val="Char 字元 字元"/>
    <w:basedOn w:val="Normal"/>
    <w:rsid w:val="00E903C8"/>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link w:val="Endofdocument-AnnexChar"/>
    <w:rsid w:val="00D4481A"/>
    <w:pPr>
      <w:ind w:left="5534"/>
    </w:pPr>
  </w:style>
  <w:style w:type="paragraph" w:customStyle="1" w:styleId="indenti">
    <w:name w:val="indent_i"/>
    <w:basedOn w:val="Normal"/>
    <w:rsid w:val="00D4481A"/>
    <w:pPr>
      <w:tabs>
        <w:tab w:val="right" w:pos="1418"/>
        <w:tab w:val="left" w:pos="1559"/>
      </w:tabs>
      <w:jc w:val="both"/>
    </w:pPr>
    <w:rPr>
      <w:rFonts w:ascii="Times New Roman" w:eastAsia="Times New Roman" w:hAnsi="Times New Roman" w:cs="Times New Roman"/>
      <w:sz w:val="24"/>
      <w:lang w:eastAsia="ja-JP"/>
    </w:rPr>
  </w:style>
  <w:style w:type="paragraph" w:customStyle="1" w:styleId="indent1">
    <w:name w:val="indent_1"/>
    <w:basedOn w:val="Normal"/>
    <w:rsid w:val="00D4481A"/>
    <w:pPr>
      <w:ind w:firstLine="567"/>
      <w:jc w:val="both"/>
    </w:pPr>
    <w:rPr>
      <w:rFonts w:ascii="Times New Roman" w:eastAsia="Times New Roman" w:hAnsi="Times New Roman" w:cs="Times New Roman"/>
      <w:sz w:val="28"/>
      <w:szCs w:val="28"/>
      <w:lang w:val="en-GB" w:eastAsia="ja-JP"/>
    </w:rPr>
  </w:style>
  <w:style w:type="character" w:customStyle="1" w:styleId="Heading4Char">
    <w:name w:val="Heading 4 Char"/>
    <w:link w:val="Heading4"/>
    <w:rsid w:val="00D4481A"/>
    <w:rPr>
      <w:rFonts w:ascii="Arial" w:eastAsia="SimSun" w:hAnsi="Arial" w:cs="Arial"/>
      <w:bCs/>
      <w:i/>
      <w:sz w:val="22"/>
      <w:szCs w:val="28"/>
      <w:lang w:eastAsia="zh-CN"/>
    </w:rPr>
  </w:style>
  <w:style w:type="paragraph" w:customStyle="1" w:styleId="indenta">
    <w:name w:val="indent_a"/>
    <w:basedOn w:val="Normal"/>
    <w:link w:val="indentaChar"/>
    <w:rsid w:val="00D448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D4481A"/>
    <w:rPr>
      <w:sz w:val="28"/>
      <w:szCs w:val="28"/>
      <w:lang w:val="en-GB" w:eastAsia="ja-JP"/>
    </w:rPr>
  </w:style>
  <w:style w:type="paragraph" w:styleId="ListParagraph">
    <w:name w:val="List Paragraph"/>
    <w:basedOn w:val="Normal"/>
    <w:uiPriority w:val="34"/>
    <w:qFormat/>
    <w:rsid w:val="001070F8"/>
    <w:pPr>
      <w:ind w:left="720"/>
      <w:contextualSpacing/>
    </w:pPr>
    <w:rPr>
      <w:lang w:val="fr-FR"/>
    </w:rPr>
  </w:style>
  <w:style w:type="character" w:customStyle="1" w:styleId="Endofdocument-AnnexChar">
    <w:name w:val="[End of document - Annex] Char"/>
    <w:link w:val="Endofdocument-Annex"/>
    <w:rsid w:val="001070F8"/>
    <w:rPr>
      <w:rFonts w:ascii="Arial" w:eastAsia="SimSun" w:hAnsi="Arial" w:cs="Arial"/>
      <w:sz w:val="22"/>
      <w:lang w:eastAsia="zh-CN"/>
    </w:rPr>
  </w:style>
  <w:style w:type="paragraph" w:styleId="Revision">
    <w:name w:val="Revision"/>
    <w:hidden/>
    <w:uiPriority w:val="99"/>
    <w:semiHidden/>
    <w:rsid w:val="00C432F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4ED96-803E-4370-86C4-8077D45BE28D}">
  <ds:schemaRefs>
    <ds:schemaRef ds:uri="http://schemas.openxmlformats.org/officeDocument/2006/bibliography"/>
  </ds:schemaRefs>
</ds:datastoreItem>
</file>

<file path=customXml/itemProps2.xml><?xml version="1.0" encoding="utf-8"?>
<ds:datastoreItem xmlns:ds="http://schemas.openxmlformats.org/officeDocument/2006/customXml" ds:itemID="{6576C0A1-C4F9-4CE0-8B20-5FF47B81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369</Words>
  <Characters>1825</Characters>
  <Application>Microsoft Office Word</Application>
  <DocSecurity>0</DocSecurity>
  <Lines>73</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Nadège Bernard</dc:creator>
  <cp:keywords>FOR OFFICIAL USE ONLY</cp:keywords>
  <cp:lastModifiedBy>DUMITRU Elena</cp:lastModifiedBy>
  <cp:revision>8</cp:revision>
  <cp:lastPrinted>2013-12-12T12:33:00Z</cp:lastPrinted>
  <dcterms:created xsi:type="dcterms:W3CDTF">2023-11-06T14:31:00Z</dcterms:created>
  <dcterms:modified xsi:type="dcterms:W3CDTF">2023-11-09T10:48:00Z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423d7929-a2ba-4ec8-a356-56cb8ea41b72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2023-11-06T08:00:29Z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0ddf0509-02e5-4c50-b7b8-1dd858b28b88</vt:lpwstr>
  </property>
  <property fmtid="{D5CDD505-2E9C-101B-9397-08002B2CF9AE}" pid="13" name="MSIP_Label_20773ee6-353b-4fb9-a59d-0b94c8c67bea_ContentBits">
    <vt:lpwstr>0</vt:lpwstr>
  </property>
</Properties>
</file>