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14:paraId="1998B043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2BB8604C" w14:textId="77777777" w:rsidR="00A953E1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5B52FBF4" w14:textId="121E97F6" w:rsidR="00A953E1" w:rsidRDefault="00895A4F">
            <w:r>
              <w:rPr>
                <w:noProof/>
              </w:rPr>
              <w:drawing>
                <wp:inline distT="0" distB="0" distL="0" distR="0" wp14:anchorId="1FC19769" wp14:editId="25358AE7">
                  <wp:extent cx="1854200" cy="132080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AEAE0B" w14:textId="77777777" w:rsidR="00775905" w:rsidRDefault="00775905" w:rsidP="00775905">
      <w:pPr>
        <w:jc w:val="right"/>
        <w:rPr>
          <w:rFonts w:ascii="Arial Black" w:hAnsi="Arial Black"/>
          <w:sz w:val="15"/>
          <w:szCs w:val="15"/>
          <w:lang w:val="pt-BR"/>
        </w:rPr>
      </w:pPr>
    </w:p>
    <w:p w14:paraId="75579C35" w14:textId="2B415F67" w:rsidR="000F5E56" w:rsidRDefault="00775905" w:rsidP="00775905">
      <w:pPr>
        <w:jc w:val="right"/>
      </w:pPr>
      <w:r>
        <w:rPr>
          <w:rFonts w:ascii="Arial Black" w:hAnsi="Arial Black"/>
          <w:sz w:val="15"/>
          <w:szCs w:val="15"/>
          <w:lang w:val="pt-BR"/>
        </w:rPr>
        <w:t>Avis n</w:t>
      </w:r>
      <w:r w:rsidRPr="00D14F11">
        <w:rPr>
          <w:rFonts w:ascii="Arial Black" w:hAnsi="Arial Black"/>
          <w:sz w:val="15"/>
          <w:szCs w:val="15"/>
          <w:vertAlign w:val="superscript"/>
          <w:lang w:val="pt-BR"/>
        </w:rPr>
        <w:t>o</w:t>
      </w:r>
      <w:r>
        <w:rPr>
          <w:rFonts w:ascii="Arial Black" w:hAnsi="Arial Black"/>
          <w:sz w:val="15"/>
          <w:szCs w:val="15"/>
          <w:lang w:val="pt-BR"/>
        </w:rPr>
        <w:t xml:space="preserve"> </w:t>
      </w:r>
      <w:r w:rsidR="00104F8A">
        <w:rPr>
          <w:rFonts w:ascii="Arial Black" w:hAnsi="Arial Black"/>
          <w:sz w:val="15"/>
          <w:szCs w:val="15"/>
          <w:lang w:val="pt-BR"/>
        </w:rPr>
        <w:t>15</w:t>
      </w:r>
      <w:r>
        <w:rPr>
          <w:rFonts w:ascii="Arial Black" w:hAnsi="Arial Black"/>
          <w:sz w:val="15"/>
          <w:szCs w:val="15"/>
          <w:lang w:val="pt-BR"/>
        </w:rPr>
        <w:t>/</w:t>
      </w:r>
      <w:r w:rsidRPr="002935B4">
        <w:rPr>
          <w:rFonts w:ascii="Arial Black" w:hAnsi="Arial Black"/>
          <w:sz w:val="15"/>
          <w:szCs w:val="15"/>
          <w:lang w:val="pt-BR"/>
        </w:rPr>
        <w:t>20</w:t>
      </w:r>
      <w:r w:rsidR="00104F8A">
        <w:rPr>
          <w:rFonts w:ascii="Arial Black" w:hAnsi="Arial Black"/>
          <w:sz w:val="15"/>
          <w:szCs w:val="15"/>
          <w:lang w:val="pt-BR"/>
        </w:rPr>
        <w:t>23</w:t>
      </w:r>
    </w:p>
    <w:p w14:paraId="3D1090A5" w14:textId="77777777" w:rsidR="00A953E1" w:rsidRDefault="00A953E1"/>
    <w:p w14:paraId="3F89D94A" w14:textId="77777777" w:rsidR="000B4235" w:rsidRDefault="000B4235"/>
    <w:p w14:paraId="2661D370" w14:textId="77777777" w:rsidR="00775905" w:rsidRDefault="00775905"/>
    <w:p w14:paraId="11F92437" w14:textId="77777777" w:rsidR="00775905" w:rsidRDefault="00775905"/>
    <w:p w14:paraId="79778F21" w14:textId="77777777" w:rsidR="00104F8A" w:rsidRDefault="00104F8A" w:rsidP="00104F8A">
      <w:pPr>
        <w:rPr>
          <w:b/>
          <w:sz w:val="28"/>
          <w:szCs w:val="28"/>
          <w:lang w:val="fr-FR"/>
        </w:rPr>
      </w:pPr>
      <w:r w:rsidRPr="004B21AB">
        <w:rPr>
          <w:b/>
          <w:sz w:val="28"/>
          <w:szCs w:val="28"/>
          <w:lang w:val="fr-FR"/>
        </w:rPr>
        <w:t>Arrangement de La Haye concernant l</w:t>
      </w:r>
      <w:r>
        <w:rPr>
          <w:b/>
          <w:sz w:val="28"/>
          <w:szCs w:val="28"/>
          <w:lang w:val="fr-FR"/>
        </w:rPr>
        <w:t xml:space="preserve">’enregistrement international </w:t>
      </w:r>
      <w:r w:rsidRPr="004B21AB">
        <w:rPr>
          <w:b/>
          <w:sz w:val="28"/>
          <w:szCs w:val="28"/>
          <w:lang w:val="fr-FR"/>
        </w:rPr>
        <w:t>des dessins et modèles industriels</w:t>
      </w:r>
    </w:p>
    <w:p w14:paraId="7796F551" w14:textId="7876341D" w:rsidR="00775905" w:rsidRDefault="00775905" w:rsidP="00775905">
      <w:pPr>
        <w:rPr>
          <w:lang w:val="fr-FR"/>
        </w:rPr>
      </w:pPr>
    </w:p>
    <w:p w14:paraId="69BA3CF6" w14:textId="77777777" w:rsidR="00352DA0" w:rsidRPr="00104F8A" w:rsidRDefault="00352DA0" w:rsidP="00775905">
      <w:pPr>
        <w:rPr>
          <w:lang w:val="fr-FR"/>
        </w:rPr>
      </w:pPr>
    </w:p>
    <w:p w14:paraId="754E1E42" w14:textId="77777777" w:rsidR="00F6264D" w:rsidRPr="00F6264D" w:rsidRDefault="00F6264D" w:rsidP="00775905">
      <w:pPr>
        <w:rPr>
          <w:b/>
          <w:sz w:val="24"/>
          <w:szCs w:val="24"/>
        </w:rPr>
      </w:pPr>
      <w:r>
        <w:rPr>
          <w:b/>
          <w:sz w:val="24"/>
          <w:szCs w:val="24"/>
        </w:rPr>
        <w:t>Modification des montants de la taxe individuelle :</w:t>
      </w:r>
      <w:r>
        <w:rPr>
          <w:b/>
          <w:sz w:val="24"/>
          <w:szCs w:val="24"/>
        </w:rPr>
        <w:br/>
        <w:t>Organisation africaine de la propriété intellectuelle (OAPI)</w:t>
      </w:r>
    </w:p>
    <w:p w14:paraId="50EBB14D" w14:textId="77777777" w:rsidR="00775905" w:rsidRDefault="00775905" w:rsidP="00775905"/>
    <w:p w14:paraId="2E3DCD2A" w14:textId="6CEFEE2A" w:rsidR="00775905" w:rsidRPr="00104F8A" w:rsidRDefault="00F6264D" w:rsidP="00775905">
      <w:pPr>
        <w:pStyle w:val="ONUMFS"/>
      </w:pPr>
      <w:r w:rsidRPr="00F6264D">
        <w:rPr>
          <w:lang w:val="fr-FR"/>
        </w:rPr>
        <w:t>Conformément à la règle</w:t>
      </w:r>
      <w:r>
        <w:rPr>
          <w:lang w:val="fr-FR"/>
        </w:rPr>
        <w:t> </w:t>
      </w:r>
      <w:r w:rsidRPr="00F6264D">
        <w:rPr>
          <w:lang w:val="fr-FR"/>
        </w:rPr>
        <w:t xml:space="preserve">28.2)d) du </w:t>
      </w:r>
      <w:r>
        <w:rPr>
          <w:lang w:val="fr-FR"/>
        </w:rPr>
        <w:t>R</w:t>
      </w:r>
      <w:r w:rsidRPr="00F6264D">
        <w:rPr>
          <w:lang w:val="fr-FR"/>
        </w:rPr>
        <w:t xml:space="preserve">èglement d’exécution commun à l’Acte de 1999 et l’Acte de 1960 de l’Arrangement de La Haye, le </w:t>
      </w:r>
      <w:r>
        <w:rPr>
          <w:lang w:val="fr-FR"/>
        </w:rPr>
        <w:t>D</w:t>
      </w:r>
      <w:r w:rsidRPr="00F6264D">
        <w:rPr>
          <w:lang w:val="fr-FR"/>
        </w:rPr>
        <w:t>irecteur général de l’Organisation Mondiale de la Propriété Intellectuelle (OMPI) a établi les nouveaux montants suivants, en francs suisses, de la taxe de désignation individuelle qui doit être payée à l’égard d’une désignation de l’Organisation africaine de la propriété intellectuelle (OAPI) dans une demande internationale, ainsi que pour le renouvellement d’un enregistrement international désignant l’OAPI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2126"/>
        <w:gridCol w:w="2262"/>
      </w:tblGrid>
      <w:tr w:rsidR="00104F8A" w14:paraId="4385969E" w14:textId="77777777" w:rsidTr="00F53EF4">
        <w:tc>
          <w:tcPr>
            <w:tcW w:w="4957" w:type="dxa"/>
            <w:gridSpan w:val="2"/>
            <w:vAlign w:val="center"/>
          </w:tcPr>
          <w:p w14:paraId="19C79E1E" w14:textId="77777777" w:rsidR="00104F8A" w:rsidRPr="00432AEB" w:rsidRDefault="00104F8A" w:rsidP="00F53EF4">
            <w:pPr>
              <w:pStyle w:val="ONUMFS"/>
              <w:numPr>
                <w:ilvl w:val="0"/>
                <w:numId w:val="0"/>
              </w:numPr>
              <w:spacing w:before="240" w:after="240"/>
              <w:jc w:val="center"/>
              <w:rPr>
                <w:b/>
                <w:bCs/>
              </w:rPr>
            </w:pPr>
            <w:r w:rsidRPr="00432AEB">
              <w:rPr>
                <w:b/>
                <w:bCs/>
              </w:rPr>
              <w:t>Taxe de désignation individuelle</w:t>
            </w:r>
          </w:p>
        </w:tc>
        <w:tc>
          <w:tcPr>
            <w:tcW w:w="2126" w:type="dxa"/>
            <w:vAlign w:val="center"/>
          </w:tcPr>
          <w:p w14:paraId="1A09B05B" w14:textId="77777777" w:rsidR="00104F8A" w:rsidRPr="00996A98" w:rsidRDefault="00104F8A" w:rsidP="00F53EF4">
            <w:pPr>
              <w:jc w:val="center"/>
              <w:rPr>
                <w:b/>
                <w:lang w:val="fr-FR"/>
              </w:rPr>
            </w:pPr>
            <w:r w:rsidRPr="00996A98">
              <w:rPr>
                <w:b/>
                <w:lang w:val="fr-FR"/>
              </w:rPr>
              <w:t>Montants actuels</w:t>
            </w:r>
          </w:p>
          <w:p w14:paraId="00BF432B" w14:textId="77777777" w:rsidR="00104F8A" w:rsidRDefault="00104F8A" w:rsidP="00F53EF4">
            <w:pPr>
              <w:pStyle w:val="ONUMFS"/>
              <w:numPr>
                <w:ilvl w:val="0"/>
                <w:numId w:val="0"/>
              </w:numPr>
              <w:spacing w:after="0"/>
              <w:jc w:val="center"/>
            </w:pPr>
            <w:r w:rsidRPr="00996A98">
              <w:rPr>
                <w:bCs/>
                <w:i/>
                <w:iCs/>
                <w:lang w:val="fr-FR"/>
              </w:rPr>
              <w:t>(</w:t>
            </w:r>
            <w:proofErr w:type="gramStart"/>
            <w:r w:rsidRPr="00996A98">
              <w:rPr>
                <w:bCs/>
                <w:i/>
                <w:iCs/>
                <w:lang w:val="fr-FR"/>
              </w:rPr>
              <w:t>en</w:t>
            </w:r>
            <w:proofErr w:type="gramEnd"/>
            <w:r w:rsidRPr="00996A98">
              <w:rPr>
                <w:bCs/>
                <w:i/>
                <w:iCs/>
                <w:lang w:val="fr-FR"/>
              </w:rPr>
              <w:t xml:space="preserve"> francs suisses)</w:t>
            </w:r>
          </w:p>
        </w:tc>
        <w:tc>
          <w:tcPr>
            <w:tcW w:w="2262" w:type="dxa"/>
            <w:vAlign w:val="center"/>
          </w:tcPr>
          <w:p w14:paraId="44806D43" w14:textId="77777777" w:rsidR="00104F8A" w:rsidRPr="00996A98" w:rsidRDefault="00104F8A" w:rsidP="00F53EF4">
            <w:pPr>
              <w:ind w:left="-111" w:right="-116"/>
              <w:jc w:val="center"/>
              <w:rPr>
                <w:b/>
                <w:lang w:val="fr-FR"/>
              </w:rPr>
            </w:pPr>
            <w:r w:rsidRPr="00996A98">
              <w:rPr>
                <w:b/>
                <w:lang w:val="fr-FR"/>
              </w:rPr>
              <w:t>Nouveaux montants</w:t>
            </w:r>
          </w:p>
          <w:p w14:paraId="0DEC765D" w14:textId="77777777" w:rsidR="00104F8A" w:rsidRDefault="00104F8A" w:rsidP="00F53EF4">
            <w:pPr>
              <w:pStyle w:val="ONUMFS"/>
              <w:numPr>
                <w:ilvl w:val="0"/>
                <w:numId w:val="0"/>
              </w:numPr>
              <w:spacing w:after="0"/>
              <w:ind w:left="-111" w:right="-116"/>
              <w:jc w:val="center"/>
            </w:pPr>
            <w:r w:rsidRPr="00996A98">
              <w:rPr>
                <w:bCs/>
                <w:i/>
                <w:iCs/>
                <w:lang w:val="fr-FR"/>
              </w:rPr>
              <w:t>(</w:t>
            </w:r>
            <w:proofErr w:type="gramStart"/>
            <w:r w:rsidRPr="00996A98">
              <w:rPr>
                <w:bCs/>
                <w:i/>
                <w:iCs/>
                <w:lang w:val="fr-FR"/>
              </w:rPr>
              <w:t>en</w:t>
            </w:r>
            <w:proofErr w:type="gramEnd"/>
            <w:r w:rsidRPr="00996A98">
              <w:rPr>
                <w:bCs/>
                <w:i/>
                <w:iCs/>
                <w:lang w:val="fr-FR"/>
              </w:rPr>
              <w:t xml:space="preserve"> francs suisses)</w:t>
            </w:r>
          </w:p>
        </w:tc>
      </w:tr>
      <w:tr w:rsidR="00104F8A" w14:paraId="3FD40405" w14:textId="77777777" w:rsidTr="00F53EF4">
        <w:tc>
          <w:tcPr>
            <w:tcW w:w="1838" w:type="dxa"/>
            <w:vAlign w:val="center"/>
          </w:tcPr>
          <w:p w14:paraId="76EFF427" w14:textId="77777777" w:rsidR="00104F8A" w:rsidRDefault="00104F8A" w:rsidP="00F53EF4">
            <w:pPr>
              <w:pStyle w:val="ONUMFS"/>
              <w:numPr>
                <w:ilvl w:val="0"/>
                <w:numId w:val="0"/>
              </w:numPr>
              <w:spacing w:before="120" w:after="120"/>
            </w:pPr>
            <w:r w:rsidRPr="00996A98">
              <w:t>Demande internationale</w:t>
            </w:r>
          </w:p>
        </w:tc>
        <w:tc>
          <w:tcPr>
            <w:tcW w:w="3119" w:type="dxa"/>
            <w:vAlign w:val="center"/>
          </w:tcPr>
          <w:p w14:paraId="7E8AEF02" w14:textId="58CEE2E3" w:rsidR="00104F8A" w:rsidRDefault="00104F8A" w:rsidP="00104F8A">
            <w:pPr>
              <w:tabs>
                <w:tab w:val="left" w:pos="317"/>
              </w:tabs>
            </w:pPr>
            <w:r w:rsidRPr="00996A98">
              <w:t>–</w:t>
            </w:r>
            <w:r w:rsidRPr="00996A98">
              <w:tab/>
            </w:r>
            <w:r>
              <w:t>dépôt simple</w:t>
            </w:r>
          </w:p>
          <w:p w14:paraId="6E766451" w14:textId="33002B78" w:rsidR="00104F8A" w:rsidRDefault="00104F8A" w:rsidP="00104F8A">
            <w:pPr>
              <w:pStyle w:val="ONUMFS"/>
              <w:numPr>
                <w:ilvl w:val="0"/>
                <w:numId w:val="0"/>
              </w:numPr>
              <w:tabs>
                <w:tab w:val="left" w:pos="322"/>
              </w:tabs>
              <w:spacing w:before="120" w:after="120"/>
              <w:ind w:left="322" w:hanging="322"/>
            </w:pPr>
            <w:r>
              <w:t>–</w:t>
            </w:r>
            <w:r>
              <w:tab/>
              <w:t>dépôt multiple</w:t>
            </w:r>
          </w:p>
        </w:tc>
        <w:tc>
          <w:tcPr>
            <w:tcW w:w="2126" w:type="dxa"/>
            <w:vAlign w:val="center"/>
          </w:tcPr>
          <w:p w14:paraId="2F4B7370" w14:textId="77777777" w:rsidR="00104F8A" w:rsidRDefault="00352DA0" w:rsidP="00F53EF4">
            <w:pPr>
              <w:pStyle w:val="ONUMFS"/>
              <w:numPr>
                <w:ilvl w:val="0"/>
                <w:numId w:val="0"/>
              </w:numPr>
              <w:spacing w:before="120" w:after="120"/>
              <w:jc w:val="center"/>
            </w:pPr>
            <w:r>
              <w:t>83</w:t>
            </w:r>
          </w:p>
          <w:p w14:paraId="4EF363D9" w14:textId="6F557A9A" w:rsidR="00352DA0" w:rsidRDefault="00352DA0" w:rsidP="00F53EF4">
            <w:pPr>
              <w:pStyle w:val="ONUMFS"/>
              <w:numPr>
                <w:ilvl w:val="0"/>
                <w:numId w:val="0"/>
              </w:numPr>
              <w:spacing w:before="120" w:after="120"/>
              <w:jc w:val="center"/>
            </w:pPr>
            <w:r>
              <w:t>124</w:t>
            </w:r>
          </w:p>
        </w:tc>
        <w:tc>
          <w:tcPr>
            <w:tcW w:w="2262" w:type="dxa"/>
            <w:vAlign w:val="center"/>
          </w:tcPr>
          <w:p w14:paraId="4623C241" w14:textId="77777777" w:rsidR="00104F8A" w:rsidRDefault="00352DA0" w:rsidP="00F53EF4">
            <w:pPr>
              <w:pStyle w:val="ONUMFS"/>
              <w:numPr>
                <w:ilvl w:val="0"/>
                <w:numId w:val="0"/>
              </w:numPr>
              <w:spacing w:before="120" w:after="120"/>
              <w:jc w:val="center"/>
            </w:pPr>
            <w:r>
              <w:t>73</w:t>
            </w:r>
          </w:p>
          <w:p w14:paraId="6A4A4F60" w14:textId="1C9E9BA1" w:rsidR="00352DA0" w:rsidRDefault="00352DA0" w:rsidP="00F53EF4">
            <w:pPr>
              <w:pStyle w:val="ONUMFS"/>
              <w:numPr>
                <w:ilvl w:val="0"/>
                <w:numId w:val="0"/>
              </w:numPr>
              <w:spacing w:before="120" w:after="120"/>
              <w:jc w:val="center"/>
            </w:pPr>
            <w:r>
              <w:t>110</w:t>
            </w:r>
          </w:p>
        </w:tc>
      </w:tr>
      <w:tr w:rsidR="00104F8A" w14:paraId="223E1912" w14:textId="77777777" w:rsidTr="00F53EF4">
        <w:tc>
          <w:tcPr>
            <w:tcW w:w="1838" w:type="dxa"/>
            <w:vAlign w:val="center"/>
          </w:tcPr>
          <w:p w14:paraId="43AB0E1B" w14:textId="77777777" w:rsidR="00104F8A" w:rsidRDefault="00104F8A" w:rsidP="00F53EF4">
            <w:pPr>
              <w:pStyle w:val="ONUMFS"/>
              <w:numPr>
                <w:ilvl w:val="0"/>
                <w:numId w:val="0"/>
              </w:numPr>
              <w:spacing w:before="120" w:after="120"/>
            </w:pPr>
            <w:r w:rsidRPr="00996A98">
              <w:t>Renouvellement</w:t>
            </w:r>
          </w:p>
        </w:tc>
        <w:tc>
          <w:tcPr>
            <w:tcW w:w="3119" w:type="dxa"/>
            <w:vAlign w:val="center"/>
          </w:tcPr>
          <w:p w14:paraId="1448F6EE" w14:textId="77777777" w:rsidR="00104F8A" w:rsidRDefault="00104F8A" w:rsidP="00F53EF4">
            <w:pPr>
              <w:pStyle w:val="ONUMFS"/>
              <w:numPr>
                <w:ilvl w:val="0"/>
                <w:numId w:val="0"/>
              </w:numPr>
              <w:tabs>
                <w:tab w:val="left" w:pos="322"/>
              </w:tabs>
              <w:spacing w:before="120" w:after="120"/>
              <w:ind w:left="322" w:hanging="322"/>
            </w:pPr>
            <w:r w:rsidRPr="00996A98">
              <w:t>–</w:t>
            </w:r>
            <w:r w:rsidRPr="00996A98">
              <w:tab/>
              <w:t>pour chaque dessin ou modèle</w:t>
            </w:r>
          </w:p>
        </w:tc>
        <w:tc>
          <w:tcPr>
            <w:tcW w:w="2126" w:type="dxa"/>
            <w:vAlign w:val="center"/>
          </w:tcPr>
          <w:p w14:paraId="4E35C920" w14:textId="5DE79D0B" w:rsidR="00104F8A" w:rsidRDefault="00352DA0" w:rsidP="00F53EF4">
            <w:pPr>
              <w:pStyle w:val="ONUMFS"/>
              <w:numPr>
                <w:ilvl w:val="0"/>
                <w:numId w:val="0"/>
              </w:numPr>
              <w:spacing w:before="120" w:after="120"/>
              <w:jc w:val="center"/>
            </w:pPr>
            <w:r>
              <w:t>190</w:t>
            </w:r>
          </w:p>
        </w:tc>
        <w:tc>
          <w:tcPr>
            <w:tcW w:w="2262" w:type="dxa"/>
            <w:vAlign w:val="center"/>
          </w:tcPr>
          <w:p w14:paraId="0071A11A" w14:textId="4B9546EC" w:rsidR="00104F8A" w:rsidRDefault="00352DA0" w:rsidP="00F53EF4">
            <w:pPr>
              <w:pStyle w:val="ONUMFS"/>
              <w:numPr>
                <w:ilvl w:val="0"/>
                <w:numId w:val="0"/>
              </w:numPr>
              <w:spacing w:before="120" w:after="120"/>
              <w:jc w:val="center"/>
            </w:pPr>
            <w:r>
              <w:t>168</w:t>
            </w:r>
          </w:p>
        </w:tc>
      </w:tr>
    </w:tbl>
    <w:p w14:paraId="07252B15" w14:textId="77777777" w:rsidR="00F6264D" w:rsidRPr="00F91F22" w:rsidRDefault="00F6264D" w:rsidP="00F6264D"/>
    <w:p w14:paraId="37F28AFD" w14:textId="013B7509" w:rsidR="00775905" w:rsidRPr="00775905" w:rsidRDefault="00F6264D" w:rsidP="00775905">
      <w:pPr>
        <w:pStyle w:val="ONUMFS"/>
      </w:pPr>
      <w:r>
        <w:t>Cette modification prendra effet</w:t>
      </w:r>
      <w:r w:rsidR="006D06A0">
        <w:t xml:space="preserve"> le </w:t>
      </w:r>
      <w:r w:rsidR="00104F8A" w:rsidRPr="00104F8A">
        <w:t>1</w:t>
      </w:r>
      <w:r w:rsidR="00104F8A" w:rsidRPr="00352DA0">
        <w:rPr>
          <w:vertAlign w:val="superscript"/>
        </w:rPr>
        <w:t>er</w:t>
      </w:r>
      <w:r w:rsidR="00104F8A" w:rsidRPr="00104F8A">
        <w:t xml:space="preserve"> janvier 2024</w:t>
      </w:r>
      <w:r w:rsidR="006D06A0">
        <w:t>.</w:t>
      </w:r>
    </w:p>
    <w:p w14:paraId="6ECAD4E3" w14:textId="77777777" w:rsidR="00775905" w:rsidRDefault="00775905" w:rsidP="00775905"/>
    <w:p w14:paraId="76560584" w14:textId="77777777" w:rsidR="00775905" w:rsidRDefault="00775905" w:rsidP="00775905"/>
    <w:p w14:paraId="1AD0DE9A" w14:textId="54F72A73" w:rsidR="00104F8A" w:rsidRPr="00775905" w:rsidRDefault="00104F8A" w:rsidP="00104F8A">
      <w:pPr>
        <w:ind w:left="5534"/>
      </w:pPr>
      <w:r>
        <w:t xml:space="preserve">Le </w:t>
      </w:r>
      <w:r w:rsidR="00D0073A">
        <w:t xml:space="preserve">9 </w:t>
      </w:r>
      <w:r w:rsidRPr="00996A98">
        <w:t>novembre 2023</w:t>
      </w:r>
    </w:p>
    <w:p w14:paraId="5D1E9F4C" w14:textId="78742589" w:rsidR="00775905" w:rsidRPr="00775905" w:rsidRDefault="00775905" w:rsidP="00104F8A">
      <w:pPr>
        <w:ind w:left="5534"/>
      </w:pPr>
    </w:p>
    <w:sectPr w:rsidR="00775905" w:rsidRPr="00775905" w:rsidSect="00A953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C1EEC" w14:textId="77777777" w:rsidR="009F5518" w:rsidRDefault="009F5518">
      <w:r>
        <w:separator/>
      </w:r>
    </w:p>
  </w:endnote>
  <w:endnote w:type="continuationSeparator" w:id="0">
    <w:p w14:paraId="53A5230A" w14:textId="77777777" w:rsidR="009F5518" w:rsidRDefault="009F5518" w:rsidP="00A326CA">
      <w:r>
        <w:separator/>
      </w:r>
    </w:p>
    <w:p w14:paraId="013E06CF" w14:textId="77777777" w:rsidR="009F5518" w:rsidRPr="00874667" w:rsidRDefault="009F5518" w:rsidP="00874667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78474FC" w14:textId="77777777" w:rsidR="009F5518" w:rsidRPr="00874667" w:rsidRDefault="009F5518" w:rsidP="00874667">
      <w:pPr>
        <w:spacing w:before="60"/>
        <w:jc w:val="right"/>
        <w:rPr>
          <w:sz w:val="17"/>
          <w:szCs w:val="17"/>
        </w:rPr>
      </w:pPr>
      <w:r w:rsidRPr="00874667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50BDF" w14:textId="77777777" w:rsidR="00895A4F" w:rsidRDefault="00895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8069E" w14:textId="3435ACCD" w:rsidR="00895A4F" w:rsidRDefault="00895A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FF865" w14:textId="1A546F11" w:rsidR="00895A4F" w:rsidRDefault="00895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21AAC" w14:textId="77777777" w:rsidR="009F5518" w:rsidRDefault="009F5518">
      <w:r>
        <w:separator/>
      </w:r>
    </w:p>
  </w:footnote>
  <w:footnote w:type="continuationSeparator" w:id="0">
    <w:p w14:paraId="281D93E7" w14:textId="77777777" w:rsidR="009F5518" w:rsidRDefault="009F5518" w:rsidP="00A326CA">
      <w:r>
        <w:separator/>
      </w:r>
    </w:p>
    <w:p w14:paraId="11BFBCD1" w14:textId="77777777" w:rsidR="009F5518" w:rsidRPr="00874667" w:rsidRDefault="009F5518" w:rsidP="00874667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7144CB9" w14:textId="77777777" w:rsidR="009F5518" w:rsidRPr="00874667" w:rsidRDefault="009F5518" w:rsidP="00874667">
      <w:pPr>
        <w:spacing w:before="60"/>
        <w:jc w:val="right"/>
        <w:rPr>
          <w:sz w:val="17"/>
          <w:szCs w:val="17"/>
        </w:rPr>
      </w:pPr>
      <w:r w:rsidRPr="00874667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8A124" w14:textId="77777777" w:rsidR="00895A4F" w:rsidRDefault="00895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B618" w14:textId="77777777" w:rsidR="000C57E9" w:rsidRDefault="000C57E9" w:rsidP="0047153B">
    <w:pPr>
      <w:pStyle w:val="Header"/>
      <w:jc w:val="right"/>
    </w:pPr>
  </w:p>
  <w:p w14:paraId="6FB5A370" w14:textId="77777777" w:rsidR="000C57E9" w:rsidRDefault="000C57E9" w:rsidP="0047153B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4BEF1C" w14:textId="77777777" w:rsidR="000C57E9" w:rsidRDefault="000C57E9" w:rsidP="0047153B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E7176" w14:textId="77777777" w:rsidR="00895A4F" w:rsidRDefault="00895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124E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7309785">
    <w:abstractNumId w:val="2"/>
  </w:num>
  <w:num w:numId="2" w16cid:durableId="331301829">
    <w:abstractNumId w:val="4"/>
  </w:num>
  <w:num w:numId="3" w16cid:durableId="437876932">
    <w:abstractNumId w:val="0"/>
  </w:num>
  <w:num w:numId="4" w16cid:durableId="1106848209">
    <w:abstractNumId w:val="5"/>
  </w:num>
  <w:num w:numId="5" w16cid:durableId="2086875759">
    <w:abstractNumId w:val="1"/>
  </w:num>
  <w:num w:numId="6" w16cid:durableId="200367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81"/>
    <w:rsid w:val="000414B4"/>
    <w:rsid w:val="000B4235"/>
    <w:rsid w:val="000C57E9"/>
    <w:rsid w:val="000F5E56"/>
    <w:rsid w:val="00104F8A"/>
    <w:rsid w:val="00107410"/>
    <w:rsid w:val="00157ADE"/>
    <w:rsid w:val="00160D61"/>
    <w:rsid w:val="00226F62"/>
    <w:rsid w:val="00266E71"/>
    <w:rsid w:val="00352DA0"/>
    <w:rsid w:val="00447458"/>
    <w:rsid w:val="0047153B"/>
    <w:rsid w:val="004D5821"/>
    <w:rsid w:val="0051182F"/>
    <w:rsid w:val="005472CF"/>
    <w:rsid w:val="005A4381"/>
    <w:rsid w:val="00620CBB"/>
    <w:rsid w:val="006345D6"/>
    <w:rsid w:val="006754FB"/>
    <w:rsid w:val="00695AB0"/>
    <w:rsid w:val="006A6729"/>
    <w:rsid w:val="006D06A0"/>
    <w:rsid w:val="00775905"/>
    <w:rsid w:val="007B5CAC"/>
    <w:rsid w:val="00874667"/>
    <w:rsid w:val="00895A4F"/>
    <w:rsid w:val="008C25F9"/>
    <w:rsid w:val="008D21DA"/>
    <w:rsid w:val="0091481A"/>
    <w:rsid w:val="0095705D"/>
    <w:rsid w:val="00957CD8"/>
    <w:rsid w:val="009C6393"/>
    <w:rsid w:val="009F5518"/>
    <w:rsid w:val="00A326CA"/>
    <w:rsid w:val="00A953E1"/>
    <w:rsid w:val="00AA77B5"/>
    <w:rsid w:val="00AB3832"/>
    <w:rsid w:val="00AD619C"/>
    <w:rsid w:val="00B80AE3"/>
    <w:rsid w:val="00B85041"/>
    <w:rsid w:val="00C11E02"/>
    <w:rsid w:val="00C120CE"/>
    <w:rsid w:val="00CB64B2"/>
    <w:rsid w:val="00D0073A"/>
    <w:rsid w:val="00D07D4C"/>
    <w:rsid w:val="00D11707"/>
    <w:rsid w:val="00D8771E"/>
    <w:rsid w:val="00DD626D"/>
    <w:rsid w:val="00E26747"/>
    <w:rsid w:val="00E364EF"/>
    <w:rsid w:val="00E638AE"/>
    <w:rsid w:val="00E72674"/>
    <w:rsid w:val="00F6264D"/>
    <w:rsid w:val="00F91F22"/>
    <w:rsid w:val="00FE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D64D162"/>
  <w15:chartTrackingRefBased/>
  <w15:docId w15:val="{1BDEA32B-B210-4353-8ED2-267CDB32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4F8A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6A672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A672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A672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A6729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A6729"/>
    <w:pPr>
      <w:spacing w:after="220"/>
    </w:pPr>
  </w:style>
  <w:style w:type="paragraph" w:styleId="Caption">
    <w:name w:val="caption"/>
    <w:basedOn w:val="Normal"/>
    <w:next w:val="Normal"/>
    <w:qFormat/>
    <w:rsid w:val="006A6729"/>
    <w:rPr>
      <w:b/>
      <w:bCs/>
      <w:sz w:val="18"/>
    </w:rPr>
  </w:style>
  <w:style w:type="paragraph" w:styleId="CommentText">
    <w:name w:val="annotation text"/>
    <w:basedOn w:val="Normal"/>
    <w:semiHidden/>
    <w:rsid w:val="006A6729"/>
    <w:rPr>
      <w:sz w:val="18"/>
    </w:rPr>
  </w:style>
  <w:style w:type="paragraph" w:styleId="EndnoteText">
    <w:name w:val="endnote text"/>
    <w:basedOn w:val="Normal"/>
    <w:semiHidden/>
    <w:rsid w:val="006A6729"/>
    <w:rPr>
      <w:sz w:val="18"/>
    </w:rPr>
  </w:style>
  <w:style w:type="paragraph" w:styleId="Footer">
    <w:name w:val="footer"/>
    <w:basedOn w:val="Normal"/>
    <w:semiHidden/>
    <w:rsid w:val="006A672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A6729"/>
    <w:rPr>
      <w:sz w:val="18"/>
    </w:rPr>
  </w:style>
  <w:style w:type="paragraph" w:styleId="Header">
    <w:name w:val="header"/>
    <w:basedOn w:val="Normal"/>
    <w:semiHidden/>
    <w:rsid w:val="006A672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A6729"/>
    <w:pPr>
      <w:numPr>
        <w:numId w:val="4"/>
      </w:numPr>
    </w:pPr>
  </w:style>
  <w:style w:type="paragraph" w:customStyle="1" w:styleId="ONUME">
    <w:name w:val="ONUM E"/>
    <w:basedOn w:val="BodyText"/>
    <w:rsid w:val="006A6729"/>
    <w:pPr>
      <w:numPr>
        <w:numId w:val="5"/>
      </w:numPr>
    </w:pPr>
  </w:style>
  <w:style w:type="paragraph" w:customStyle="1" w:styleId="ONUMFS">
    <w:name w:val="ONUM FS"/>
    <w:basedOn w:val="BodyText"/>
    <w:rsid w:val="006A6729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A6729"/>
  </w:style>
  <w:style w:type="paragraph" w:styleId="Signature">
    <w:name w:val="Signature"/>
    <w:basedOn w:val="Normal"/>
    <w:semiHidden/>
    <w:rsid w:val="006A6729"/>
    <w:pPr>
      <w:ind w:left="5250"/>
    </w:pPr>
  </w:style>
  <w:style w:type="character" w:styleId="PageNumber">
    <w:name w:val="page number"/>
    <w:basedOn w:val="DefaultParagraphFont"/>
    <w:rsid w:val="0047153B"/>
  </w:style>
  <w:style w:type="paragraph" w:customStyle="1" w:styleId="Char">
    <w:name w:val="Char 字元 字元"/>
    <w:basedOn w:val="Normal"/>
    <w:rsid w:val="00775905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Hyperlink">
    <w:name w:val="Hyperlink"/>
    <w:basedOn w:val="DefaultParagraphFont"/>
    <w:rsid w:val="00775905"/>
    <w:rPr>
      <w:color w:val="0000FF"/>
      <w:u w:val="single"/>
    </w:rPr>
  </w:style>
  <w:style w:type="table" w:styleId="TableGrid">
    <w:name w:val="Table Grid"/>
    <w:basedOn w:val="TableNormal"/>
    <w:rsid w:val="00104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943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 no 6/2011</vt:lpstr>
    </vt:vector>
  </TitlesOfParts>
  <Company>WIPO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no 6/2011</dc:title>
  <dc:subject>Adhésion du Rwanda à l'Acte de 1999</dc:subject>
  <dc:creator>CleaveleyA</dc:creator>
  <cp:keywords/>
  <cp:lastModifiedBy>DUMITRU Elena</cp:lastModifiedBy>
  <cp:revision>5</cp:revision>
  <cp:lastPrinted>2011-08-24T12:22:00Z</cp:lastPrinted>
  <dcterms:created xsi:type="dcterms:W3CDTF">2023-11-02T13:24:00Z</dcterms:created>
  <dcterms:modified xsi:type="dcterms:W3CDTF">2023-11-09T15:25:00Z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2023-11-02T13:32:39Z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d63eaf86-2149-4934-8363-4382bfc99f79</vt:lpwstr>
  </property>
  <property fmtid="{D5CDD505-2E9C-101B-9397-08002B2CF9AE}" pid="8" name="MSIP_Label_20773ee6-353b-4fb9-a59d-0b94c8c67bea_ContentBits">
    <vt:lpwstr>0</vt:lpwstr>
  </property>
</Properties>
</file>