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 w14:paraId="3ABCF0A3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310E99F3" w14:textId="77777777" w:rsidR="00A953E1" w:rsidRPr="007161E8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1834C02B" w14:textId="1EB9EE3E" w:rsidR="00A953E1" w:rsidRPr="007161E8" w:rsidRDefault="009F45FB">
            <w:r w:rsidRPr="007161E8">
              <w:rPr>
                <w:noProof/>
                <w:lang w:val="fr-FR"/>
              </w:rPr>
              <w:drawing>
                <wp:inline distT="0" distB="0" distL="0" distR="0" wp14:anchorId="33BAB3D5" wp14:editId="5DF58C20">
                  <wp:extent cx="18573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86DD6" w14:textId="5E030214" w:rsidR="00E25414" w:rsidRPr="007161E8" w:rsidRDefault="009F45FB" w:rsidP="00096EA4">
      <w:pPr>
        <w:spacing w:before="240" w:after="1600"/>
        <w:jc w:val="right"/>
        <w:rPr>
          <w:lang w:val="fr-CH"/>
        </w:rPr>
      </w:pPr>
      <w:r w:rsidRPr="009F45FB">
        <w:rPr>
          <w:rFonts w:ascii="Arial Black" w:hAnsi="Arial Black"/>
          <w:sz w:val="15"/>
          <w:szCs w:val="15"/>
          <w:lang w:val="pt-BR"/>
        </w:rPr>
        <w:t>AVIS N°</w:t>
      </w:r>
      <w:r>
        <w:rPr>
          <w:rFonts w:ascii="Arial Black" w:hAnsi="Arial Black"/>
          <w:sz w:val="15"/>
          <w:szCs w:val="15"/>
          <w:lang w:val="pt-BR"/>
        </w:rPr>
        <w:t> </w:t>
      </w:r>
      <w:r w:rsidRPr="009F45FB">
        <w:rPr>
          <w:rFonts w:ascii="Arial Black" w:hAnsi="Arial Black"/>
          <w:sz w:val="15"/>
          <w:szCs w:val="15"/>
          <w:lang w:val="pt-BR"/>
        </w:rPr>
        <w:t>9/2024</w:t>
      </w:r>
    </w:p>
    <w:p w14:paraId="2A4A95AB" w14:textId="0C110824" w:rsidR="00E25414" w:rsidRPr="007161E8" w:rsidRDefault="009F45FB" w:rsidP="00096EA4">
      <w:pPr>
        <w:spacing w:after="720"/>
        <w:rPr>
          <w:b/>
          <w:sz w:val="28"/>
          <w:szCs w:val="28"/>
          <w:lang w:val="fr-CH"/>
        </w:rPr>
      </w:pPr>
      <w:r w:rsidRPr="009F45FB">
        <w:rPr>
          <w:b/>
          <w:sz w:val="28"/>
          <w:szCs w:val="28"/>
          <w:lang w:val="fr-CH"/>
        </w:rPr>
        <w:t xml:space="preserve">Arrangement de </w:t>
      </w:r>
      <w:r w:rsidR="00661F94">
        <w:rPr>
          <w:b/>
          <w:sz w:val="28"/>
          <w:szCs w:val="28"/>
          <w:lang w:val="fr-CH"/>
        </w:rPr>
        <w:t>La Haye</w:t>
      </w:r>
      <w:r w:rsidRPr="009F45FB">
        <w:rPr>
          <w:b/>
          <w:sz w:val="28"/>
          <w:szCs w:val="28"/>
          <w:lang w:val="fr-CH"/>
        </w:rPr>
        <w:t xml:space="preserve"> concernant l</w:t>
      </w:r>
      <w:r w:rsidR="00661F94">
        <w:rPr>
          <w:b/>
          <w:sz w:val="28"/>
          <w:szCs w:val="28"/>
          <w:lang w:val="fr-CH"/>
        </w:rPr>
        <w:t>’</w:t>
      </w:r>
      <w:r w:rsidRPr="009F45FB">
        <w:rPr>
          <w:b/>
          <w:sz w:val="28"/>
          <w:szCs w:val="28"/>
          <w:lang w:val="fr-CH"/>
        </w:rPr>
        <w:t>enregistrement international des dessins et modèles industriels</w:t>
      </w:r>
    </w:p>
    <w:p w14:paraId="0A5C7C65" w14:textId="572DD799" w:rsidR="00C2151D" w:rsidRPr="009319A3" w:rsidRDefault="009F45FB" w:rsidP="00667E0F">
      <w:pPr>
        <w:spacing w:after="240"/>
        <w:rPr>
          <w:b/>
          <w:sz w:val="24"/>
          <w:szCs w:val="24"/>
          <w:lang w:val="fr-CH"/>
        </w:rPr>
      </w:pPr>
      <w:r w:rsidRPr="009F45FB">
        <w:rPr>
          <w:b/>
          <w:sz w:val="24"/>
          <w:szCs w:val="24"/>
          <w:lang w:val="fr-CH"/>
        </w:rPr>
        <w:t>Déclarations d</w:t>
      </w:r>
      <w:r w:rsidR="00661F94">
        <w:rPr>
          <w:b/>
          <w:sz w:val="24"/>
          <w:szCs w:val="24"/>
          <w:lang w:val="fr-CH"/>
        </w:rPr>
        <w:t>’</w:t>
      </w:r>
      <w:r w:rsidRPr="009F45FB">
        <w:rPr>
          <w:b/>
          <w:sz w:val="24"/>
          <w:szCs w:val="24"/>
          <w:lang w:val="fr-CH"/>
        </w:rPr>
        <w:t>octroi de la protection</w:t>
      </w:r>
      <w:r w:rsidR="00661F94">
        <w:rPr>
          <w:b/>
          <w:sz w:val="24"/>
          <w:szCs w:val="24"/>
          <w:lang w:val="fr-CH"/>
        </w:rPr>
        <w:t> :</w:t>
      </w:r>
      <w:r w:rsidRPr="009F45FB">
        <w:rPr>
          <w:b/>
          <w:sz w:val="24"/>
          <w:szCs w:val="24"/>
          <w:lang w:val="fr-CH"/>
        </w:rPr>
        <w:t xml:space="preserve"> Royaume</w:t>
      </w:r>
      <w:r w:rsidR="003805D1">
        <w:rPr>
          <w:b/>
          <w:sz w:val="24"/>
          <w:szCs w:val="24"/>
          <w:lang w:val="fr-CH"/>
        </w:rPr>
        <w:noBreakHyphen/>
      </w:r>
      <w:r w:rsidRPr="009F45FB">
        <w:rPr>
          <w:b/>
          <w:sz w:val="24"/>
          <w:szCs w:val="24"/>
          <w:lang w:val="fr-CH"/>
        </w:rPr>
        <w:t>Uni</w:t>
      </w:r>
    </w:p>
    <w:p w14:paraId="55F63429" w14:textId="5F70BA2B" w:rsidR="009F45FB" w:rsidRPr="00B92F76" w:rsidRDefault="009F45FB" w:rsidP="009F45FB">
      <w:pPr>
        <w:pStyle w:val="ONUMFS"/>
        <w:rPr>
          <w:szCs w:val="22"/>
          <w:lang w:val="fr-FR"/>
        </w:rPr>
      </w:pPr>
      <w:r w:rsidRPr="00B92F76">
        <w:rPr>
          <w:lang w:val="fr-FR"/>
        </w:rPr>
        <w:t>Conformément à la règle</w:t>
      </w:r>
      <w:r w:rsidR="00B92F76">
        <w:rPr>
          <w:lang w:val="fr-FR"/>
        </w:rPr>
        <w:t> </w:t>
      </w:r>
      <w:r w:rsidRPr="00B92F76">
        <w:rPr>
          <w:lang w:val="fr-FR"/>
        </w:rPr>
        <w:t>18</w:t>
      </w:r>
      <w:r w:rsidRPr="00B92F76">
        <w:rPr>
          <w:i/>
          <w:iCs/>
          <w:lang w:val="fr-FR"/>
        </w:rPr>
        <w:t>bis</w:t>
      </w:r>
      <w:r w:rsidRPr="00B92F76">
        <w:rPr>
          <w:lang w:val="fr-FR"/>
        </w:rPr>
        <w:t>.1) du règlement d</w:t>
      </w:r>
      <w:r w:rsidR="00661F94">
        <w:rPr>
          <w:lang w:val="fr-FR"/>
        </w:rPr>
        <w:t>’</w:t>
      </w:r>
      <w:r w:rsidRPr="00B92F76">
        <w:rPr>
          <w:lang w:val="fr-FR"/>
        </w:rPr>
        <w:t>exécution commun à l</w:t>
      </w:r>
      <w:r w:rsidR="00661F94">
        <w:rPr>
          <w:lang w:val="fr-FR"/>
        </w:rPr>
        <w:t>’</w:t>
      </w:r>
      <w:r w:rsidRPr="00B92F76">
        <w:rPr>
          <w:lang w:val="fr-FR"/>
        </w:rPr>
        <w:t xml:space="preserve">Acte </w:t>
      </w:r>
      <w:r w:rsidR="00661F94" w:rsidRPr="00B92F76">
        <w:rPr>
          <w:lang w:val="fr-FR"/>
        </w:rPr>
        <w:t>de</w:t>
      </w:r>
      <w:r w:rsidR="00661F94">
        <w:rPr>
          <w:lang w:val="fr-FR"/>
        </w:rPr>
        <w:t> </w:t>
      </w:r>
      <w:r w:rsidR="00661F94" w:rsidRPr="00B92F76">
        <w:rPr>
          <w:lang w:val="fr-FR"/>
        </w:rPr>
        <w:t>1999</w:t>
      </w:r>
      <w:r w:rsidRPr="00B92F76">
        <w:rPr>
          <w:lang w:val="fr-FR"/>
        </w:rPr>
        <w:t xml:space="preserve"> et l</w:t>
      </w:r>
      <w:r w:rsidR="00661F94">
        <w:rPr>
          <w:lang w:val="fr-FR"/>
        </w:rPr>
        <w:t>’</w:t>
      </w:r>
      <w:r w:rsidRPr="00B92F76">
        <w:rPr>
          <w:lang w:val="fr-FR"/>
        </w:rPr>
        <w:t xml:space="preserve">Acte </w:t>
      </w:r>
      <w:r w:rsidR="00661F94" w:rsidRPr="00B92F76">
        <w:rPr>
          <w:lang w:val="fr-FR"/>
        </w:rPr>
        <w:t>de</w:t>
      </w:r>
      <w:r w:rsidR="00661F94">
        <w:rPr>
          <w:lang w:val="fr-FR"/>
        </w:rPr>
        <w:t> </w:t>
      </w:r>
      <w:r w:rsidR="00661F94" w:rsidRPr="00B92F76">
        <w:rPr>
          <w:lang w:val="fr-FR"/>
        </w:rPr>
        <w:t>1960</w:t>
      </w:r>
      <w:r w:rsidRPr="00B92F76">
        <w:rPr>
          <w:lang w:val="fr-FR"/>
        </w:rPr>
        <w:t xml:space="preserve"> de l</w:t>
      </w:r>
      <w:r w:rsidR="00661F94">
        <w:rPr>
          <w:lang w:val="fr-FR"/>
        </w:rPr>
        <w:t>’</w:t>
      </w:r>
      <w:r w:rsidRPr="00B92F76">
        <w:rPr>
          <w:lang w:val="fr-FR"/>
        </w:rPr>
        <w:t xml:space="preserve">Arrangement de </w:t>
      </w:r>
      <w:r w:rsidR="00661F94">
        <w:rPr>
          <w:lang w:val="fr-FR"/>
        </w:rPr>
        <w:t>La Haye</w:t>
      </w:r>
      <w:r w:rsidRPr="00B92F76">
        <w:rPr>
          <w:lang w:val="fr-FR"/>
        </w:rPr>
        <w:t xml:space="preserve"> (</w:t>
      </w:r>
      <w:r w:rsidR="00B92F76">
        <w:rPr>
          <w:lang w:val="fr-FR"/>
        </w:rPr>
        <w:t>“</w:t>
      </w:r>
      <w:r w:rsidRPr="00B92F76">
        <w:rPr>
          <w:lang w:val="fr-FR"/>
        </w:rPr>
        <w:t>règlement d</w:t>
      </w:r>
      <w:r w:rsidR="00661F94">
        <w:rPr>
          <w:lang w:val="fr-FR"/>
        </w:rPr>
        <w:t>’</w:t>
      </w:r>
      <w:r w:rsidRPr="00B92F76">
        <w:rPr>
          <w:lang w:val="fr-FR"/>
        </w:rPr>
        <w:t>exécution commun</w:t>
      </w:r>
      <w:r w:rsidR="00B92F76">
        <w:rPr>
          <w:lang w:val="fr-FR"/>
        </w:rPr>
        <w:t>”</w:t>
      </w:r>
      <w:r w:rsidRPr="00B92F76">
        <w:rPr>
          <w:lang w:val="fr-FR"/>
        </w:rPr>
        <w:t>), l</w:t>
      </w:r>
      <w:r w:rsidR="00661F94">
        <w:rPr>
          <w:lang w:val="fr-FR"/>
        </w:rPr>
        <w:t>’</w:t>
      </w:r>
      <w:r w:rsidR="00491848">
        <w:rPr>
          <w:lang w:val="fr-FR"/>
        </w:rPr>
        <w:t>O</w:t>
      </w:r>
      <w:r w:rsidRPr="00B92F76">
        <w:rPr>
          <w:lang w:val="fr-FR"/>
        </w:rPr>
        <w:t>ffice d</w:t>
      </w:r>
      <w:r w:rsidR="00661F94">
        <w:rPr>
          <w:lang w:val="fr-FR"/>
        </w:rPr>
        <w:t>’</w:t>
      </w:r>
      <w:r w:rsidRPr="00B92F76">
        <w:rPr>
          <w:lang w:val="fr-FR"/>
        </w:rPr>
        <w:t>une partie contractante désignée qui n</w:t>
      </w:r>
      <w:r w:rsidR="00661F94">
        <w:rPr>
          <w:lang w:val="fr-FR"/>
        </w:rPr>
        <w:t>’</w:t>
      </w:r>
      <w:r w:rsidRPr="00B92F76">
        <w:rPr>
          <w:lang w:val="fr-FR"/>
        </w:rPr>
        <w:t>a pas communiqué de notification de refus peut, dans le délai de refus applicable, envoyer au Bureau international une déclaration selon laquelle la protection des dessins ou modèles qui font l</w:t>
      </w:r>
      <w:r w:rsidR="00661F94">
        <w:rPr>
          <w:lang w:val="fr-FR"/>
        </w:rPr>
        <w:t>’</w:t>
      </w:r>
      <w:r w:rsidRPr="00B92F76">
        <w:rPr>
          <w:lang w:val="fr-FR"/>
        </w:rPr>
        <w:t>objet de l</w:t>
      </w:r>
      <w:r w:rsidR="00661F94">
        <w:rPr>
          <w:lang w:val="fr-FR"/>
        </w:rPr>
        <w:t>’</w:t>
      </w:r>
      <w:r w:rsidRPr="00B92F76">
        <w:rPr>
          <w:lang w:val="fr-FR"/>
        </w:rPr>
        <w:t>enregistrement international est accordée dans la partie contractante concernée (</w:t>
      </w:r>
      <w:r w:rsidR="00B92F76">
        <w:rPr>
          <w:lang w:val="fr-FR"/>
        </w:rPr>
        <w:t>“</w:t>
      </w:r>
      <w:r w:rsidRPr="00B92F76">
        <w:rPr>
          <w:lang w:val="fr-FR"/>
        </w:rPr>
        <w:t>déclaration d</w:t>
      </w:r>
      <w:r w:rsidR="00661F94">
        <w:rPr>
          <w:lang w:val="fr-FR"/>
        </w:rPr>
        <w:t>’</w:t>
      </w:r>
      <w:r w:rsidRPr="00B92F76">
        <w:rPr>
          <w:lang w:val="fr-FR"/>
        </w:rPr>
        <w:t>octroi de la protection</w:t>
      </w:r>
      <w:r w:rsidR="00B92F76">
        <w:rPr>
          <w:lang w:val="fr-FR"/>
        </w:rPr>
        <w:t>”</w:t>
      </w:r>
      <w:r w:rsidRPr="00B92F76">
        <w:rPr>
          <w:lang w:val="fr-FR"/>
        </w:rPr>
        <w:t xml:space="preserve">).  </w:t>
      </w:r>
      <w:r w:rsidRPr="003805D1">
        <w:rPr>
          <w:lang w:val="fr-FR"/>
        </w:rPr>
        <w:t>Toutefois, aucune conséquence juridique ne découle du fait qu</w:t>
      </w:r>
      <w:r w:rsidR="00661F94" w:rsidRPr="003805D1">
        <w:rPr>
          <w:lang w:val="fr-FR"/>
        </w:rPr>
        <w:t>’</w:t>
      </w:r>
      <w:r w:rsidRPr="003805D1">
        <w:rPr>
          <w:lang w:val="fr-FR"/>
        </w:rPr>
        <w:t>une telle déclaration d</w:t>
      </w:r>
      <w:r w:rsidR="00661F94" w:rsidRPr="003805D1">
        <w:rPr>
          <w:lang w:val="fr-FR"/>
        </w:rPr>
        <w:t>’</w:t>
      </w:r>
      <w:r w:rsidRPr="003805D1">
        <w:rPr>
          <w:lang w:val="fr-FR"/>
        </w:rPr>
        <w:t>octroi de la protection n</w:t>
      </w:r>
      <w:r w:rsidR="00661F94" w:rsidRPr="003805D1">
        <w:rPr>
          <w:lang w:val="fr-FR"/>
        </w:rPr>
        <w:t>’</w:t>
      </w:r>
      <w:r w:rsidRPr="003805D1">
        <w:rPr>
          <w:lang w:val="fr-FR"/>
        </w:rPr>
        <w:t xml:space="preserve">a pas été envoyée par un </w:t>
      </w:r>
      <w:r w:rsidR="00491848">
        <w:rPr>
          <w:lang w:val="fr-FR"/>
        </w:rPr>
        <w:t>O</w:t>
      </w:r>
      <w:r w:rsidRPr="003805D1">
        <w:rPr>
          <w:lang w:val="fr-FR"/>
        </w:rPr>
        <w:t>ffi</w:t>
      </w:r>
      <w:r w:rsidR="003805D1" w:rsidRPr="003805D1">
        <w:rPr>
          <w:lang w:val="fr-FR"/>
        </w:rPr>
        <w:t xml:space="preserve">ce.  </w:t>
      </w:r>
      <w:r w:rsidR="003805D1" w:rsidRPr="00B92F76">
        <w:rPr>
          <w:lang w:val="fr-FR"/>
        </w:rPr>
        <w:t>Le</w:t>
      </w:r>
      <w:r w:rsidRPr="00B92F76">
        <w:rPr>
          <w:lang w:val="fr-FR"/>
        </w:rPr>
        <w:t xml:space="preserve"> principe demeure que, conformément à l</w:t>
      </w:r>
      <w:r w:rsidR="00661F94">
        <w:rPr>
          <w:lang w:val="fr-FR"/>
        </w:rPr>
        <w:t>’</w:t>
      </w:r>
      <w:r w:rsidRPr="00B92F76">
        <w:rPr>
          <w:lang w:val="fr-FR"/>
        </w:rPr>
        <w:t>article</w:t>
      </w:r>
      <w:r w:rsidR="00B92F76" w:rsidRPr="00B92F76">
        <w:rPr>
          <w:lang w:val="fr-FR"/>
        </w:rPr>
        <w:t> </w:t>
      </w:r>
      <w:r w:rsidRPr="00B92F76">
        <w:rPr>
          <w:lang w:val="fr-FR"/>
        </w:rPr>
        <w:t>14.2)a) de l</w:t>
      </w:r>
      <w:r w:rsidR="00661F94">
        <w:rPr>
          <w:lang w:val="fr-FR"/>
        </w:rPr>
        <w:t>’</w:t>
      </w:r>
      <w:r w:rsidRPr="00B92F76">
        <w:rPr>
          <w:lang w:val="fr-FR"/>
        </w:rPr>
        <w:t>Acte de Genève (1999) de l</w:t>
      </w:r>
      <w:r w:rsidR="00661F94">
        <w:rPr>
          <w:lang w:val="fr-FR"/>
        </w:rPr>
        <w:t>’</w:t>
      </w:r>
      <w:r w:rsidRPr="00B92F76">
        <w:rPr>
          <w:lang w:val="fr-FR"/>
        </w:rPr>
        <w:t xml:space="preserve">Arrangement de </w:t>
      </w:r>
      <w:r w:rsidR="00661F94">
        <w:rPr>
          <w:lang w:val="fr-FR"/>
        </w:rPr>
        <w:t>La Haye</w:t>
      </w:r>
      <w:r w:rsidRPr="00B92F76">
        <w:rPr>
          <w:lang w:val="fr-FR"/>
        </w:rPr>
        <w:t>, les dessins ou modèles faisant l</w:t>
      </w:r>
      <w:r w:rsidR="00661F94">
        <w:rPr>
          <w:lang w:val="fr-FR"/>
        </w:rPr>
        <w:t>’</w:t>
      </w:r>
      <w:r w:rsidRPr="00B92F76">
        <w:rPr>
          <w:lang w:val="fr-FR"/>
        </w:rPr>
        <w:t>objet de l</w:t>
      </w:r>
      <w:r w:rsidR="00661F94">
        <w:rPr>
          <w:lang w:val="fr-FR"/>
        </w:rPr>
        <w:t>’</w:t>
      </w:r>
      <w:r w:rsidRPr="00B92F76">
        <w:rPr>
          <w:lang w:val="fr-FR"/>
        </w:rPr>
        <w:t>enregistrement international sont protégés si aucune notification de refus n</w:t>
      </w:r>
      <w:r w:rsidR="00661F94">
        <w:rPr>
          <w:lang w:val="fr-FR"/>
        </w:rPr>
        <w:t>’</w:t>
      </w:r>
      <w:r w:rsidRPr="00B92F76">
        <w:rPr>
          <w:lang w:val="fr-FR"/>
        </w:rPr>
        <w:t>a été envoyée dans le délai de refus applicable.</w:t>
      </w:r>
    </w:p>
    <w:p w14:paraId="7E67707F" w14:textId="37FFE343" w:rsidR="00661F94" w:rsidRPr="00667E0F" w:rsidRDefault="009F45FB" w:rsidP="00667E0F">
      <w:pPr>
        <w:pStyle w:val="ONUMFS"/>
        <w:rPr>
          <w:lang w:val="fr-FR"/>
        </w:rPr>
      </w:pPr>
      <w:r w:rsidRPr="00667E0F">
        <w:rPr>
          <w:lang w:val="fr-FR"/>
        </w:rPr>
        <w:t>L</w:t>
      </w:r>
      <w:r w:rsidR="00661F94" w:rsidRPr="00667E0F">
        <w:rPr>
          <w:lang w:val="fr-FR"/>
        </w:rPr>
        <w:t>’</w:t>
      </w:r>
      <w:r w:rsidRPr="00667E0F">
        <w:rPr>
          <w:lang w:val="fr-FR"/>
        </w:rPr>
        <w:t>Office de la propriété intellectuelle du Royaume</w:t>
      </w:r>
      <w:r w:rsidR="003805D1" w:rsidRPr="00667E0F">
        <w:rPr>
          <w:lang w:val="fr-FR"/>
        </w:rPr>
        <w:noBreakHyphen/>
      </w:r>
      <w:r w:rsidRPr="00667E0F">
        <w:rPr>
          <w:lang w:val="fr-FR"/>
        </w:rPr>
        <w:t xml:space="preserve">Uni </w:t>
      </w:r>
      <w:r w:rsidR="00F719B2" w:rsidRPr="00F719B2">
        <w:rPr>
          <w:rFonts w:eastAsia="MS Mincho"/>
          <w:szCs w:val="22"/>
          <w:lang w:val="fr-FR" w:eastAsia="ja-JP"/>
        </w:rPr>
        <w:t>(</w:t>
      </w:r>
      <w:r w:rsidR="00F719B2" w:rsidRPr="00F719B2">
        <w:rPr>
          <w:rFonts w:eastAsia="MS Mincho" w:hint="eastAsia"/>
          <w:szCs w:val="22"/>
          <w:lang w:val="fr-FR" w:eastAsia="ja-JP"/>
        </w:rPr>
        <w:t>UK</w:t>
      </w:r>
      <w:r w:rsidR="00F719B2">
        <w:rPr>
          <w:rFonts w:eastAsia="MS Mincho"/>
          <w:szCs w:val="22"/>
          <w:lang w:val="fr-FR" w:eastAsia="ja-JP"/>
        </w:rPr>
        <w:t> </w:t>
      </w:r>
      <w:r w:rsidR="00F719B2" w:rsidRPr="00F719B2">
        <w:rPr>
          <w:rFonts w:eastAsia="MS Mincho" w:hint="eastAsia"/>
          <w:szCs w:val="22"/>
          <w:lang w:val="fr-FR" w:eastAsia="ja-JP"/>
        </w:rPr>
        <w:t>IPO)</w:t>
      </w:r>
      <w:r w:rsidR="00F719B2" w:rsidRPr="00F719B2">
        <w:rPr>
          <w:rFonts w:eastAsia="MS Mincho"/>
          <w:szCs w:val="22"/>
          <w:lang w:val="fr-FR" w:eastAsia="ja-JP"/>
        </w:rPr>
        <w:t xml:space="preserve"> </w:t>
      </w:r>
      <w:r w:rsidRPr="00667E0F">
        <w:rPr>
          <w:lang w:val="fr-FR"/>
        </w:rPr>
        <w:t>a informé le Bureau international de l</w:t>
      </w:r>
      <w:r w:rsidR="00661F94" w:rsidRPr="00667E0F">
        <w:rPr>
          <w:lang w:val="fr-FR"/>
        </w:rPr>
        <w:t>’</w:t>
      </w:r>
      <w:r w:rsidRPr="00667E0F">
        <w:rPr>
          <w:lang w:val="fr-FR"/>
        </w:rPr>
        <w:t>Organisation Mondiale de la Propriété Intellectuelle (OMPI) de l</w:t>
      </w:r>
      <w:r w:rsidR="00661F94" w:rsidRPr="00667E0F">
        <w:rPr>
          <w:lang w:val="fr-FR"/>
        </w:rPr>
        <w:t>’</w:t>
      </w:r>
      <w:r w:rsidRPr="00667E0F">
        <w:rPr>
          <w:lang w:val="fr-FR"/>
        </w:rPr>
        <w:t>annonce du</w:t>
      </w:r>
      <w:r w:rsidR="00491848">
        <w:rPr>
          <w:lang w:val="fr-FR"/>
        </w:rPr>
        <w:t> </w:t>
      </w:r>
      <w:r w:rsidRPr="00667E0F">
        <w:rPr>
          <w:lang w:val="fr-FR"/>
        </w:rPr>
        <w:t>29</w:t>
      </w:r>
      <w:r w:rsidR="00B92F76" w:rsidRPr="00667E0F">
        <w:rPr>
          <w:lang w:val="fr-FR"/>
        </w:rPr>
        <w:t> </w:t>
      </w:r>
      <w:r w:rsidR="00661F94" w:rsidRPr="00667E0F">
        <w:rPr>
          <w:lang w:val="fr-FR"/>
        </w:rPr>
        <w:t>août 20</w:t>
      </w:r>
      <w:r w:rsidRPr="00667E0F">
        <w:rPr>
          <w:lang w:val="fr-FR"/>
        </w:rPr>
        <w:t>24, sur le site</w:t>
      </w:r>
      <w:r w:rsidR="002F3BA5" w:rsidRPr="00667E0F">
        <w:rPr>
          <w:lang w:val="fr-FR"/>
        </w:rPr>
        <w:t> </w:t>
      </w:r>
      <w:r w:rsidRPr="00667E0F">
        <w:rPr>
          <w:lang w:val="fr-FR"/>
        </w:rPr>
        <w:t>Web officiel du Gouvernement du Royaume</w:t>
      </w:r>
      <w:r w:rsidR="003805D1" w:rsidRPr="00667E0F">
        <w:rPr>
          <w:lang w:val="fr-FR"/>
        </w:rPr>
        <w:noBreakHyphen/>
      </w:r>
      <w:r w:rsidRPr="00667E0F">
        <w:rPr>
          <w:lang w:val="fr-FR"/>
        </w:rPr>
        <w:t>Uni</w:t>
      </w:r>
      <w:r w:rsidRPr="009F45FB">
        <w:rPr>
          <w:rStyle w:val="FootnoteReference"/>
          <w:rFonts w:eastAsia="Times New Roman"/>
          <w:szCs w:val="22"/>
          <w:lang w:eastAsia="ja-JP"/>
        </w:rPr>
        <w:footnoteReference w:id="2"/>
      </w:r>
      <w:r w:rsidR="00667E0F">
        <w:rPr>
          <w:lang w:val="fr-FR"/>
        </w:rPr>
        <w:t xml:space="preserve"> </w:t>
      </w:r>
      <w:r w:rsidRPr="00667E0F">
        <w:rPr>
          <w:lang w:val="fr-FR"/>
        </w:rPr>
        <w:t>concernant la décision de l</w:t>
      </w:r>
      <w:r w:rsidR="00661F94" w:rsidRPr="00667E0F">
        <w:rPr>
          <w:lang w:val="fr-FR"/>
        </w:rPr>
        <w:t>’</w:t>
      </w:r>
      <w:r w:rsidR="00F719B2" w:rsidRPr="00F719B2">
        <w:rPr>
          <w:rFonts w:eastAsia="MS Mincho" w:hint="eastAsia"/>
          <w:szCs w:val="22"/>
          <w:lang w:val="fr-FR" w:eastAsia="ja-JP"/>
        </w:rPr>
        <w:t>UK</w:t>
      </w:r>
      <w:r w:rsidR="00F719B2">
        <w:rPr>
          <w:rFonts w:eastAsia="MS Mincho"/>
          <w:szCs w:val="22"/>
          <w:lang w:val="fr-FR" w:eastAsia="ja-JP"/>
        </w:rPr>
        <w:t> </w:t>
      </w:r>
      <w:r w:rsidR="00F719B2" w:rsidRPr="00F719B2">
        <w:rPr>
          <w:rFonts w:eastAsia="MS Mincho" w:hint="eastAsia"/>
          <w:szCs w:val="22"/>
          <w:lang w:val="fr-FR" w:eastAsia="ja-JP"/>
        </w:rPr>
        <w:t>IPO</w:t>
      </w:r>
      <w:r w:rsidRPr="00667E0F">
        <w:rPr>
          <w:lang w:val="fr-FR"/>
        </w:rPr>
        <w:t xml:space="preserve"> relative aux déclarations d</w:t>
      </w:r>
      <w:r w:rsidR="00661F94" w:rsidRPr="00667E0F">
        <w:rPr>
          <w:lang w:val="fr-FR"/>
        </w:rPr>
        <w:t>’</w:t>
      </w:r>
      <w:r w:rsidRPr="00667E0F">
        <w:rPr>
          <w:lang w:val="fr-FR"/>
        </w:rPr>
        <w:t>octroi de la protection en vertu de la règle</w:t>
      </w:r>
      <w:r w:rsidR="00B92F76" w:rsidRPr="00667E0F">
        <w:rPr>
          <w:lang w:val="fr-FR"/>
        </w:rPr>
        <w:t> </w:t>
      </w:r>
      <w:r w:rsidRPr="00667E0F">
        <w:rPr>
          <w:lang w:val="fr-FR"/>
        </w:rPr>
        <w:t>18</w:t>
      </w:r>
      <w:r w:rsidRPr="00667E0F">
        <w:rPr>
          <w:i/>
          <w:iCs/>
          <w:lang w:val="fr-FR"/>
        </w:rPr>
        <w:t>bis</w:t>
      </w:r>
      <w:r w:rsidRPr="00667E0F">
        <w:rPr>
          <w:lang w:val="fr-FR"/>
        </w:rPr>
        <w:t>.1) du règlement d</w:t>
      </w:r>
      <w:r w:rsidR="00661F94" w:rsidRPr="00667E0F">
        <w:rPr>
          <w:lang w:val="fr-FR"/>
        </w:rPr>
        <w:t>’</w:t>
      </w:r>
      <w:r w:rsidRPr="00667E0F">
        <w:rPr>
          <w:lang w:val="fr-FR"/>
        </w:rPr>
        <w:t>exécution commun, telle que résumée ci</w:t>
      </w:r>
      <w:r w:rsidR="003805D1" w:rsidRPr="00667E0F">
        <w:rPr>
          <w:lang w:val="fr-FR"/>
        </w:rPr>
        <w:noBreakHyphen/>
      </w:r>
      <w:r w:rsidRPr="00667E0F">
        <w:rPr>
          <w:lang w:val="fr-FR"/>
        </w:rPr>
        <w:t>dessous</w:t>
      </w:r>
      <w:r w:rsidR="00661F94" w:rsidRPr="00667E0F">
        <w:rPr>
          <w:lang w:val="fr-FR"/>
        </w:rPr>
        <w:t> :</w:t>
      </w:r>
    </w:p>
    <w:p w14:paraId="64A869C8" w14:textId="18E38060" w:rsidR="00661F94" w:rsidRDefault="009F45FB" w:rsidP="009F45FB">
      <w:pPr>
        <w:pStyle w:val="ONUMFS"/>
        <w:numPr>
          <w:ilvl w:val="0"/>
          <w:numId w:val="13"/>
        </w:numPr>
        <w:tabs>
          <w:tab w:val="left" w:pos="1134"/>
        </w:tabs>
        <w:ind w:left="567" w:hanging="11"/>
        <w:rPr>
          <w:lang w:val="fr-FR"/>
        </w:rPr>
      </w:pPr>
      <w:r w:rsidRPr="009F45FB">
        <w:rPr>
          <w:lang w:val="fr-FR"/>
        </w:rPr>
        <w:t>après le succès de la phase d</w:t>
      </w:r>
      <w:r w:rsidR="00661F94">
        <w:rPr>
          <w:lang w:val="fr-FR"/>
        </w:rPr>
        <w:t>’</w:t>
      </w:r>
      <w:r w:rsidRPr="009F45FB">
        <w:rPr>
          <w:lang w:val="fr-FR"/>
        </w:rPr>
        <w:t xml:space="preserve">essai débutée en </w:t>
      </w:r>
      <w:r w:rsidR="00661F94" w:rsidRPr="009F45FB">
        <w:rPr>
          <w:lang w:val="fr-FR"/>
        </w:rPr>
        <w:t>février</w:t>
      </w:r>
      <w:r w:rsidR="00661F94">
        <w:rPr>
          <w:lang w:val="fr-FR"/>
        </w:rPr>
        <w:t> </w:t>
      </w:r>
      <w:r w:rsidR="00661F94" w:rsidRPr="009F45FB">
        <w:rPr>
          <w:lang w:val="fr-FR"/>
        </w:rPr>
        <w:t>20</w:t>
      </w:r>
      <w:r w:rsidRPr="009F45FB">
        <w:rPr>
          <w:lang w:val="fr-FR"/>
        </w:rPr>
        <w:t xml:space="preserve">24, </w:t>
      </w:r>
      <w:r w:rsidR="00F719B2" w:rsidRPr="00667E0F">
        <w:rPr>
          <w:lang w:val="fr-FR"/>
        </w:rPr>
        <w:t>l’</w:t>
      </w:r>
      <w:r w:rsidR="00F719B2" w:rsidRPr="00F719B2">
        <w:rPr>
          <w:rFonts w:eastAsia="MS Mincho" w:hint="eastAsia"/>
          <w:szCs w:val="22"/>
          <w:lang w:val="fr-FR" w:eastAsia="ja-JP"/>
        </w:rPr>
        <w:t>UK</w:t>
      </w:r>
      <w:r w:rsidR="00F719B2">
        <w:rPr>
          <w:rFonts w:eastAsia="MS Mincho"/>
          <w:szCs w:val="22"/>
          <w:lang w:val="fr-FR" w:eastAsia="ja-JP"/>
        </w:rPr>
        <w:t> </w:t>
      </w:r>
      <w:r w:rsidR="00F719B2" w:rsidRPr="00F719B2">
        <w:rPr>
          <w:rFonts w:eastAsia="MS Mincho" w:hint="eastAsia"/>
          <w:szCs w:val="22"/>
          <w:lang w:val="fr-FR" w:eastAsia="ja-JP"/>
        </w:rPr>
        <w:t>IPO</w:t>
      </w:r>
      <w:r w:rsidR="00F719B2" w:rsidRPr="00667E0F">
        <w:rPr>
          <w:lang w:val="fr-FR"/>
        </w:rPr>
        <w:t xml:space="preserve"> </w:t>
      </w:r>
      <w:r w:rsidRPr="009F45FB">
        <w:rPr>
          <w:lang w:val="fr-FR"/>
        </w:rPr>
        <w:t>a décidé de continuer à émettre des déclarations d</w:t>
      </w:r>
      <w:r w:rsidR="00661F94">
        <w:rPr>
          <w:lang w:val="fr-FR"/>
        </w:rPr>
        <w:t>’</w:t>
      </w:r>
      <w:r w:rsidRPr="009F45FB">
        <w:rPr>
          <w:lang w:val="fr-FR"/>
        </w:rPr>
        <w:t>octroi de protection conformément à la règle</w:t>
      </w:r>
      <w:r w:rsidR="00B92F76">
        <w:rPr>
          <w:lang w:val="fr-FR"/>
        </w:rPr>
        <w:t> </w:t>
      </w:r>
      <w:r w:rsidRPr="009F45FB">
        <w:rPr>
          <w:lang w:val="fr-FR"/>
        </w:rPr>
        <w:t>18</w:t>
      </w:r>
      <w:r w:rsidRPr="009F45FB">
        <w:rPr>
          <w:i/>
          <w:iCs/>
          <w:lang w:val="fr-FR"/>
        </w:rPr>
        <w:t>bis</w:t>
      </w:r>
      <w:r w:rsidRPr="009F45FB">
        <w:rPr>
          <w:lang w:val="fr-FR"/>
        </w:rPr>
        <w:t xml:space="preserve">.1); </w:t>
      </w:r>
      <w:r w:rsidR="002F3BA5">
        <w:rPr>
          <w:lang w:val="fr-FR"/>
        </w:rPr>
        <w:t xml:space="preserve"> </w:t>
      </w:r>
      <w:r w:rsidRPr="009F45FB">
        <w:rPr>
          <w:lang w:val="fr-FR"/>
        </w:rPr>
        <w:t>et</w:t>
      </w:r>
    </w:p>
    <w:p w14:paraId="247E8BD2" w14:textId="500E6C8C" w:rsidR="009F45FB" w:rsidRPr="00667E0F" w:rsidRDefault="009F45FB" w:rsidP="00667E0F">
      <w:pPr>
        <w:pStyle w:val="ONUMFS"/>
        <w:numPr>
          <w:ilvl w:val="0"/>
          <w:numId w:val="13"/>
        </w:numPr>
        <w:tabs>
          <w:tab w:val="left" w:pos="1134"/>
        </w:tabs>
        <w:spacing w:after="0"/>
        <w:ind w:left="567" w:hanging="11"/>
        <w:rPr>
          <w:szCs w:val="22"/>
          <w:lang w:val="fr-FR"/>
        </w:rPr>
      </w:pPr>
      <w:r w:rsidRPr="00B92F76">
        <w:rPr>
          <w:color w:val="0B0C0C"/>
          <w:lang w:val="fr-FR"/>
        </w:rPr>
        <w:t>afin d</w:t>
      </w:r>
      <w:r w:rsidR="00661F94">
        <w:rPr>
          <w:color w:val="0B0C0C"/>
          <w:lang w:val="fr-FR"/>
        </w:rPr>
        <w:t>’</w:t>
      </w:r>
      <w:r w:rsidRPr="00B92F76">
        <w:rPr>
          <w:color w:val="0B0C0C"/>
          <w:lang w:val="fr-FR"/>
        </w:rPr>
        <w:t>aider les titulaires d</w:t>
      </w:r>
      <w:r w:rsidR="00661F94">
        <w:rPr>
          <w:color w:val="0B0C0C"/>
          <w:lang w:val="fr-FR"/>
        </w:rPr>
        <w:t>’</w:t>
      </w:r>
      <w:r w:rsidRPr="00B92F76">
        <w:rPr>
          <w:color w:val="0B0C0C"/>
          <w:lang w:val="fr-FR"/>
        </w:rPr>
        <w:t>enregistrements internationaux désignant le Royaume</w:t>
      </w:r>
      <w:r w:rsidR="003805D1">
        <w:rPr>
          <w:color w:val="0B0C0C"/>
          <w:lang w:val="fr-FR"/>
        </w:rPr>
        <w:noBreakHyphen/>
      </w:r>
      <w:r w:rsidRPr="00B92F76">
        <w:rPr>
          <w:color w:val="0B0C0C"/>
          <w:lang w:val="fr-FR"/>
        </w:rPr>
        <w:t xml:space="preserve">Uni, </w:t>
      </w:r>
      <w:r w:rsidR="00F719B2" w:rsidRPr="00667E0F">
        <w:rPr>
          <w:lang w:val="fr-FR"/>
        </w:rPr>
        <w:t>l’</w:t>
      </w:r>
      <w:r w:rsidR="00F719B2" w:rsidRPr="00F719B2">
        <w:rPr>
          <w:rFonts w:eastAsia="MS Mincho" w:hint="eastAsia"/>
          <w:szCs w:val="22"/>
          <w:lang w:val="fr-FR" w:eastAsia="ja-JP"/>
        </w:rPr>
        <w:t>UK</w:t>
      </w:r>
      <w:r w:rsidR="00F719B2">
        <w:rPr>
          <w:rFonts w:eastAsia="MS Mincho"/>
          <w:szCs w:val="22"/>
          <w:lang w:val="fr-FR" w:eastAsia="ja-JP"/>
        </w:rPr>
        <w:t> </w:t>
      </w:r>
      <w:r w:rsidR="00F719B2" w:rsidRPr="00F719B2">
        <w:rPr>
          <w:rFonts w:eastAsia="MS Mincho" w:hint="eastAsia"/>
          <w:szCs w:val="22"/>
          <w:lang w:val="fr-FR" w:eastAsia="ja-JP"/>
        </w:rPr>
        <w:t>IPO</w:t>
      </w:r>
      <w:r w:rsidRPr="00B92F76">
        <w:rPr>
          <w:color w:val="0B0C0C"/>
          <w:lang w:val="fr-FR"/>
        </w:rPr>
        <w:t xml:space="preserve"> a également publié une déclaration générale d</w:t>
      </w:r>
      <w:r w:rsidR="00661F94">
        <w:rPr>
          <w:color w:val="0B0C0C"/>
          <w:lang w:val="fr-FR"/>
        </w:rPr>
        <w:t>’</w:t>
      </w:r>
      <w:r w:rsidRPr="00B92F76">
        <w:rPr>
          <w:color w:val="0B0C0C"/>
          <w:lang w:val="fr-FR"/>
        </w:rPr>
        <w:t>octroi de la protecti</w:t>
      </w:r>
      <w:r w:rsidR="003805D1" w:rsidRPr="00B92F76">
        <w:rPr>
          <w:color w:val="0B0C0C"/>
          <w:lang w:val="fr-FR"/>
        </w:rPr>
        <w:t>on</w:t>
      </w:r>
      <w:r w:rsidR="003805D1">
        <w:rPr>
          <w:color w:val="0B0C0C"/>
          <w:lang w:val="fr-FR"/>
        </w:rPr>
        <w:t xml:space="preserve">.  </w:t>
      </w:r>
      <w:r w:rsidR="003805D1" w:rsidRPr="00B92F76">
        <w:rPr>
          <w:color w:val="0B0C0C"/>
          <w:lang w:val="fr-FR"/>
        </w:rPr>
        <w:t>Ce</w:t>
      </w:r>
      <w:r w:rsidRPr="00B92F76">
        <w:rPr>
          <w:color w:val="0B0C0C"/>
          <w:lang w:val="fr-FR"/>
        </w:rPr>
        <w:t>tte déclaration générale s</w:t>
      </w:r>
      <w:r w:rsidR="00661F94">
        <w:rPr>
          <w:color w:val="0B0C0C"/>
          <w:lang w:val="fr-FR"/>
        </w:rPr>
        <w:t>’</w:t>
      </w:r>
      <w:r w:rsidRPr="00B92F76">
        <w:rPr>
          <w:color w:val="0B0C0C"/>
          <w:lang w:val="fr-FR"/>
        </w:rPr>
        <w:t>applique aux enregistrements internationaux de dessins ou modèles dont la protection a été accordée au Royaume</w:t>
      </w:r>
      <w:r w:rsidR="003805D1">
        <w:rPr>
          <w:color w:val="0B0C0C"/>
          <w:lang w:val="fr-FR"/>
        </w:rPr>
        <w:noBreakHyphen/>
      </w:r>
      <w:r w:rsidRPr="00B92F76">
        <w:rPr>
          <w:color w:val="0B0C0C"/>
          <w:lang w:val="fr-FR"/>
        </w:rPr>
        <w:t xml:space="preserve">Uni avant le début, en </w:t>
      </w:r>
      <w:r w:rsidR="00661F94" w:rsidRPr="00B92F76">
        <w:rPr>
          <w:color w:val="0B0C0C"/>
          <w:lang w:val="fr-FR"/>
        </w:rPr>
        <w:t>février</w:t>
      </w:r>
      <w:r w:rsidR="00661F94">
        <w:rPr>
          <w:color w:val="0B0C0C"/>
          <w:lang w:val="fr-FR"/>
        </w:rPr>
        <w:t> </w:t>
      </w:r>
      <w:r w:rsidR="00661F94" w:rsidRPr="00B92F76">
        <w:rPr>
          <w:color w:val="0B0C0C"/>
          <w:lang w:val="fr-FR"/>
        </w:rPr>
        <w:t>20</w:t>
      </w:r>
      <w:r w:rsidRPr="00B92F76">
        <w:rPr>
          <w:color w:val="0B0C0C"/>
          <w:lang w:val="fr-FR"/>
        </w:rPr>
        <w:t>24, de l</w:t>
      </w:r>
      <w:r w:rsidR="00661F94">
        <w:rPr>
          <w:color w:val="0B0C0C"/>
          <w:lang w:val="fr-FR"/>
        </w:rPr>
        <w:t>’</w:t>
      </w:r>
      <w:r w:rsidRPr="00B92F76">
        <w:rPr>
          <w:color w:val="0B0C0C"/>
          <w:lang w:val="fr-FR"/>
        </w:rPr>
        <w:t>essai susmention</w:t>
      </w:r>
      <w:r w:rsidR="003805D1" w:rsidRPr="00B92F76">
        <w:rPr>
          <w:color w:val="0B0C0C"/>
          <w:lang w:val="fr-FR"/>
        </w:rPr>
        <w:t>né</w:t>
      </w:r>
      <w:r w:rsidR="003805D1">
        <w:rPr>
          <w:color w:val="0B0C0C"/>
          <w:lang w:val="fr-FR"/>
        </w:rPr>
        <w:t xml:space="preserve">.  </w:t>
      </w:r>
      <w:r w:rsidR="005D0726" w:rsidRPr="00B92F76">
        <w:rPr>
          <w:color w:val="0B0C0C"/>
          <w:lang w:val="fr-FR"/>
        </w:rPr>
        <w:t xml:space="preserve">Les titulaires des enregistrements internationaux </w:t>
      </w:r>
      <w:r w:rsidR="005D0726" w:rsidRPr="00667E0F">
        <w:rPr>
          <w:color w:val="0B0C0C"/>
          <w:lang w:val="fr-FR"/>
        </w:rPr>
        <w:t xml:space="preserve">visés par la déclaration générale </w:t>
      </w:r>
      <w:r w:rsidRPr="00667E0F">
        <w:rPr>
          <w:color w:val="0B0C0C"/>
          <w:lang w:val="fr-FR"/>
        </w:rPr>
        <w:t>peuvent demander une déclaration individuelle d</w:t>
      </w:r>
      <w:r w:rsidR="00661F94" w:rsidRPr="00667E0F">
        <w:rPr>
          <w:color w:val="0B0C0C"/>
          <w:lang w:val="fr-FR"/>
        </w:rPr>
        <w:t>’</w:t>
      </w:r>
      <w:r w:rsidRPr="00667E0F">
        <w:rPr>
          <w:color w:val="0B0C0C"/>
          <w:lang w:val="fr-FR"/>
        </w:rPr>
        <w:t xml:space="preserve">octroi de la protection, qui confirmera les informations déjà fournies dans la déclaration générale, en envoyant un courrier électronique à </w:t>
      </w:r>
      <w:r w:rsidR="00F719B2" w:rsidRPr="00667E0F">
        <w:rPr>
          <w:lang w:val="fr-FR"/>
        </w:rPr>
        <w:t>l’</w:t>
      </w:r>
      <w:r w:rsidR="00F719B2" w:rsidRPr="00F719B2">
        <w:rPr>
          <w:rFonts w:eastAsia="MS Mincho" w:hint="eastAsia"/>
          <w:szCs w:val="22"/>
          <w:lang w:val="fr-FR" w:eastAsia="ja-JP"/>
        </w:rPr>
        <w:t>UK</w:t>
      </w:r>
      <w:r w:rsidR="00F719B2">
        <w:rPr>
          <w:rFonts w:eastAsia="MS Mincho"/>
          <w:szCs w:val="22"/>
          <w:lang w:val="fr-FR" w:eastAsia="ja-JP"/>
        </w:rPr>
        <w:t> </w:t>
      </w:r>
      <w:r w:rsidR="00F719B2" w:rsidRPr="00F719B2">
        <w:rPr>
          <w:rFonts w:eastAsia="MS Mincho" w:hint="eastAsia"/>
          <w:szCs w:val="22"/>
          <w:lang w:val="fr-FR" w:eastAsia="ja-JP"/>
        </w:rPr>
        <w:t>IPO</w:t>
      </w:r>
      <w:r w:rsidR="00F719B2" w:rsidRPr="00667E0F">
        <w:rPr>
          <w:lang w:val="fr-FR"/>
        </w:rPr>
        <w:t xml:space="preserve"> </w:t>
      </w:r>
      <w:r w:rsidRPr="00667E0F">
        <w:rPr>
          <w:color w:val="0B0C0C"/>
          <w:lang w:val="fr-FR"/>
        </w:rPr>
        <w:t>à l</w:t>
      </w:r>
      <w:r w:rsidR="00661F94" w:rsidRPr="00667E0F">
        <w:rPr>
          <w:color w:val="0B0C0C"/>
          <w:lang w:val="fr-FR"/>
        </w:rPr>
        <w:t>’</w:t>
      </w:r>
      <w:r w:rsidRPr="00667E0F">
        <w:rPr>
          <w:color w:val="0B0C0C"/>
          <w:lang w:val="fr-FR"/>
        </w:rPr>
        <w:t>adresse suivante</w:t>
      </w:r>
      <w:r w:rsidR="00661F94" w:rsidRPr="00667E0F">
        <w:rPr>
          <w:color w:val="0B0C0C"/>
          <w:lang w:val="fr-FR"/>
        </w:rPr>
        <w:t> :</w:t>
      </w:r>
      <w:r w:rsidRPr="00667E0F">
        <w:rPr>
          <w:color w:val="0B0C0C"/>
          <w:lang w:val="fr-FR"/>
        </w:rPr>
        <w:t xml:space="preserve"> </w:t>
      </w:r>
      <w:hyperlink r:id="rId10" w:history="1">
        <w:r w:rsidRPr="00667E0F">
          <w:rPr>
            <w:rStyle w:val="Hyperlink"/>
            <w:lang w:val="fr-FR"/>
          </w:rPr>
          <w:t>DesignsExamination@ipo.gov.uk</w:t>
        </w:r>
      </w:hyperlink>
      <w:r w:rsidRPr="00667E0F">
        <w:rPr>
          <w:color w:val="0B0C0C"/>
          <w:lang w:val="fr-FR"/>
        </w:rPr>
        <w:t>.</w:t>
      </w:r>
    </w:p>
    <w:p w14:paraId="0C805E9F" w14:textId="4D85A88F" w:rsidR="00E25414" w:rsidRPr="009F45FB" w:rsidRDefault="00BE29A9" w:rsidP="005D0726">
      <w:pPr>
        <w:pStyle w:val="ONUME"/>
        <w:numPr>
          <w:ilvl w:val="0"/>
          <w:numId w:val="0"/>
        </w:numPr>
        <w:spacing w:before="480" w:after="0"/>
        <w:ind w:left="5534"/>
        <w:rPr>
          <w:lang w:val="fr-FR"/>
        </w:rPr>
      </w:pPr>
      <w:r>
        <w:rPr>
          <w:lang w:val="fr-FR" w:eastAsia="ja-JP"/>
        </w:rPr>
        <w:t>9</w:t>
      </w:r>
      <w:r w:rsidR="001C32BE" w:rsidRPr="009F45FB">
        <w:rPr>
          <w:lang w:val="fr-FR" w:eastAsia="ja-JP"/>
        </w:rPr>
        <w:t> </w:t>
      </w:r>
      <w:r w:rsidR="00226626">
        <w:rPr>
          <w:lang w:val="fr-FR" w:eastAsia="ja-JP"/>
        </w:rPr>
        <w:t>octobre</w:t>
      </w:r>
      <w:r w:rsidR="006F18C8" w:rsidRPr="009F45FB">
        <w:rPr>
          <w:lang w:val="fr-FR" w:eastAsia="ja-JP"/>
        </w:rPr>
        <w:t> </w:t>
      </w:r>
      <w:r w:rsidR="00AD1B68" w:rsidRPr="009F45FB">
        <w:rPr>
          <w:lang w:val="fr-FR" w:eastAsia="ja-JP"/>
        </w:rPr>
        <w:t>20</w:t>
      </w:r>
      <w:r w:rsidR="00096EA4" w:rsidRPr="009F45FB">
        <w:rPr>
          <w:lang w:val="fr-FR" w:eastAsia="ja-JP"/>
        </w:rPr>
        <w:t>2</w:t>
      </w:r>
      <w:r w:rsidR="009F45FB" w:rsidRPr="009F45FB">
        <w:rPr>
          <w:lang w:val="fr-FR" w:eastAsia="ja-JP"/>
        </w:rPr>
        <w:t>4</w:t>
      </w:r>
    </w:p>
    <w:sectPr w:rsidR="00E25414" w:rsidRPr="009F45FB" w:rsidSect="00667E0F">
      <w:headerReference w:type="even" r:id="rId11"/>
      <w:headerReference w:type="default" r:id="rId12"/>
      <w:footnotePr>
        <w:numFmt w:val="chicago"/>
      </w:footnotePr>
      <w:type w:val="continuous"/>
      <w:pgSz w:w="11907" w:h="16840" w:code="9"/>
      <w:pgMar w:top="567" w:right="1134" w:bottom="720" w:left="1418" w:header="510" w:footer="48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1872" w14:textId="77777777" w:rsidR="009F45FB" w:rsidRDefault="009F45FB">
      <w:r>
        <w:separator/>
      </w:r>
    </w:p>
  </w:endnote>
  <w:endnote w:type="continuationSeparator" w:id="0">
    <w:p w14:paraId="606AD6EC" w14:textId="77777777" w:rsidR="009F45FB" w:rsidRDefault="009F45FB" w:rsidP="00A326CA">
      <w:r>
        <w:separator/>
      </w:r>
    </w:p>
    <w:p w14:paraId="7DC411D1" w14:textId="77777777" w:rsidR="009F45FB" w:rsidRPr="00A326CA" w:rsidRDefault="009F45FB" w:rsidP="00A326CA">
      <w:r>
        <w:rPr>
          <w:sz w:val="17"/>
        </w:rPr>
        <w:t>[Endnote continued from previous page]</w:t>
      </w:r>
    </w:p>
  </w:endnote>
  <w:endnote w:type="continuationNotice" w:id="1">
    <w:p w14:paraId="3E5CD526" w14:textId="77777777" w:rsidR="009F45FB" w:rsidRPr="00A326CA" w:rsidRDefault="009F45F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40126" w14:textId="77777777" w:rsidR="009F45FB" w:rsidRDefault="009F45FB">
      <w:r>
        <w:separator/>
      </w:r>
    </w:p>
  </w:footnote>
  <w:footnote w:type="continuationSeparator" w:id="0">
    <w:p w14:paraId="3CD950F9" w14:textId="77777777" w:rsidR="009F45FB" w:rsidRDefault="009F45FB" w:rsidP="00A326CA">
      <w:r>
        <w:separator/>
      </w:r>
    </w:p>
    <w:p w14:paraId="78042251" w14:textId="77777777" w:rsidR="009F45FB" w:rsidRPr="00A326CA" w:rsidRDefault="009F45FB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52E011AF" w14:textId="77777777" w:rsidR="009F45FB" w:rsidRPr="00A326CA" w:rsidRDefault="009F45F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14:paraId="54B10EEC" w14:textId="6D08390D" w:rsidR="009F45FB" w:rsidRPr="009F45FB" w:rsidRDefault="009F45FB" w:rsidP="009F45FB">
      <w:pPr>
        <w:pStyle w:val="FootnoteText"/>
        <w:tabs>
          <w:tab w:val="left" w:pos="720"/>
        </w:tabs>
        <w:rPr>
          <w:lang w:val="fr-FR"/>
        </w:rPr>
      </w:pPr>
      <w:r>
        <w:rPr>
          <w:rStyle w:val="FootnoteReference"/>
        </w:rPr>
        <w:footnoteRef/>
      </w:r>
      <w:r w:rsidRPr="009F45FB">
        <w:rPr>
          <w:lang w:val="fr-FR"/>
        </w:rPr>
        <w:tab/>
        <w:t xml:space="preserve">Voir la communication de </w:t>
      </w:r>
      <w:r w:rsidR="00F719B2" w:rsidRPr="00667E0F">
        <w:rPr>
          <w:lang w:val="fr-FR"/>
        </w:rPr>
        <w:t>l’</w:t>
      </w:r>
      <w:r w:rsidR="00F719B2" w:rsidRPr="00F719B2">
        <w:rPr>
          <w:rFonts w:eastAsia="MS Mincho" w:hint="eastAsia"/>
          <w:szCs w:val="22"/>
          <w:lang w:val="fr-FR" w:eastAsia="ja-JP"/>
        </w:rPr>
        <w:t>UK</w:t>
      </w:r>
      <w:r w:rsidR="00F719B2">
        <w:rPr>
          <w:rFonts w:eastAsia="MS Mincho"/>
          <w:szCs w:val="22"/>
          <w:lang w:val="fr-FR" w:eastAsia="ja-JP"/>
        </w:rPr>
        <w:t> </w:t>
      </w:r>
      <w:r w:rsidR="00F719B2" w:rsidRPr="00F719B2">
        <w:rPr>
          <w:rFonts w:eastAsia="MS Mincho" w:hint="eastAsia"/>
          <w:szCs w:val="22"/>
          <w:lang w:val="fr-FR" w:eastAsia="ja-JP"/>
        </w:rPr>
        <w:t>IPO</w:t>
      </w:r>
      <w:r w:rsidR="00F719B2" w:rsidRPr="00667E0F">
        <w:rPr>
          <w:lang w:val="fr-FR"/>
        </w:rPr>
        <w:t xml:space="preserve"> </w:t>
      </w:r>
      <w:r w:rsidRPr="009F45FB">
        <w:rPr>
          <w:lang w:val="fr-FR"/>
        </w:rPr>
        <w:t>diffusée le 29</w:t>
      </w:r>
      <w:r w:rsidR="00B92F76">
        <w:rPr>
          <w:lang w:val="fr-FR"/>
        </w:rPr>
        <w:t> </w:t>
      </w:r>
      <w:r w:rsidR="00813DEE" w:rsidRPr="009F45FB">
        <w:rPr>
          <w:lang w:val="fr-FR"/>
        </w:rPr>
        <w:t>août</w:t>
      </w:r>
      <w:r w:rsidR="00813DEE">
        <w:rPr>
          <w:lang w:val="fr-FR"/>
        </w:rPr>
        <w:t> </w:t>
      </w:r>
      <w:r w:rsidR="00813DEE" w:rsidRPr="009F45FB">
        <w:rPr>
          <w:lang w:val="fr-FR"/>
        </w:rPr>
        <w:t>20</w:t>
      </w:r>
      <w:r w:rsidRPr="009F45FB">
        <w:rPr>
          <w:lang w:val="fr-FR"/>
        </w:rPr>
        <w:t>24, à l</w:t>
      </w:r>
      <w:r w:rsidR="00813DEE">
        <w:rPr>
          <w:lang w:val="fr-FR"/>
        </w:rPr>
        <w:t>’</w:t>
      </w:r>
      <w:r w:rsidRPr="009F45FB">
        <w:rPr>
          <w:lang w:val="fr-FR"/>
        </w:rPr>
        <w:t>adresse suivante</w:t>
      </w:r>
      <w:r w:rsidR="00813DEE">
        <w:rPr>
          <w:lang w:val="fr-FR"/>
        </w:rPr>
        <w:t> :</w:t>
      </w:r>
      <w:r w:rsidRPr="009F45FB">
        <w:rPr>
          <w:lang w:val="fr-FR"/>
        </w:rPr>
        <w:t xml:space="preserve"> </w:t>
      </w:r>
      <w:hyperlink r:id="rId1" w:history="1">
        <w:r w:rsidR="00B92F76" w:rsidRPr="008A3125">
          <w:rPr>
            <w:rStyle w:val="Hyperlink"/>
            <w:lang w:val="fr-FR"/>
          </w:rPr>
          <w:t>https://www.gov.uk/government/news/ipo</w:t>
        </w:r>
        <w:r w:rsidR="00813DEE">
          <w:rPr>
            <w:rStyle w:val="Hyperlink"/>
            <w:lang w:val="fr-FR"/>
          </w:rPr>
          <w:t>-</w:t>
        </w:r>
        <w:r w:rsidR="00B92F76" w:rsidRPr="008A3125">
          <w:rPr>
            <w:rStyle w:val="Hyperlink"/>
            <w:lang w:val="fr-FR"/>
          </w:rPr>
          <w:t>introduces</w:t>
        </w:r>
        <w:r w:rsidR="00813DEE">
          <w:rPr>
            <w:rStyle w:val="Hyperlink"/>
            <w:lang w:val="fr-FR"/>
          </w:rPr>
          <w:t>-</w:t>
        </w:r>
        <w:r w:rsidR="00B92F76" w:rsidRPr="008A3125">
          <w:rPr>
            <w:rStyle w:val="Hyperlink"/>
            <w:lang w:val="fr-FR"/>
          </w:rPr>
          <w:t>statements</w:t>
        </w:r>
        <w:r w:rsidR="00813DEE">
          <w:rPr>
            <w:rStyle w:val="Hyperlink"/>
            <w:lang w:val="fr-FR"/>
          </w:rPr>
          <w:t>-</w:t>
        </w:r>
        <w:r w:rsidR="00B92F76" w:rsidRPr="008A3125">
          <w:rPr>
            <w:rStyle w:val="Hyperlink"/>
            <w:lang w:val="fr-FR"/>
          </w:rPr>
          <w:t>of</w:t>
        </w:r>
        <w:r w:rsidR="00813DEE">
          <w:rPr>
            <w:rStyle w:val="Hyperlink"/>
            <w:lang w:val="fr-FR"/>
          </w:rPr>
          <w:t>-</w:t>
        </w:r>
        <w:r w:rsidR="00B92F76" w:rsidRPr="008A3125">
          <w:rPr>
            <w:rStyle w:val="Hyperlink"/>
            <w:lang w:val="fr-FR"/>
          </w:rPr>
          <w:t>grant</w:t>
        </w:r>
        <w:r w:rsidR="00813DEE">
          <w:rPr>
            <w:rStyle w:val="Hyperlink"/>
            <w:lang w:val="fr-FR"/>
          </w:rPr>
          <w:t>-</w:t>
        </w:r>
        <w:r w:rsidR="00B92F76" w:rsidRPr="008A3125">
          <w:rPr>
            <w:rStyle w:val="Hyperlink"/>
            <w:lang w:val="fr-FR"/>
          </w:rPr>
          <w:t>for</w:t>
        </w:r>
        <w:r w:rsidR="00813DEE">
          <w:rPr>
            <w:rStyle w:val="Hyperlink"/>
            <w:lang w:val="fr-FR"/>
          </w:rPr>
          <w:t>-</w:t>
        </w:r>
        <w:r w:rsidR="00B92F76" w:rsidRPr="008A3125">
          <w:rPr>
            <w:rStyle w:val="Hyperlink"/>
            <w:lang w:val="fr-FR"/>
          </w:rPr>
          <w:t>international</w:t>
        </w:r>
        <w:r w:rsidR="00813DEE">
          <w:rPr>
            <w:rStyle w:val="Hyperlink"/>
            <w:lang w:val="fr-FR"/>
          </w:rPr>
          <w:t>-</w:t>
        </w:r>
        <w:r w:rsidR="00B92F76" w:rsidRPr="008A3125">
          <w:rPr>
            <w:rStyle w:val="Hyperlink"/>
            <w:lang w:val="fr-FR"/>
          </w:rPr>
          <w:t>designs</w:t>
        </w:r>
      </w:hyperlink>
      <w:r w:rsidRPr="009F45FB">
        <w:rPr>
          <w:rStyle w:val="Hyperlink"/>
          <w:u w:val="none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D1A07" w14:textId="1997AB5D" w:rsidR="00096EA4" w:rsidRDefault="00096EA4" w:rsidP="00372F49">
    <w:pPr>
      <w:pStyle w:val="Header"/>
      <w:spacing w:after="480"/>
      <w:jc w:val="right"/>
      <w:rPr>
        <w:lang w:val="fr-CH"/>
      </w:rPr>
    </w:pPr>
    <w:r>
      <w:rPr>
        <w:lang w:val="fr-CH"/>
      </w:rPr>
      <w:t>page</w:t>
    </w:r>
    <w:r w:rsidR="009F45FB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67CF" w14:textId="471BAC2F" w:rsidR="009319A3" w:rsidRDefault="009F45FB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 wp14:anchorId="44D31014" wp14:editId="6271E99A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6159913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4A8A7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3101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" o:allowincell="f" filled="f" stroked="f">
              <v:textbox>
                <w:txbxContent>
                  <w:p w14:paraId="5B04A8A7" w14:textId="77777777"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 wp14:anchorId="701C9F36" wp14:editId="135CBEDE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97717566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01D0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C9F36"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" o:allowincell="f" filled="f" stroked="f">
              <v:textbox>
                <w:txbxContent>
                  <w:p w14:paraId="5A4201D0" w14:textId="77777777"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 wp14:anchorId="1514D38E" wp14:editId="7213EC98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990994870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B163B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4D38E"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" o:allowincell="f" filled="f" stroked="f">
              <v:textbox>
                <w:txbxContent>
                  <w:p w14:paraId="5D9B163B" w14:textId="77777777"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ED519C" w14:textId="38AFE46F"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B92F76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60863F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24323DD1"/>
    <w:multiLevelType w:val="hybridMultilevel"/>
    <w:tmpl w:val="5D5CE6EC"/>
    <w:lvl w:ilvl="0" w:tplc="42DC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323628A"/>
    <w:multiLevelType w:val="hybridMultilevel"/>
    <w:tmpl w:val="5712E738"/>
    <w:lvl w:ilvl="0" w:tplc="42DC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15293">
    <w:abstractNumId w:val="3"/>
  </w:num>
  <w:num w:numId="2" w16cid:durableId="1221819886">
    <w:abstractNumId w:val="8"/>
  </w:num>
  <w:num w:numId="3" w16cid:durableId="1914044968">
    <w:abstractNumId w:val="0"/>
  </w:num>
  <w:num w:numId="4" w16cid:durableId="1907497598">
    <w:abstractNumId w:val="10"/>
  </w:num>
  <w:num w:numId="5" w16cid:durableId="210965243">
    <w:abstractNumId w:val="1"/>
  </w:num>
  <w:num w:numId="6" w16cid:durableId="1599633194">
    <w:abstractNumId w:val="4"/>
  </w:num>
  <w:num w:numId="7" w16cid:durableId="1617103415">
    <w:abstractNumId w:val="11"/>
  </w:num>
  <w:num w:numId="8" w16cid:durableId="185215172">
    <w:abstractNumId w:val="2"/>
  </w:num>
  <w:num w:numId="9" w16cid:durableId="475756626">
    <w:abstractNumId w:val="9"/>
  </w:num>
  <w:num w:numId="10" w16cid:durableId="910845752">
    <w:abstractNumId w:val="6"/>
  </w:num>
  <w:num w:numId="11" w16cid:durableId="1947078871">
    <w:abstractNumId w:val="5"/>
  </w:num>
  <w:num w:numId="12" w16cid:durableId="447893263">
    <w:abstractNumId w:val="12"/>
  </w:num>
  <w:num w:numId="13" w16cid:durableId="1411854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9F45FB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6626"/>
    <w:rsid w:val="00227CED"/>
    <w:rsid w:val="00231577"/>
    <w:rsid w:val="002377CB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E7417"/>
    <w:rsid w:val="002F3BA5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2F49"/>
    <w:rsid w:val="00373C38"/>
    <w:rsid w:val="003805D1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1848"/>
    <w:rsid w:val="004921F7"/>
    <w:rsid w:val="00494CC4"/>
    <w:rsid w:val="004B0C77"/>
    <w:rsid w:val="004B2BB3"/>
    <w:rsid w:val="004B69B8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0726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46D90"/>
    <w:rsid w:val="0065014C"/>
    <w:rsid w:val="0065171A"/>
    <w:rsid w:val="00651A2F"/>
    <w:rsid w:val="00661F94"/>
    <w:rsid w:val="00663AFE"/>
    <w:rsid w:val="00667E0F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65C8E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3DEE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655E3"/>
    <w:rsid w:val="00872100"/>
    <w:rsid w:val="00880F71"/>
    <w:rsid w:val="008A2BA5"/>
    <w:rsid w:val="008A7155"/>
    <w:rsid w:val="008A7F15"/>
    <w:rsid w:val="008B425E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832F2"/>
    <w:rsid w:val="00987802"/>
    <w:rsid w:val="0099002A"/>
    <w:rsid w:val="0099533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5FB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AF4692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2F76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29A9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4EED"/>
    <w:rsid w:val="00CA5A67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42D0"/>
    <w:rsid w:val="00E450AC"/>
    <w:rsid w:val="00E46284"/>
    <w:rsid w:val="00E5062D"/>
    <w:rsid w:val="00E63928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578C7"/>
    <w:rsid w:val="00F6061D"/>
    <w:rsid w:val="00F64645"/>
    <w:rsid w:val="00F7095D"/>
    <w:rsid w:val="00F719B2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C312EB2"/>
  <w15:chartTrackingRefBased/>
  <w15:docId w15:val="{A673DBE7-5F54-4972-8EE1-EE0895A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uiPriority w:val="99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9F45F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9F45FB"/>
    <w:pPr>
      <w:ind w:left="720"/>
      <w:contextualSpacing/>
    </w:pPr>
    <w:rPr>
      <w:rFonts w:eastAsia="Times New Roman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2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signsExamination@ipo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news/ipo-introduces-statements-of-grant-for-international-desig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03AB-90A6-4DDA-999C-57B25F670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76A2E-EF62-4D39-AA03-B09E50EE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2170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 GUEN Haude</dc:creator>
  <cp:keywords>FOR OFFICIAL USE ONLY</cp:keywords>
  <cp:lastModifiedBy>DUMITRU Elena</cp:lastModifiedBy>
  <cp:revision>4</cp:revision>
  <cp:lastPrinted>2013-12-12T12:33:00Z</cp:lastPrinted>
  <dcterms:created xsi:type="dcterms:W3CDTF">2024-10-02T09:55:00Z</dcterms:created>
  <dcterms:modified xsi:type="dcterms:W3CDTF">2024-10-09T09:17:00Z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2024-10-01T14:25:42Z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29f5c1a3-265c-451a-8434-c137720c917a</vt:lpwstr>
  </property>
  <property fmtid="{D5CDD505-2E9C-101B-9397-08002B2CF9AE}" pid="13" name="MSIP_Label_bfc084f7-b690-4c43-8ee6-d475b6d3461d_ContentBits">
    <vt:lpwstr>2</vt:lpwstr>
  </property>
</Properties>
</file>