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3090" w14:textId="684D26D3" w:rsidR="00774130" w:rsidRPr="0099495D" w:rsidRDefault="0015168D" w:rsidP="005E647E">
      <w:pPr>
        <w:spacing w:after="240"/>
        <w:ind w:left="4500"/>
        <w:rPr>
          <w:lang w:val="es-419"/>
        </w:rPr>
      </w:pPr>
      <w:r w:rsidRPr="0099495D">
        <w:rPr>
          <w:noProof/>
          <w:szCs w:val="22"/>
          <w:lang w:val="es-419" w:eastAsia="es-ES"/>
        </w:rPr>
        <w:drawing>
          <wp:inline distT="0" distB="0" distL="0" distR="0" wp14:anchorId="72D74A76" wp14:editId="48507A97">
            <wp:extent cx="2060575" cy="1331912"/>
            <wp:effectExtent l="0" t="0" r="0" b="1905"/>
            <wp:docPr id="7" name="Picture 3" descr="Las líneas curvas ascendentes del logotipo de la Organización Mundial de la Propiedad Intelectual evocan el progreso humano impulsado por la innovación y la creatividad." title="WIP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as líneas curvas ascendentes del logotipo de la Organización Mundial de la Propiedad Intelectual evocan el progreso humano impulsado por la innovación y la creatividad." title="WIPO Logo"/>
                    <pic:cNvPicPr/>
                  </pic:nvPicPr>
                  <pic:blipFill rotWithShape="1">
                    <a:blip r:embed="rId8"/>
                    <a:srcRect r="31664" b="5603"/>
                    <a:stretch/>
                  </pic:blipFill>
                  <pic:spPr bwMode="auto">
                    <a:xfrm>
                      <a:off x="0" y="0"/>
                      <a:ext cx="2060575" cy="1331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85010" w14:textId="0D409EA7" w:rsidR="00731314" w:rsidRDefault="00731314" w:rsidP="00731314">
      <w:pPr>
        <w:spacing w:after="1560"/>
        <w:jc w:val="right"/>
        <w:rPr>
          <w:lang w:val="es-ES_tradnl"/>
        </w:rPr>
      </w:pPr>
      <w:bookmarkStart w:id="0" w:name="Langue"/>
      <w:r w:rsidRPr="002621F2">
        <w:rPr>
          <w:rFonts w:ascii="Arial Black" w:hAnsi="Arial Black"/>
          <w:caps/>
          <w:sz w:val="15"/>
          <w:lang w:val="es-ES_tradnl"/>
        </w:rPr>
        <w:t xml:space="preserve">AVISO </w:t>
      </w:r>
      <w:r w:rsidRPr="002621F2">
        <w:rPr>
          <w:rFonts w:ascii="Arial Black" w:hAnsi="Arial Black"/>
          <w:sz w:val="15"/>
          <w:lang w:val="es-ES_tradnl"/>
        </w:rPr>
        <w:t>N.</w:t>
      </w:r>
      <w:r w:rsidR="002748B7">
        <w:rPr>
          <w:rFonts w:ascii="Arial Black" w:hAnsi="Arial Black"/>
          <w:sz w:val="15"/>
          <w:vertAlign w:val="superscript"/>
          <w:lang w:val="es-ES_tradnl"/>
        </w:rPr>
        <w:t>O</w:t>
      </w:r>
      <w:r w:rsidRPr="002621F2">
        <w:rPr>
          <w:rFonts w:ascii="Arial Black" w:hAnsi="Arial Black"/>
          <w:caps/>
          <w:sz w:val="15"/>
          <w:lang w:val="es-ES_tradnl"/>
        </w:rPr>
        <w:t> </w:t>
      </w:r>
      <w:r w:rsidR="00225E4E">
        <w:rPr>
          <w:rFonts w:ascii="Arial Black" w:hAnsi="Arial Black"/>
          <w:caps/>
          <w:sz w:val="15"/>
          <w:lang w:val="es-ES_tradnl"/>
        </w:rPr>
        <w:t>2</w:t>
      </w:r>
      <w:r w:rsidRPr="002621F2">
        <w:rPr>
          <w:rFonts w:ascii="Arial Black" w:hAnsi="Arial Black"/>
          <w:caps/>
          <w:sz w:val="15"/>
          <w:lang w:val="es-ES_tradnl"/>
        </w:rPr>
        <w:t>/202</w:t>
      </w:r>
      <w:bookmarkEnd w:id="0"/>
      <w:r w:rsidR="00484A2A">
        <w:rPr>
          <w:rFonts w:ascii="Arial Black" w:hAnsi="Arial Black"/>
          <w:caps/>
          <w:sz w:val="15"/>
          <w:lang w:val="es-ES_tradnl"/>
        </w:rPr>
        <w:t>4</w:t>
      </w:r>
    </w:p>
    <w:p w14:paraId="717D20A9" w14:textId="210D68C0" w:rsidR="00731314" w:rsidRPr="002621F2" w:rsidRDefault="00731314" w:rsidP="00731314">
      <w:pPr>
        <w:pStyle w:val="Heading1"/>
        <w:rPr>
          <w:lang w:val="es-ES_tradnl"/>
        </w:rPr>
      </w:pPr>
      <w:r w:rsidRPr="002621F2">
        <w:rPr>
          <w:lang w:val="es-ES_tradnl"/>
        </w:rPr>
        <w:t>Acta de Ginebra del Arreglo de Lisboa relativo a las Denominaciones de Origen y las Indicaciones Geográficas</w:t>
      </w:r>
    </w:p>
    <w:p w14:paraId="685ADD1E" w14:textId="76F93DFC" w:rsidR="00731314" w:rsidRPr="003170DB" w:rsidRDefault="00731314" w:rsidP="00731314">
      <w:pPr>
        <w:pStyle w:val="Heading2"/>
      </w:pPr>
      <w:r w:rsidRPr="003170D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FCBECD0" wp14:editId="3D48C6A6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743D2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" o:allowincell="f" strokeweight=".5pt">
                <w10:wrap anchorx="margin" anchory="margin"/>
                <w10:anchorlock/>
              </v:line>
            </w:pict>
          </mc:Fallback>
        </mc:AlternateContent>
      </w:r>
      <w:r w:rsidRPr="003170DB">
        <w:t xml:space="preserve">Adhesión de </w:t>
      </w:r>
      <w:r w:rsidR="00484A2A">
        <w:t>Djibouti</w:t>
      </w:r>
    </w:p>
    <w:p w14:paraId="00E1AD21" w14:textId="5D7A3672" w:rsidR="00731314" w:rsidRPr="002621F2" w:rsidRDefault="00731314" w:rsidP="00731314">
      <w:pPr>
        <w:pStyle w:val="ONUMFS"/>
        <w:numPr>
          <w:ilvl w:val="0"/>
          <w:numId w:val="5"/>
        </w:numPr>
        <w:tabs>
          <w:tab w:val="clear" w:pos="567"/>
          <w:tab w:val="num" w:pos="0"/>
        </w:tabs>
        <w:rPr>
          <w:lang w:val="es-ES_tradnl"/>
        </w:rPr>
      </w:pPr>
      <w:r w:rsidRPr="002621F2">
        <w:rPr>
          <w:lang w:val="es-ES_tradnl"/>
        </w:rPr>
        <w:t xml:space="preserve">El </w:t>
      </w:r>
      <w:r w:rsidR="00484A2A">
        <w:rPr>
          <w:lang w:val="es-ES_tradnl"/>
        </w:rPr>
        <w:t>13</w:t>
      </w:r>
      <w:r w:rsidRPr="002621F2">
        <w:rPr>
          <w:lang w:val="es-ES_tradnl"/>
        </w:rPr>
        <w:t xml:space="preserve"> de </w:t>
      </w:r>
      <w:r w:rsidR="00484A2A">
        <w:rPr>
          <w:lang w:val="es-ES_tradnl"/>
        </w:rPr>
        <w:t>febrero</w:t>
      </w:r>
      <w:r w:rsidRPr="002621F2">
        <w:rPr>
          <w:lang w:val="es-ES_tradnl"/>
        </w:rPr>
        <w:t xml:space="preserve"> de 202</w:t>
      </w:r>
      <w:r w:rsidR="00484A2A">
        <w:rPr>
          <w:lang w:val="es-ES_tradnl"/>
        </w:rPr>
        <w:t>4</w:t>
      </w:r>
      <w:r w:rsidRPr="002621F2">
        <w:rPr>
          <w:lang w:val="es-ES_tradnl"/>
        </w:rPr>
        <w:t>, el Gobierno de</w:t>
      </w:r>
      <w:r w:rsidR="00484A2A">
        <w:rPr>
          <w:lang w:val="es-ES_tradnl"/>
        </w:rPr>
        <w:t xml:space="preserve"> Djibouti</w:t>
      </w:r>
      <w:r w:rsidRPr="002621F2">
        <w:rPr>
          <w:lang w:val="es-ES_tradnl"/>
        </w:rPr>
        <w:t xml:space="preserve"> depositó en poder del </w:t>
      </w:r>
      <w:r w:rsidR="00F15FCB">
        <w:rPr>
          <w:lang w:val="es-ES_tradnl"/>
        </w:rPr>
        <w:t>D</w:t>
      </w:r>
      <w:r w:rsidRPr="002621F2">
        <w:rPr>
          <w:lang w:val="es-ES_tradnl"/>
        </w:rPr>
        <w:t xml:space="preserve">irector </w:t>
      </w:r>
      <w:r w:rsidR="00F15FCB">
        <w:rPr>
          <w:lang w:val="es-ES_tradnl"/>
        </w:rPr>
        <w:t>G</w:t>
      </w:r>
      <w:r w:rsidRPr="002621F2">
        <w:rPr>
          <w:lang w:val="es-ES_tradnl"/>
        </w:rPr>
        <w:t>eneral de la Organización Mundial de la Propiedad Intelectual (OMPI) su instrumento de adhesión al</w:t>
      </w:r>
      <w:r w:rsidR="008727D5">
        <w:rPr>
          <w:lang w:val="es-ES_tradnl"/>
        </w:rPr>
        <w:t xml:space="preserve"> </w:t>
      </w:r>
      <w:r w:rsidRPr="002621F2">
        <w:rPr>
          <w:lang w:val="es-ES_tradnl"/>
        </w:rPr>
        <w:t>Acta de Ginebra del Arreglo de Lisboa relativo a las Denominaciones de Origen y a las Indicaciones Geográficas</w:t>
      </w:r>
      <w:r w:rsidR="00C90BFE">
        <w:rPr>
          <w:lang w:val="es-ES_tradnl"/>
        </w:rPr>
        <w:t xml:space="preserve"> (el “Acta de Ginebra”)</w:t>
      </w:r>
      <w:r w:rsidRPr="002621F2">
        <w:rPr>
          <w:lang w:val="es-ES_tradnl"/>
        </w:rPr>
        <w:t>, adoptada en Ginebra el 20 de mayo de 2015.</w:t>
      </w:r>
    </w:p>
    <w:p w14:paraId="6CBB8DAC" w14:textId="77777777" w:rsidR="00731314" w:rsidRPr="002621F2" w:rsidRDefault="00731314" w:rsidP="00731314">
      <w:pPr>
        <w:pStyle w:val="ONUMFS"/>
        <w:numPr>
          <w:ilvl w:val="0"/>
          <w:numId w:val="5"/>
        </w:numPr>
        <w:rPr>
          <w:lang w:val="es-ES_tradnl"/>
        </w:rPr>
      </w:pPr>
      <w:r w:rsidRPr="002621F2">
        <w:rPr>
          <w:lang w:val="es-ES_tradnl"/>
        </w:rPr>
        <w:t>Dicho instrumento de adhesión se acompañó de las siguientes declaraciones:</w:t>
      </w:r>
    </w:p>
    <w:p w14:paraId="7236F2A6" w14:textId="10A1932A" w:rsidR="00731314" w:rsidRPr="002621F2" w:rsidRDefault="00731314" w:rsidP="00731314">
      <w:pPr>
        <w:pStyle w:val="ONUMFS"/>
        <w:numPr>
          <w:ilvl w:val="0"/>
          <w:numId w:val="15"/>
        </w:numPr>
        <w:ind w:left="540" w:firstLine="0"/>
        <w:rPr>
          <w:lang w:val="es-ES_tradnl"/>
        </w:rPr>
      </w:pPr>
      <w:r w:rsidRPr="002621F2">
        <w:rPr>
          <w:lang w:val="es-ES_tradnl"/>
        </w:rPr>
        <w:t xml:space="preserve">la declaración mencionada en el Artículo 7.4) del Acta de Ginebra, según la cual </w:t>
      </w:r>
      <w:r w:rsidR="00484A2A">
        <w:rPr>
          <w:lang w:val="es-ES_tradnl"/>
        </w:rPr>
        <w:t xml:space="preserve">Djibouti </w:t>
      </w:r>
      <w:r w:rsidRPr="002621F2">
        <w:rPr>
          <w:lang w:val="es-ES_tradnl"/>
        </w:rPr>
        <w:t xml:space="preserve">declara que la protección resultante del registro internacional de cada denominación de origen e indicación geográfica solo se </w:t>
      </w:r>
      <w:r w:rsidR="002748B7">
        <w:rPr>
          <w:lang w:val="es-ES_tradnl"/>
        </w:rPr>
        <w:t>aplicará</w:t>
      </w:r>
      <w:r w:rsidRPr="002621F2">
        <w:rPr>
          <w:lang w:val="es-ES_tradnl"/>
        </w:rPr>
        <w:t xml:space="preserve"> a</w:t>
      </w:r>
      <w:r w:rsidR="005179DD">
        <w:rPr>
          <w:lang w:val="es-ES_tradnl"/>
        </w:rPr>
        <w:t xml:space="preserve"> </w:t>
      </w:r>
      <w:r w:rsidR="00484A2A">
        <w:rPr>
          <w:lang w:val="es-ES_tradnl"/>
        </w:rPr>
        <w:t>Djibouti</w:t>
      </w:r>
      <w:r w:rsidRPr="002621F2">
        <w:rPr>
          <w:lang w:val="es-ES_tradnl"/>
        </w:rPr>
        <w:t xml:space="preserve"> si se </w:t>
      </w:r>
      <w:r w:rsidR="002748B7">
        <w:rPr>
          <w:lang w:val="es-ES_tradnl"/>
        </w:rPr>
        <w:t>ha pagado</w:t>
      </w:r>
      <w:r w:rsidRPr="002621F2">
        <w:rPr>
          <w:lang w:val="es-ES_tradnl"/>
        </w:rPr>
        <w:t xml:space="preserve"> una tasa para cubrir el costo del examen </w:t>
      </w:r>
      <w:r w:rsidR="002748B7">
        <w:rPr>
          <w:lang w:val="es-ES_tradnl"/>
        </w:rPr>
        <w:t>sustantivo</w:t>
      </w:r>
      <w:r w:rsidRPr="002621F2">
        <w:rPr>
          <w:lang w:val="es-ES_tradnl"/>
        </w:rPr>
        <w:t xml:space="preserve"> del registro internacional;</w:t>
      </w:r>
      <w:r w:rsidR="00375E17">
        <w:rPr>
          <w:lang w:val="es-ES_tradnl"/>
        </w:rPr>
        <w:t xml:space="preserve"> </w:t>
      </w:r>
      <w:r w:rsidR="00F94270">
        <w:rPr>
          <w:lang w:val="es-ES_tradnl"/>
        </w:rPr>
        <w:t xml:space="preserve"> y</w:t>
      </w:r>
    </w:p>
    <w:p w14:paraId="4107B6BA" w14:textId="143B645C" w:rsidR="00731314" w:rsidRPr="002621F2" w:rsidRDefault="00731314" w:rsidP="00731314">
      <w:pPr>
        <w:pStyle w:val="ONUMFS"/>
        <w:numPr>
          <w:ilvl w:val="0"/>
          <w:numId w:val="15"/>
        </w:numPr>
        <w:ind w:left="540" w:firstLine="0"/>
        <w:rPr>
          <w:lang w:val="es-ES_tradnl"/>
        </w:rPr>
      </w:pPr>
      <w:r w:rsidRPr="002621F2">
        <w:rPr>
          <w:lang w:val="es-ES_tradnl"/>
        </w:rPr>
        <w:t xml:space="preserve">la declaración mencionada en el Artículo 29.4) del Acta de Ginebra, según la cual </w:t>
      </w:r>
      <w:r w:rsidR="00484A2A">
        <w:rPr>
          <w:lang w:val="es-ES_tradnl"/>
        </w:rPr>
        <w:t>Djibouti</w:t>
      </w:r>
      <w:r w:rsidRPr="002621F2">
        <w:rPr>
          <w:lang w:val="es-ES_tradnl"/>
        </w:rPr>
        <w:t xml:space="preserve"> declara que </w:t>
      </w:r>
      <w:r w:rsidRPr="002621F2">
        <w:rPr>
          <w:shd w:val="clear" w:color="auto" w:fill="FAFAFA"/>
          <w:lang w:val="es-ES_tradnl"/>
        </w:rPr>
        <w:t xml:space="preserve">prorrogará por un año el plazo </w:t>
      </w:r>
      <w:r w:rsidR="002748B7">
        <w:rPr>
          <w:shd w:val="clear" w:color="auto" w:fill="FAFAFA"/>
          <w:lang w:val="es-ES_tradnl"/>
        </w:rPr>
        <w:t>previsto</w:t>
      </w:r>
      <w:r w:rsidRPr="002621F2">
        <w:rPr>
          <w:shd w:val="clear" w:color="auto" w:fill="FAFAFA"/>
          <w:lang w:val="es-ES_tradnl"/>
        </w:rPr>
        <w:t xml:space="preserve"> en el Artículo 15.1), y</w:t>
      </w:r>
      <w:r w:rsidR="002748B7">
        <w:rPr>
          <w:shd w:val="clear" w:color="auto" w:fill="FAFAFA"/>
          <w:lang w:val="es-ES_tradnl"/>
        </w:rPr>
        <w:t xml:space="preserve"> de</w:t>
      </w:r>
      <w:r w:rsidRPr="002621F2">
        <w:rPr>
          <w:shd w:val="clear" w:color="auto" w:fill="FAFAFA"/>
          <w:lang w:val="es-ES_tradnl"/>
        </w:rPr>
        <w:t xml:space="preserve"> los plazos </w:t>
      </w:r>
      <w:r w:rsidR="002748B7">
        <w:rPr>
          <w:shd w:val="clear" w:color="auto" w:fill="FAFAFA"/>
          <w:lang w:val="es-ES_tradnl"/>
        </w:rPr>
        <w:t>previstos</w:t>
      </w:r>
      <w:r w:rsidRPr="002621F2">
        <w:rPr>
          <w:shd w:val="clear" w:color="auto" w:fill="FAFAFA"/>
          <w:lang w:val="es-ES_tradnl"/>
        </w:rPr>
        <w:t xml:space="preserve"> en el Artículo 17</w:t>
      </w:r>
      <w:r w:rsidRPr="002621F2">
        <w:rPr>
          <w:lang w:val="es-ES_tradnl"/>
        </w:rPr>
        <w:t>, con</w:t>
      </w:r>
      <w:r w:rsidR="002748B7">
        <w:rPr>
          <w:lang w:val="es-ES_tradnl"/>
        </w:rPr>
        <w:t xml:space="preserve"> arreglo a</w:t>
      </w:r>
      <w:r w:rsidRPr="002621F2">
        <w:rPr>
          <w:lang w:val="es-ES_tradnl"/>
        </w:rPr>
        <w:t xml:space="preserve"> los procedimientos </w:t>
      </w:r>
      <w:r w:rsidR="002748B7">
        <w:rPr>
          <w:lang w:val="es-ES_tradnl"/>
        </w:rPr>
        <w:t>contemplados</w:t>
      </w:r>
      <w:r w:rsidRPr="002621F2">
        <w:rPr>
          <w:lang w:val="es-ES_tradnl"/>
        </w:rPr>
        <w:t xml:space="preserve"> en el Reglamento Común del Arreglo de Lisboa relativo a la Protección de las Denominaciones de Origen y su Registro Internacional y el Acta de Ginebra del Arreglo de</w:t>
      </w:r>
      <w:r w:rsidR="008727D5">
        <w:rPr>
          <w:lang w:val="es-ES_tradnl"/>
        </w:rPr>
        <w:t> </w:t>
      </w:r>
      <w:r w:rsidRPr="002621F2">
        <w:rPr>
          <w:lang w:val="es-ES_tradnl"/>
        </w:rPr>
        <w:t>Lisboa relativo a las Denominaciones de Origen y las Indicaciones Geográficas</w:t>
      </w:r>
      <w:r w:rsidR="00C90BFE">
        <w:rPr>
          <w:lang w:val="es-ES_tradnl"/>
        </w:rPr>
        <w:t xml:space="preserve"> (el “Reglamento Común”)</w:t>
      </w:r>
      <w:r w:rsidR="00F15FCB">
        <w:rPr>
          <w:lang w:val="es-ES_tradnl"/>
        </w:rPr>
        <w:t>.</w:t>
      </w:r>
    </w:p>
    <w:p w14:paraId="0DD833AF" w14:textId="24189634" w:rsidR="00731314" w:rsidRPr="002621F2" w:rsidRDefault="00731314" w:rsidP="00731314">
      <w:pPr>
        <w:pStyle w:val="ONUMFS"/>
        <w:numPr>
          <w:ilvl w:val="0"/>
          <w:numId w:val="5"/>
        </w:numPr>
        <w:tabs>
          <w:tab w:val="clear" w:pos="567"/>
        </w:tabs>
        <w:rPr>
          <w:lang w:val="es-ES_tradnl"/>
        </w:rPr>
      </w:pPr>
      <w:r w:rsidRPr="002621F2">
        <w:rPr>
          <w:lang w:val="es-ES_tradnl"/>
        </w:rPr>
        <w:t xml:space="preserve">El importe de la tasa individual, indicado por </w:t>
      </w:r>
      <w:r w:rsidR="00484A2A">
        <w:rPr>
          <w:lang w:val="es-ES_tradnl"/>
        </w:rPr>
        <w:t>Djibouti</w:t>
      </w:r>
      <w:r w:rsidRPr="002621F2">
        <w:rPr>
          <w:lang w:val="es-ES_tradnl"/>
        </w:rPr>
        <w:t xml:space="preserve"> en virtud del Artículo 7.4)a) del Acta de</w:t>
      </w:r>
      <w:r w:rsidR="008727D5">
        <w:rPr>
          <w:lang w:val="es-ES_tradnl"/>
        </w:rPr>
        <w:t> </w:t>
      </w:r>
      <w:r w:rsidRPr="002621F2">
        <w:rPr>
          <w:lang w:val="es-ES_tradnl"/>
        </w:rPr>
        <w:t xml:space="preserve">Ginebra, será objeto </w:t>
      </w:r>
      <w:r w:rsidRPr="003C12CF">
        <w:rPr>
          <w:lang w:val="es-ES_tradnl"/>
        </w:rPr>
        <w:t>de otro Aviso</w:t>
      </w:r>
      <w:r w:rsidRPr="002621F2">
        <w:rPr>
          <w:lang w:val="es-ES_tradnl"/>
        </w:rPr>
        <w:t>.</w:t>
      </w:r>
    </w:p>
    <w:p w14:paraId="3E989D7F" w14:textId="77777777" w:rsidR="00F15FCB" w:rsidRDefault="00F15FCB">
      <w:pPr>
        <w:rPr>
          <w:lang w:val="es-ES_tradnl"/>
        </w:rPr>
      </w:pPr>
      <w:bookmarkStart w:id="1" w:name="_Hlk148606904"/>
      <w:r>
        <w:rPr>
          <w:lang w:val="es-ES_tradnl"/>
        </w:rPr>
        <w:br w:type="page"/>
      </w:r>
    </w:p>
    <w:p w14:paraId="3A437480" w14:textId="6F6B0439" w:rsidR="00731314" w:rsidRPr="002621F2" w:rsidRDefault="00731314" w:rsidP="00731314">
      <w:pPr>
        <w:pStyle w:val="ONUMFS"/>
        <w:numPr>
          <w:ilvl w:val="0"/>
          <w:numId w:val="5"/>
        </w:numPr>
        <w:tabs>
          <w:tab w:val="clear" w:pos="567"/>
          <w:tab w:val="num" w:pos="0"/>
        </w:tabs>
        <w:rPr>
          <w:lang w:val="es-ES_tradnl"/>
        </w:rPr>
      </w:pPr>
      <w:r w:rsidRPr="002621F2">
        <w:rPr>
          <w:lang w:val="es-ES_tradnl"/>
        </w:rPr>
        <w:lastRenderedPageBreak/>
        <w:t xml:space="preserve">De conformidad con la Regla 4.1) del Reglamento </w:t>
      </w:r>
      <w:bookmarkStart w:id="2" w:name="_Hlk148606934"/>
      <w:r w:rsidRPr="002621F2">
        <w:rPr>
          <w:lang w:val="es-ES_tradnl"/>
        </w:rPr>
        <w:t>Común</w:t>
      </w:r>
      <w:bookmarkStart w:id="3" w:name="_Hlk148606999"/>
      <w:bookmarkEnd w:id="1"/>
      <w:bookmarkEnd w:id="2"/>
      <w:r w:rsidRPr="002621F2">
        <w:rPr>
          <w:lang w:val="es-ES_tradnl"/>
        </w:rPr>
        <w:t xml:space="preserve">, el Gobierno de </w:t>
      </w:r>
      <w:r w:rsidR="00484A2A">
        <w:rPr>
          <w:lang w:val="es-ES_tradnl"/>
        </w:rPr>
        <w:t>Djibouti</w:t>
      </w:r>
      <w:r w:rsidRPr="002621F2">
        <w:rPr>
          <w:lang w:val="es-ES_tradnl"/>
        </w:rPr>
        <w:t xml:space="preserve"> ha notificado</w:t>
      </w:r>
      <w:r w:rsidR="004511AD">
        <w:rPr>
          <w:lang w:val="es-ES_tradnl"/>
        </w:rPr>
        <w:t xml:space="preserve"> a la Oficina Internacional</w:t>
      </w:r>
      <w:r w:rsidRPr="002621F2">
        <w:rPr>
          <w:lang w:val="es-ES_tradnl"/>
        </w:rPr>
        <w:t xml:space="preserve"> el nombre y los datos de contacto de su </w:t>
      </w:r>
      <w:r w:rsidR="005179DD">
        <w:rPr>
          <w:lang w:val="es-ES_tradnl"/>
        </w:rPr>
        <w:t>A</w:t>
      </w:r>
      <w:r w:rsidRPr="002621F2">
        <w:rPr>
          <w:lang w:val="es-ES_tradnl"/>
        </w:rPr>
        <w:t xml:space="preserve">dministración competente a efectos </w:t>
      </w:r>
      <w:bookmarkEnd w:id="3"/>
      <w:r w:rsidRPr="002621F2">
        <w:rPr>
          <w:lang w:val="es-ES_tradnl"/>
        </w:rPr>
        <w:t>de los procedimientos previstos en el Acta de Ginebra:</w:t>
      </w:r>
    </w:p>
    <w:p w14:paraId="1BA62E33" w14:textId="761D206A" w:rsidR="00200C03" w:rsidRPr="00EC6569" w:rsidRDefault="00200C03" w:rsidP="00200C03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/>
        </w:rPr>
      </w:pPr>
      <w:r w:rsidRPr="00EC6569">
        <w:rPr>
          <w:rFonts w:eastAsia="Times New Roman" w:cs="Times New Roman"/>
          <w:szCs w:val="22"/>
          <w:lang w:val="es-PE"/>
        </w:rPr>
        <w:t>Of</w:t>
      </w:r>
      <w:r w:rsidR="00EC6569" w:rsidRPr="00EC6569">
        <w:rPr>
          <w:rFonts w:eastAsia="Times New Roman" w:cs="Times New Roman"/>
          <w:szCs w:val="22"/>
          <w:lang w:val="es-PE"/>
        </w:rPr>
        <w:t xml:space="preserve">icina de Propiedad </w:t>
      </w:r>
      <w:r w:rsidRPr="00EC6569">
        <w:rPr>
          <w:rFonts w:eastAsia="Times New Roman" w:cs="Times New Roman"/>
          <w:szCs w:val="22"/>
          <w:lang w:val="es-PE"/>
        </w:rPr>
        <w:t xml:space="preserve">Industrial </w:t>
      </w:r>
      <w:r w:rsidR="00EC6569">
        <w:rPr>
          <w:rFonts w:eastAsia="Times New Roman" w:cs="Times New Roman"/>
          <w:szCs w:val="22"/>
          <w:lang w:val="es-PE"/>
        </w:rPr>
        <w:t xml:space="preserve">y </w:t>
      </w:r>
      <w:r w:rsidRPr="00EC6569">
        <w:rPr>
          <w:rFonts w:eastAsia="Times New Roman" w:cs="Times New Roman"/>
          <w:szCs w:val="22"/>
          <w:lang w:val="es-PE"/>
        </w:rPr>
        <w:t xml:space="preserve">Comercial </w:t>
      </w:r>
      <w:r w:rsidR="00EC6569">
        <w:rPr>
          <w:rFonts w:eastAsia="Times New Roman" w:cs="Times New Roman"/>
          <w:szCs w:val="22"/>
          <w:lang w:val="es-PE"/>
        </w:rPr>
        <w:t>de Djibouti</w:t>
      </w:r>
      <w:r w:rsidRPr="00EC6569">
        <w:rPr>
          <w:rFonts w:eastAsia="Times New Roman" w:cs="Times New Roman"/>
          <w:szCs w:val="22"/>
          <w:lang w:val="es-PE"/>
        </w:rPr>
        <w:t xml:space="preserve"> (ODPIC)</w:t>
      </w:r>
    </w:p>
    <w:p w14:paraId="51472767" w14:textId="77777777" w:rsidR="00200C03" w:rsidRPr="00C90BFE" w:rsidRDefault="00200C03" w:rsidP="00200C03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/>
        </w:rPr>
      </w:pPr>
      <w:r w:rsidRPr="00C90BFE">
        <w:rPr>
          <w:rFonts w:eastAsia="Times New Roman" w:cs="Times New Roman"/>
          <w:szCs w:val="22"/>
          <w:lang w:val="es-PE"/>
        </w:rPr>
        <w:t>B.P. 24</w:t>
      </w:r>
    </w:p>
    <w:p w14:paraId="55556845" w14:textId="437AD899" w:rsidR="00200C03" w:rsidRPr="00C90BFE" w:rsidRDefault="00200C03" w:rsidP="00200C03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/>
        </w:rPr>
      </w:pPr>
      <w:r w:rsidRPr="00C90BFE">
        <w:rPr>
          <w:rFonts w:eastAsia="Times New Roman" w:cs="Times New Roman"/>
          <w:szCs w:val="22"/>
          <w:lang w:val="es-PE"/>
        </w:rPr>
        <w:t>Djibouti</w:t>
      </w:r>
    </w:p>
    <w:p w14:paraId="1AF28199" w14:textId="778DF324" w:rsidR="00200C03" w:rsidRPr="00C90BFE" w:rsidRDefault="00200C03" w:rsidP="009A3BAC">
      <w:pPr>
        <w:tabs>
          <w:tab w:val="left" w:pos="2268"/>
          <w:tab w:val="left" w:pos="3402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/>
        </w:rPr>
      </w:pPr>
      <w:r w:rsidRPr="00C90BFE">
        <w:rPr>
          <w:rFonts w:eastAsia="Times New Roman" w:cs="Times New Roman"/>
          <w:szCs w:val="22"/>
          <w:lang w:val="es-PE"/>
        </w:rPr>
        <w:t>Tel.:</w:t>
      </w:r>
      <w:r w:rsidR="001876C6" w:rsidRPr="00C90BFE">
        <w:rPr>
          <w:rFonts w:eastAsia="Times New Roman" w:cs="Times New Roman"/>
          <w:szCs w:val="22"/>
          <w:lang w:val="es-PE"/>
        </w:rPr>
        <w:tab/>
      </w:r>
      <w:r w:rsidRPr="00C90BFE">
        <w:rPr>
          <w:rFonts w:eastAsia="Times New Roman" w:cs="Times New Roman"/>
          <w:szCs w:val="22"/>
          <w:lang w:val="es-PE"/>
        </w:rPr>
        <w:t>(</w:t>
      </w:r>
      <w:r w:rsidR="005179DD">
        <w:rPr>
          <w:rFonts w:eastAsia="Times New Roman" w:cs="Times New Roman"/>
          <w:szCs w:val="22"/>
          <w:lang w:val="es-PE"/>
        </w:rPr>
        <w:t>+</w:t>
      </w:r>
      <w:r w:rsidRPr="00C90BFE">
        <w:rPr>
          <w:rFonts w:eastAsia="Times New Roman" w:cs="Times New Roman"/>
          <w:szCs w:val="22"/>
          <w:lang w:val="es-PE"/>
        </w:rPr>
        <w:t>253) 77 875 109</w:t>
      </w:r>
    </w:p>
    <w:p w14:paraId="64627E5B" w14:textId="1BB5B6C6" w:rsidR="00200C03" w:rsidRPr="00C90BFE" w:rsidRDefault="00200C03" w:rsidP="009A3BAC">
      <w:pPr>
        <w:tabs>
          <w:tab w:val="left" w:pos="2268"/>
          <w:tab w:val="left" w:pos="3402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/>
        </w:rPr>
      </w:pPr>
      <w:r w:rsidRPr="00C90BFE">
        <w:rPr>
          <w:rFonts w:eastAsia="Times New Roman" w:cs="Times New Roman"/>
          <w:szCs w:val="22"/>
          <w:lang w:val="es-PE"/>
        </w:rPr>
        <w:tab/>
      </w:r>
      <w:r w:rsidRPr="00C90BFE">
        <w:rPr>
          <w:rFonts w:eastAsia="Times New Roman" w:cs="Times New Roman"/>
          <w:szCs w:val="22"/>
          <w:lang w:val="es-PE"/>
        </w:rPr>
        <w:tab/>
        <w:t>(</w:t>
      </w:r>
      <w:r w:rsidR="005179DD">
        <w:rPr>
          <w:rFonts w:eastAsia="Times New Roman" w:cs="Times New Roman"/>
          <w:szCs w:val="22"/>
          <w:lang w:val="es-PE"/>
        </w:rPr>
        <w:t>+</w:t>
      </w:r>
      <w:r w:rsidRPr="00C90BFE">
        <w:rPr>
          <w:rFonts w:eastAsia="Times New Roman" w:cs="Times New Roman"/>
          <w:szCs w:val="22"/>
          <w:lang w:val="es-PE"/>
        </w:rPr>
        <w:t>253) 35 56 50</w:t>
      </w:r>
    </w:p>
    <w:p w14:paraId="3196569B" w14:textId="253185CD" w:rsidR="00200C03" w:rsidRPr="00C90BFE" w:rsidRDefault="00200C03" w:rsidP="009A3BAC">
      <w:pPr>
        <w:tabs>
          <w:tab w:val="left" w:pos="2268"/>
          <w:tab w:val="left" w:pos="3402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/>
        </w:rPr>
      </w:pPr>
      <w:r w:rsidRPr="00C90BFE">
        <w:rPr>
          <w:rFonts w:eastAsia="Times New Roman" w:cs="Times New Roman"/>
          <w:szCs w:val="22"/>
          <w:lang w:val="es-PE"/>
        </w:rPr>
        <w:tab/>
      </w:r>
      <w:r w:rsidRPr="00C90BFE">
        <w:rPr>
          <w:rFonts w:eastAsia="Times New Roman" w:cs="Times New Roman"/>
          <w:szCs w:val="22"/>
          <w:lang w:val="es-PE"/>
        </w:rPr>
        <w:tab/>
        <w:t>(</w:t>
      </w:r>
      <w:r w:rsidR="005179DD">
        <w:rPr>
          <w:rFonts w:eastAsia="Times New Roman" w:cs="Times New Roman"/>
          <w:szCs w:val="22"/>
          <w:lang w:val="es-PE"/>
        </w:rPr>
        <w:t>+</w:t>
      </w:r>
      <w:r w:rsidRPr="00C90BFE">
        <w:rPr>
          <w:rFonts w:eastAsia="Times New Roman" w:cs="Times New Roman"/>
          <w:szCs w:val="22"/>
          <w:lang w:val="es-PE"/>
        </w:rPr>
        <w:t>253) 35 50 45</w:t>
      </w:r>
    </w:p>
    <w:p w14:paraId="6F854136" w14:textId="77E6C1F7" w:rsidR="00200C03" w:rsidRPr="00C90BFE" w:rsidRDefault="00200C03" w:rsidP="009A3BAC">
      <w:pPr>
        <w:tabs>
          <w:tab w:val="left" w:pos="2268"/>
          <w:tab w:val="left" w:pos="3402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/>
        </w:rPr>
      </w:pPr>
      <w:r w:rsidRPr="00C90BFE">
        <w:rPr>
          <w:rFonts w:eastAsia="Times New Roman" w:cs="Times New Roman"/>
          <w:szCs w:val="22"/>
          <w:lang w:val="es-PE"/>
        </w:rPr>
        <w:tab/>
      </w:r>
      <w:r w:rsidRPr="00C90BFE">
        <w:rPr>
          <w:rFonts w:eastAsia="Times New Roman" w:cs="Times New Roman"/>
          <w:szCs w:val="22"/>
          <w:lang w:val="es-PE"/>
        </w:rPr>
        <w:tab/>
        <w:t>(</w:t>
      </w:r>
      <w:r w:rsidR="005179DD">
        <w:rPr>
          <w:rFonts w:eastAsia="Times New Roman" w:cs="Times New Roman"/>
          <w:szCs w:val="22"/>
          <w:lang w:val="es-PE"/>
        </w:rPr>
        <w:t>+</w:t>
      </w:r>
      <w:r w:rsidRPr="00C90BFE">
        <w:rPr>
          <w:rFonts w:eastAsia="Times New Roman" w:cs="Times New Roman"/>
          <w:szCs w:val="22"/>
          <w:lang w:val="es-PE"/>
        </w:rPr>
        <w:t>253) 35 32 53</w:t>
      </w:r>
    </w:p>
    <w:p w14:paraId="6623AAB4" w14:textId="33EBA41B" w:rsidR="00200C03" w:rsidRPr="00C90BFE" w:rsidRDefault="00EC6569" w:rsidP="00EC6569">
      <w:pPr>
        <w:tabs>
          <w:tab w:val="left" w:pos="2340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PE"/>
        </w:rPr>
      </w:pPr>
      <w:r w:rsidRPr="00C90BFE">
        <w:rPr>
          <w:rFonts w:eastAsia="Times New Roman" w:cs="Times New Roman"/>
          <w:szCs w:val="22"/>
          <w:lang w:val="es-PE"/>
        </w:rPr>
        <w:t>Correo-e</w:t>
      </w:r>
      <w:r w:rsidR="00200C03" w:rsidRPr="00C90BFE">
        <w:rPr>
          <w:rFonts w:eastAsia="Times New Roman" w:cs="Times New Roman"/>
          <w:szCs w:val="22"/>
          <w:lang w:val="es-PE"/>
        </w:rPr>
        <w:t>:</w:t>
      </w:r>
      <w:r w:rsidRPr="00C90BFE">
        <w:rPr>
          <w:rFonts w:eastAsia="Times New Roman" w:cs="Times New Roman"/>
          <w:szCs w:val="22"/>
          <w:lang w:val="es-PE"/>
        </w:rPr>
        <w:tab/>
      </w:r>
      <w:hyperlink r:id="rId9" w:history="1">
        <w:r w:rsidR="009A3BAC" w:rsidRPr="00C90BFE">
          <w:rPr>
            <w:rStyle w:val="Hyperlink"/>
            <w:rFonts w:eastAsia="Times New Roman" w:cs="Times New Roman"/>
            <w:color w:val="auto"/>
            <w:szCs w:val="22"/>
            <w:lang w:val="es-PE"/>
          </w:rPr>
          <w:t>centre@intnet.dj</w:t>
        </w:r>
      </w:hyperlink>
    </w:p>
    <w:p w14:paraId="1B8E738C" w14:textId="55367F87" w:rsidR="009A3BAC" w:rsidRPr="009A3BAC" w:rsidRDefault="00200C03" w:rsidP="00F15FCB">
      <w:pPr>
        <w:tabs>
          <w:tab w:val="left" w:pos="2268"/>
          <w:tab w:val="left" w:pos="3402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ES_tradnl"/>
        </w:rPr>
      </w:pPr>
      <w:r w:rsidRPr="00C90BFE">
        <w:rPr>
          <w:rFonts w:eastAsia="Times New Roman" w:cs="Times New Roman"/>
          <w:szCs w:val="22"/>
          <w:lang w:val="es-PE"/>
        </w:rPr>
        <w:tab/>
      </w:r>
      <w:r w:rsidR="00EC6569" w:rsidRPr="00C90BFE">
        <w:rPr>
          <w:rFonts w:eastAsia="Times New Roman" w:cs="Times New Roman"/>
          <w:szCs w:val="22"/>
          <w:lang w:val="es-PE"/>
        </w:rPr>
        <w:tab/>
      </w:r>
      <w:hyperlink r:id="rId10" w:history="1">
        <w:r w:rsidR="009A3BAC" w:rsidRPr="009A3BAC">
          <w:rPr>
            <w:rStyle w:val="Hyperlink"/>
            <w:rFonts w:eastAsia="Times New Roman" w:cs="Times New Roman"/>
            <w:color w:val="auto"/>
            <w:szCs w:val="22"/>
            <w:lang w:val="es-ES_tradnl"/>
          </w:rPr>
          <w:t>ahmed.odpic19@gmail.com</w:t>
        </w:r>
      </w:hyperlink>
    </w:p>
    <w:p w14:paraId="73E5E3C8" w14:textId="6839056A" w:rsidR="00200C03" w:rsidRPr="008727D5" w:rsidRDefault="00EC6569" w:rsidP="00F15FCB">
      <w:pPr>
        <w:tabs>
          <w:tab w:val="left" w:pos="2268"/>
          <w:tab w:val="left" w:pos="3402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ES_tradnl"/>
        </w:rPr>
      </w:pPr>
      <w:r w:rsidRPr="008727D5">
        <w:rPr>
          <w:rFonts w:eastAsia="Times New Roman" w:cs="Times New Roman"/>
          <w:szCs w:val="22"/>
          <w:lang w:val="es-ES_tradnl"/>
        </w:rPr>
        <w:t xml:space="preserve">Sitio </w:t>
      </w:r>
      <w:r w:rsidR="005179DD">
        <w:rPr>
          <w:rFonts w:eastAsia="Times New Roman" w:cs="Times New Roman"/>
          <w:szCs w:val="22"/>
          <w:lang w:val="es-ES_tradnl"/>
        </w:rPr>
        <w:t>w</w:t>
      </w:r>
      <w:r w:rsidR="00200C03" w:rsidRPr="008727D5">
        <w:rPr>
          <w:rFonts w:eastAsia="Times New Roman" w:cs="Times New Roman"/>
          <w:szCs w:val="22"/>
          <w:lang w:val="es-ES_tradnl"/>
        </w:rPr>
        <w:t>eb:</w:t>
      </w:r>
      <w:r w:rsidR="00F15FCB" w:rsidRPr="008727D5">
        <w:rPr>
          <w:rFonts w:eastAsia="Times New Roman" w:cs="Times New Roman"/>
          <w:szCs w:val="22"/>
          <w:lang w:val="es-ES_tradnl"/>
        </w:rPr>
        <w:tab/>
      </w:r>
      <w:hyperlink r:id="rId11" w:history="1">
        <w:r w:rsidR="001876C6" w:rsidRPr="008727D5">
          <w:rPr>
            <w:rStyle w:val="Hyperlink"/>
            <w:rFonts w:eastAsia="Times New Roman" w:cs="Times New Roman"/>
            <w:color w:val="auto"/>
            <w:szCs w:val="22"/>
            <w:lang w:val="es-ES_tradnl"/>
          </w:rPr>
          <w:t>http://www.odpic.dj</w:t>
        </w:r>
      </w:hyperlink>
    </w:p>
    <w:p w14:paraId="7178452C" w14:textId="77777777" w:rsidR="00200C03" w:rsidRPr="008727D5" w:rsidRDefault="00200C03" w:rsidP="00200C03">
      <w:pPr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ES_tradnl"/>
        </w:rPr>
      </w:pPr>
    </w:p>
    <w:p w14:paraId="1474646A" w14:textId="74BA3400" w:rsidR="00731314" w:rsidRPr="005179DD" w:rsidRDefault="00731314" w:rsidP="00731314">
      <w:pPr>
        <w:pStyle w:val="ONUMFS"/>
        <w:numPr>
          <w:ilvl w:val="0"/>
          <w:numId w:val="5"/>
        </w:numPr>
        <w:rPr>
          <w:lang w:val="es-ES_tradnl"/>
        </w:rPr>
      </w:pPr>
      <w:r w:rsidRPr="005179DD">
        <w:rPr>
          <w:lang w:val="es-ES_tradnl"/>
        </w:rPr>
        <w:t xml:space="preserve">De conformidad con la Regla 4.3) del Reglamento Común, la </w:t>
      </w:r>
      <w:r w:rsidR="005179DD">
        <w:rPr>
          <w:lang w:val="es-ES_tradnl"/>
        </w:rPr>
        <w:t>A</w:t>
      </w:r>
      <w:r w:rsidRPr="005179DD">
        <w:rPr>
          <w:lang w:val="es-ES_tradnl"/>
        </w:rPr>
        <w:t xml:space="preserve">dministración competente mencionada en el párrafo 4 </w:t>
      </w:r>
      <w:r w:rsidR="005179DD">
        <w:rPr>
          <w:lang w:val="es-ES_tradnl"/>
        </w:rPr>
        <w:t>pondrá a disposición</w:t>
      </w:r>
      <w:r w:rsidRPr="005179DD">
        <w:rPr>
          <w:lang w:val="es-ES_tradnl"/>
        </w:rPr>
        <w:t xml:space="preserve"> información sobre los procedimientos </w:t>
      </w:r>
      <w:r w:rsidR="005179DD">
        <w:rPr>
          <w:lang w:val="es-ES_tradnl"/>
        </w:rPr>
        <w:t>vigentes</w:t>
      </w:r>
      <w:r w:rsidRPr="005179DD">
        <w:rPr>
          <w:lang w:val="es-ES_tradnl"/>
        </w:rPr>
        <w:t xml:space="preserve"> en su territorio </w:t>
      </w:r>
      <w:r w:rsidR="005179DD">
        <w:rPr>
          <w:lang w:val="es-ES_tradnl"/>
        </w:rPr>
        <w:t>para la</w:t>
      </w:r>
      <w:r w:rsidRPr="005179DD">
        <w:rPr>
          <w:lang w:val="es-ES_tradnl"/>
        </w:rPr>
        <w:t xml:space="preserve"> impugnación y</w:t>
      </w:r>
      <w:r w:rsidR="005179DD">
        <w:rPr>
          <w:lang w:val="es-ES_tradnl"/>
        </w:rPr>
        <w:t xml:space="preserve"> la</w:t>
      </w:r>
      <w:r w:rsidRPr="005179DD">
        <w:rPr>
          <w:lang w:val="es-ES_tradnl"/>
        </w:rPr>
        <w:t xml:space="preserve"> </w:t>
      </w:r>
      <w:r w:rsidR="005179DD">
        <w:rPr>
          <w:lang w:val="es-ES_tradnl"/>
        </w:rPr>
        <w:t>observancia</w:t>
      </w:r>
      <w:r w:rsidRPr="005179DD">
        <w:rPr>
          <w:lang w:val="es-ES_tradnl"/>
        </w:rPr>
        <w:t xml:space="preserve"> de derechos </w:t>
      </w:r>
      <w:r w:rsidR="005179DD">
        <w:rPr>
          <w:lang w:val="es-ES_tradnl"/>
        </w:rPr>
        <w:t>sobre</w:t>
      </w:r>
      <w:r w:rsidRPr="005179DD">
        <w:rPr>
          <w:lang w:val="es-ES_tradnl"/>
        </w:rPr>
        <w:t xml:space="preserve"> denominaciones de origen </w:t>
      </w:r>
      <w:r w:rsidR="005179DD">
        <w:rPr>
          <w:lang w:val="es-ES_tradnl"/>
        </w:rPr>
        <w:t>e</w:t>
      </w:r>
      <w:r w:rsidRPr="005179DD">
        <w:rPr>
          <w:lang w:val="es-ES_tradnl"/>
        </w:rPr>
        <w:t xml:space="preserve"> indicaciones geográficas. </w:t>
      </w:r>
      <w:r w:rsidR="003317D4" w:rsidRPr="005179DD">
        <w:rPr>
          <w:lang w:val="es-ES_tradnl"/>
        </w:rPr>
        <w:t xml:space="preserve"> </w:t>
      </w:r>
      <w:r w:rsidRPr="005179DD">
        <w:rPr>
          <w:lang w:val="es-ES_tradnl"/>
        </w:rPr>
        <w:t>Esta información se publicará en</w:t>
      </w:r>
      <w:r w:rsidR="00A52BB0">
        <w:rPr>
          <w:lang w:val="es-ES_tradnl"/>
        </w:rPr>
        <w:t>:</w:t>
      </w:r>
      <w:r w:rsidRPr="005179DD">
        <w:rPr>
          <w:lang w:val="es-ES_tradnl"/>
        </w:rPr>
        <w:t xml:space="preserve"> </w:t>
      </w:r>
      <w:r w:rsidR="00375E17">
        <w:rPr>
          <w:lang w:val="es-ES_tradnl"/>
        </w:rPr>
        <w:t xml:space="preserve"> </w:t>
      </w:r>
      <w:r w:rsidRPr="005179DD">
        <w:rPr>
          <w:u w:val="single"/>
          <w:lang w:val="es-ES_tradnl"/>
        </w:rPr>
        <w:t>https://www.wipo.int/lisbon/es/applicable_procedures.html</w:t>
      </w:r>
      <w:r w:rsidRPr="005179DD">
        <w:rPr>
          <w:lang w:val="es-ES_tradnl"/>
        </w:rPr>
        <w:t>.</w:t>
      </w:r>
    </w:p>
    <w:p w14:paraId="503CED5B" w14:textId="0AB623F8" w:rsidR="00731314" w:rsidRPr="002621F2" w:rsidRDefault="00731314" w:rsidP="003317D4">
      <w:pPr>
        <w:pStyle w:val="ONUMFS"/>
        <w:numPr>
          <w:ilvl w:val="0"/>
          <w:numId w:val="5"/>
        </w:numPr>
        <w:spacing w:after="720"/>
        <w:rPr>
          <w:lang w:val="es-ES_tradnl"/>
        </w:rPr>
      </w:pPr>
      <w:r w:rsidRPr="002621F2">
        <w:rPr>
          <w:lang w:val="es-ES_tradnl"/>
        </w:rPr>
        <w:t>El Acta de Ginebra del Arreglo de Lisboa</w:t>
      </w:r>
      <w:r w:rsidR="003317D4">
        <w:rPr>
          <w:lang w:val="es-ES_tradnl"/>
        </w:rPr>
        <w:t xml:space="preserve"> entrará</w:t>
      </w:r>
      <w:r w:rsidRPr="002621F2">
        <w:rPr>
          <w:lang w:val="es-ES_tradnl"/>
        </w:rPr>
        <w:t xml:space="preserve"> en vigor respecto de</w:t>
      </w:r>
      <w:r w:rsidR="00484A2A">
        <w:rPr>
          <w:lang w:val="es-ES_tradnl"/>
        </w:rPr>
        <w:t xml:space="preserve"> Djibouti </w:t>
      </w:r>
      <w:r w:rsidRPr="002621F2">
        <w:rPr>
          <w:lang w:val="es-ES_tradnl"/>
        </w:rPr>
        <w:t>el</w:t>
      </w:r>
      <w:r>
        <w:rPr>
          <w:lang w:val="es-ES_tradnl"/>
        </w:rPr>
        <w:t> </w:t>
      </w:r>
      <w:r w:rsidR="00484A2A">
        <w:rPr>
          <w:lang w:val="es-ES_tradnl"/>
        </w:rPr>
        <w:t>13</w:t>
      </w:r>
      <w:r>
        <w:rPr>
          <w:lang w:val="es-ES_tradnl"/>
        </w:rPr>
        <w:t> </w:t>
      </w:r>
      <w:r w:rsidRPr="002621F2">
        <w:rPr>
          <w:lang w:val="es-ES_tradnl"/>
        </w:rPr>
        <w:t>de</w:t>
      </w:r>
      <w:r>
        <w:rPr>
          <w:lang w:val="es-ES_tradnl"/>
        </w:rPr>
        <w:t> </w:t>
      </w:r>
      <w:r w:rsidR="00484A2A">
        <w:rPr>
          <w:lang w:val="es-ES_tradnl"/>
        </w:rPr>
        <w:t>mayo</w:t>
      </w:r>
      <w:r w:rsidRPr="002621F2">
        <w:rPr>
          <w:lang w:val="es-ES_tradnl"/>
        </w:rPr>
        <w:t xml:space="preserve"> de 202</w:t>
      </w:r>
      <w:r w:rsidR="00484A2A">
        <w:rPr>
          <w:lang w:val="es-ES_tradnl"/>
        </w:rPr>
        <w:t>4</w:t>
      </w:r>
      <w:r w:rsidRPr="002621F2">
        <w:rPr>
          <w:lang w:val="es-ES_tradnl"/>
        </w:rPr>
        <w:t>.</w:t>
      </w:r>
    </w:p>
    <w:p w14:paraId="4C6A9466" w14:textId="3112C3EC" w:rsidR="00731314" w:rsidRPr="002621F2" w:rsidRDefault="00C81800" w:rsidP="00731314">
      <w:pPr>
        <w:pStyle w:val="Endofdocument-Annex"/>
        <w:spacing w:before="0"/>
        <w:rPr>
          <w:lang w:val="es-ES_tradnl"/>
        </w:rPr>
      </w:pPr>
      <w:r>
        <w:rPr>
          <w:lang w:val="es-ES_tradnl"/>
        </w:rPr>
        <w:t>29</w:t>
      </w:r>
      <w:r w:rsidR="00731314" w:rsidRPr="002621F2">
        <w:rPr>
          <w:lang w:val="es-ES_tradnl"/>
        </w:rPr>
        <w:t xml:space="preserve"> de </w:t>
      </w:r>
      <w:r w:rsidR="00E13A90">
        <w:rPr>
          <w:lang w:val="es-ES_tradnl"/>
        </w:rPr>
        <w:t>abril</w:t>
      </w:r>
      <w:r w:rsidR="00731314" w:rsidRPr="002621F2">
        <w:rPr>
          <w:lang w:val="es-ES_tradnl"/>
        </w:rPr>
        <w:t xml:space="preserve"> de 202</w:t>
      </w:r>
      <w:r w:rsidR="00484A2A">
        <w:rPr>
          <w:lang w:val="es-ES_tradnl"/>
        </w:rPr>
        <w:t>4</w:t>
      </w:r>
    </w:p>
    <w:sectPr w:rsidR="00731314" w:rsidRPr="002621F2" w:rsidSect="009949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138" w:bottom="288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FFCB" w14:textId="77777777" w:rsidR="00640927" w:rsidRDefault="00640927">
      <w:r>
        <w:separator/>
      </w:r>
    </w:p>
  </w:endnote>
  <w:endnote w:type="continuationSeparator" w:id="0">
    <w:p w14:paraId="265E985C" w14:textId="77777777" w:rsidR="00640927" w:rsidRDefault="00640927">
      <w:r>
        <w:separator/>
      </w:r>
    </w:p>
    <w:p w14:paraId="1607D725" w14:textId="77777777" w:rsidR="00640927" w:rsidRPr="0013458A" w:rsidRDefault="00640927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[Endnote continued from previous page]</w:t>
      </w:r>
    </w:p>
  </w:endnote>
  <w:endnote w:type="continuationNotice" w:id="1">
    <w:p w14:paraId="23BC6B7F" w14:textId="77777777" w:rsidR="00640927" w:rsidRPr="0013458A" w:rsidRDefault="00640927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D054" w14:textId="77777777"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444A1E8D" w14:textId="77777777" w:rsidR="000D3864" w:rsidRDefault="00015C4C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6A82E09C" w14:textId="77777777" w:rsidR="00015C4C" w:rsidRDefault="00015C4C" w:rsidP="00015C4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D302" w14:textId="77777777" w:rsidR="00854DEB" w:rsidRDefault="00854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F6A" w14:textId="77777777" w:rsidR="00854DEB" w:rsidRDefault="00854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CE28" w14:textId="77777777" w:rsidR="00640927" w:rsidRDefault="00640927">
      <w:r>
        <w:separator/>
      </w:r>
    </w:p>
  </w:footnote>
  <w:footnote w:type="continuationSeparator" w:id="0">
    <w:p w14:paraId="6D053F02" w14:textId="77777777" w:rsidR="00640927" w:rsidRDefault="00640927">
      <w:r>
        <w:separator/>
      </w:r>
    </w:p>
    <w:p w14:paraId="7D4F2416" w14:textId="77777777" w:rsidR="00640927" w:rsidRPr="0013458A" w:rsidRDefault="00640927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[Footnote continued from previous page]</w:t>
      </w:r>
    </w:p>
  </w:footnote>
  <w:footnote w:type="continuationNotice" w:id="1">
    <w:p w14:paraId="088369F7" w14:textId="77777777" w:rsidR="00640927" w:rsidRPr="0013458A" w:rsidRDefault="00640927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6D53" w14:textId="77777777" w:rsidR="000D3864" w:rsidRDefault="005D566A" w:rsidP="005D566A">
    <w:pPr>
      <w:jc w:val="right"/>
      <w:rPr>
        <w:color w:val="000000"/>
        <w:sz w:val="17"/>
      </w:rPr>
    </w:pPr>
    <w:bookmarkStart w:id="4" w:name="TITUS1HeaderEvenPages"/>
    <w:r>
      <w:rPr>
        <w:color w:val="000000"/>
        <w:sz w:val="17"/>
      </w:rPr>
      <w:t xml:space="preserve">  </w:t>
    </w:r>
  </w:p>
  <w:bookmarkEnd w:id="4"/>
  <w:p w14:paraId="0824EF82" w14:textId="77777777" w:rsidR="000D3864" w:rsidRDefault="000D3864" w:rsidP="000D3864">
    <w:pPr>
      <w:jc w:val="center"/>
    </w:pPr>
    <w:r>
      <w:t>página</w:t>
    </w:r>
  </w:p>
  <w:p w14:paraId="0C05065A" w14:textId="77777777"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6C6C" w14:textId="078112E7" w:rsidR="00774130" w:rsidRDefault="0095140A" w:rsidP="00774130">
    <w:pPr>
      <w:pStyle w:val="Head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7250B1" w14:textId="77777777" w:rsidR="00774130" w:rsidRDefault="00774130" w:rsidP="00774130">
    <w:pPr>
      <w:pStyle w:val="Header"/>
      <w:jc w:val="right"/>
    </w:pPr>
  </w:p>
  <w:p w14:paraId="7F8E47AD" w14:textId="77777777" w:rsidR="001E5D18" w:rsidRDefault="001E5D18" w:rsidP="007741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67B1" w14:textId="77777777" w:rsidR="00854DEB" w:rsidRDefault="00854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10037">
    <w:abstractNumId w:val="4"/>
  </w:num>
  <w:num w:numId="2" w16cid:durableId="1515802565">
    <w:abstractNumId w:val="0"/>
  </w:num>
  <w:num w:numId="3" w16cid:durableId="1448157957">
    <w:abstractNumId w:val="7"/>
  </w:num>
  <w:num w:numId="4" w16cid:durableId="2075539304">
    <w:abstractNumId w:val="1"/>
  </w:num>
  <w:num w:numId="5" w16cid:durableId="1649285623">
    <w:abstractNumId w:val="2"/>
  </w:num>
  <w:num w:numId="6" w16cid:durableId="1528980258">
    <w:abstractNumId w:val="9"/>
  </w:num>
  <w:num w:numId="7" w16cid:durableId="586811269">
    <w:abstractNumId w:val="7"/>
  </w:num>
  <w:num w:numId="8" w16cid:durableId="1286159680">
    <w:abstractNumId w:val="1"/>
  </w:num>
  <w:num w:numId="9" w16cid:durableId="825513845">
    <w:abstractNumId w:val="2"/>
  </w:num>
  <w:num w:numId="10" w16cid:durableId="2093239424">
    <w:abstractNumId w:val="7"/>
  </w:num>
  <w:num w:numId="11" w16cid:durableId="1193419036">
    <w:abstractNumId w:val="1"/>
  </w:num>
  <w:num w:numId="12" w16cid:durableId="1892694779">
    <w:abstractNumId w:val="2"/>
  </w:num>
  <w:num w:numId="13" w16cid:durableId="977298306">
    <w:abstractNumId w:val="10"/>
  </w:num>
  <w:num w:numId="14" w16cid:durableId="729690526">
    <w:abstractNumId w:val="8"/>
  </w:num>
  <w:num w:numId="15" w16cid:durableId="935020507">
    <w:abstractNumId w:val="5"/>
  </w:num>
  <w:num w:numId="16" w16cid:durableId="2040740630">
    <w:abstractNumId w:val="3"/>
  </w:num>
  <w:num w:numId="17" w16cid:durableId="482813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CC"/>
    <w:rsid w:val="000009F0"/>
    <w:rsid w:val="00000F96"/>
    <w:rsid w:val="000072EE"/>
    <w:rsid w:val="00015C4C"/>
    <w:rsid w:val="00022440"/>
    <w:rsid w:val="00023E8B"/>
    <w:rsid w:val="00040425"/>
    <w:rsid w:val="00042BD2"/>
    <w:rsid w:val="00082378"/>
    <w:rsid w:val="00095F54"/>
    <w:rsid w:val="000A5742"/>
    <w:rsid w:val="000B6D65"/>
    <w:rsid w:val="000C774D"/>
    <w:rsid w:val="000D3864"/>
    <w:rsid w:val="000D7AA9"/>
    <w:rsid w:val="000E072A"/>
    <w:rsid w:val="000F52A8"/>
    <w:rsid w:val="0010608E"/>
    <w:rsid w:val="00106BAE"/>
    <w:rsid w:val="0013458A"/>
    <w:rsid w:val="00150CF6"/>
    <w:rsid w:val="0015168D"/>
    <w:rsid w:val="001600E5"/>
    <w:rsid w:val="00171E0A"/>
    <w:rsid w:val="001876C6"/>
    <w:rsid w:val="00191E44"/>
    <w:rsid w:val="001920D6"/>
    <w:rsid w:val="00197C7C"/>
    <w:rsid w:val="001A2E00"/>
    <w:rsid w:val="001B1DDA"/>
    <w:rsid w:val="001B534E"/>
    <w:rsid w:val="001B69E2"/>
    <w:rsid w:val="001C2975"/>
    <w:rsid w:val="001C7175"/>
    <w:rsid w:val="001E4857"/>
    <w:rsid w:val="001E5D18"/>
    <w:rsid w:val="001E647B"/>
    <w:rsid w:val="001E7870"/>
    <w:rsid w:val="001F5A8E"/>
    <w:rsid w:val="00200976"/>
    <w:rsid w:val="00200C03"/>
    <w:rsid w:val="00212F6B"/>
    <w:rsid w:val="002257F4"/>
    <w:rsid w:val="00225E4E"/>
    <w:rsid w:val="00230DF4"/>
    <w:rsid w:val="00237A67"/>
    <w:rsid w:val="002542C1"/>
    <w:rsid w:val="00261D19"/>
    <w:rsid w:val="00264E42"/>
    <w:rsid w:val="002705C5"/>
    <w:rsid w:val="002748B7"/>
    <w:rsid w:val="00275EA3"/>
    <w:rsid w:val="00291C02"/>
    <w:rsid w:val="0029704F"/>
    <w:rsid w:val="002A012E"/>
    <w:rsid w:val="002C69D9"/>
    <w:rsid w:val="002E1745"/>
    <w:rsid w:val="002E48C8"/>
    <w:rsid w:val="002E5E82"/>
    <w:rsid w:val="00305A8F"/>
    <w:rsid w:val="00316F7A"/>
    <w:rsid w:val="00321300"/>
    <w:rsid w:val="0032621F"/>
    <w:rsid w:val="003317D4"/>
    <w:rsid w:val="00343428"/>
    <w:rsid w:val="00345F13"/>
    <w:rsid w:val="003500BE"/>
    <w:rsid w:val="003513B5"/>
    <w:rsid w:val="003555F4"/>
    <w:rsid w:val="003573D8"/>
    <w:rsid w:val="00361F8F"/>
    <w:rsid w:val="00375E17"/>
    <w:rsid w:val="00377D89"/>
    <w:rsid w:val="00381D52"/>
    <w:rsid w:val="0038753D"/>
    <w:rsid w:val="003A032E"/>
    <w:rsid w:val="003A1368"/>
    <w:rsid w:val="003A4806"/>
    <w:rsid w:val="003A4DB2"/>
    <w:rsid w:val="003B2C0D"/>
    <w:rsid w:val="003B4808"/>
    <w:rsid w:val="003C4B01"/>
    <w:rsid w:val="003C75F2"/>
    <w:rsid w:val="003D0289"/>
    <w:rsid w:val="003D13C7"/>
    <w:rsid w:val="003D341E"/>
    <w:rsid w:val="003E4FB2"/>
    <w:rsid w:val="003F2264"/>
    <w:rsid w:val="003F2BCD"/>
    <w:rsid w:val="003F4553"/>
    <w:rsid w:val="003F73CD"/>
    <w:rsid w:val="0040765D"/>
    <w:rsid w:val="00424BEF"/>
    <w:rsid w:val="00436D9C"/>
    <w:rsid w:val="00444D9B"/>
    <w:rsid w:val="004453B1"/>
    <w:rsid w:val="004511AD"/>
    <w:rsid w:val="00455C9D"/>
    <w:rsid w:val="00457669"/>
    <w:rsid w:val="004760B4"/>
    <w:rsid w:val="00481003"/>
    <w:rsid w:val="00484A2A"/>
    <w:rsid w:val="00487125"/>
    <w:rsid w:val="004D040D"/>
    <w:rsid w:val="004D38FC"/>
    <w:rsid w:val="004F4110"/>
    <w:rsid w:val="004F5DAB"/>
    <w:rsid w:val="005029BB"/>
    <w:rsid w:val="00517500"/>
    <w:rsid w:val="005179DD"/>
    <w:rsid w:val="00531395"/>
    <w:rsid w:val="005712E6"/>
    <w:rsid w:val="00594394"/>
    <w:rsid w:val="005A739A"/>
    <w:rsid w:val="005B3167"/>
    <w:rsid w:val="005B4881"/>
    <w:rsid w:val="005B5CBA"/>
    <w:rsid w:val="005C050E"/>
    <w:rsid w:val="005C2889"/>
    <w:rsid w:val="005C6E31"/>
    <w:rsid w:val="005D566A"/>
    <w:rsid w:val="005E0C9B"/>
    <w:rsid w:val="005E35AE"/>
    <w:rsid w:val="005E647E"/>
    <w:rsid w:val="005F7546"/>
    <w:rsid w:val="00602E39"/>
    <w:rsid w:val="00606B9A"/>
    <w:rsid w:val="00613976"/>
    <w:rsid w:val="006210A3"/>
    <w:rsid w:val="00640927"/>
    <w:rsid w:val="00641EDA"/>
    <w:rsid w:val="00646A36"/>
    <w:rsid w:val="00663C08"/>
    <w:rsid w:val="00665CEB"/>
    <w:rsid w:val="00671957"/>
    <w:rsid w:val="006776ED"/>
    <w:rsid w:val="00683DEF"/>
    <w:rsid w:val="00692810"/>
    <w:rsid w:val="0069384C"/>
    <w:rsid w:val="00694945"/>
    <w:rsid w:val="006A731A"/>
    <w:rsid w:val="006B10E1"/>
    <w:rsid w:val="006B1C22"/>
    <w:rsid w:val="006C2BE9"/>
    <w:rsid w:val="006D05AE"/>
    <w:rsid w:val="006D0A46"/>
    <w:rsid w:val="006D384F"/>
    <w:rsid w:val="006D7C44"/>
    <w:rsid w:val="006E1406"/>
    <w:rsid w:val="006E734B"/>
    <w:rsid w:val="00702198"/>
    <w:rsid w:val="00702FCB"/>
    <w:rsid w:val="007161AF"/>
    <w:rsid w:val="0072286E"/>
    <w:rsid w:val="0072508E"/>
    <w:rsid w:val="00730F6A"/>
    <w:rsid w:val="00731314"/>
    <w:rsid w:val="007650B4"/>
    <w:rsid w:val="00765841"/>
    <w:rsid w:val="00774130"/>
    <w:rsid w:val="007921E8"/>
    <w:rsid w:val="007C0638"/>
    <w:rsid w:val="007D3C4E"/>
    <w:rsid w:val="007D47E6"/>
    <w:rsid w:val="007D5792"/>
    <w:rsid w:val="007D6437"/>
    <w:rsid w:val="007F0A7A"/>
    <w:rsid w:val="007F5046"/>
    <w:rsid w:val="00800A9B"/>
    <w:rsid w:val="008047AF"/>
    <w:rsid w:val="008116BA"/>
    <w:rsid w:val="00831A26"/>
    <w:rsid w:val="0083486C"/>
    <w:rsid w:val="00842AB1"/>
    <w:rsid w:val="0084410A"/>
    <w:rsid w:val="0085328B"/>
    <w:rsid w:val="00854DEB"/>
    <w:rsid w:val="00856B5E"/>
    <w:rsid w:val="0086291A"/>
    <w:rsid w:val="00871A37"/>
    <w:rsid w:val="008727D5"/>
    <w:rsid w:val="00885998"/>
    <w:rsid w:val="00886D3A"/>
    <w:rsid w:val="00887990"/>
    <w:rsid w:val="00891F02"/>
    <w:rsid w:val="00893B56"/>
    <w:rsid w:val="008A42FA"/>
    <w:rsid w:val="008C2F64"/>
    <w:rsid w:val="008D6245"/>
    <w:rsid w:val="008E183B"/>
    <w:rsid w:val="008F33F5"/>
    <w:rsid w:val="008F55E4"/>
    <w:rsid w:val="009046C6"/>
    <w:rsid w:val="00914C51"/>
    <w:rsid w:val="00915416"/>
    <w:rsid w:val="00916252"/>
    <w:rsid w:val="00922A50"/>
    <w:rsid w:val="009337CE"/>
    <w:rsid w:val="0095140A"/>
    <w:rsid w:val="00953EDB"/>
    <w:rsid w:val="00961374"/>
    <w:rsid w:val="009646FA"/>
    <w:rsid w:val="0097265A"/>
    <w:rsid w:val="0099495D"/>
    <w:rsid w:val="009958B7"/>
    <w:rsid w:val="009A3BAC"/>
    <w:rsid w:val="009A3CD4"/>
    <w:rsid w:val="009A4966"/>
    <w:rsid w:val="009A6B40"/>
    <w:rsid w:val="009C024E"/>
    <w:rsid w:val="009C13E0"/>
    <w:rsid w:val="009C2813"/>
    <w:rsid w:val="009C2AD1"/>
    <w:rsid w:val="009D18BC"/>
    <w:rsid w:val="009D2534"/>
    <w:rsid w:val="009D3DF8"/>
    <w:rsid w:val="009E0489"/>
    <w:rsid w:val="009E185D"/>
    <w:rsid w:val="009E3338"/>
    <w:rsid w:val="00A0608E"/>
    <w:rsid w:val="00A200E5"/>
    <w:rsid w:val="00A441DB"/>
    <w:rsid w:val="00A46727"/>
    <w:rsid w:val="00A52BB0"/>
    <w:rsid w:val="00A5573D"/>
    <w:rsid w:val="00A6014D"/>
    <w:rsid w:val="00A61211"/>
    <w:rsid w:val="00A63F09"/>
    <w:rsid w:val="00A705C8"/>
    <w:rsid w:val="00A72B6D"/>
    <w:rsid w:val="00A746A0"/>
    <w:rsid w:val="00A82614"/>
    <w:rsid w:val="00AC68C3"/>
    <w:rsid w:val="00AC6D89"/>
    <w:rsid w:val="00AD03FA"/>
    <w:rsid w:val="00AD34E9"/>
    <w:rsid w:val="00B00F73"/>
    <w:rsid w:val="00B02F2E"/>
    <w:rsid w:val="00B05311"/>
    <w:rsid w:val="00B05B88"/>
    <w:rsid w:val="00B06A0C"/>
    <w:rsid w:val="00B14807"/>
    <w:rsid w:val="00B246BF"/>
    <w:rsid w:val="00B25CDF"/>
    <w:rsid w:val="00B702C1"/>
    <w:rsid w:val="00B833E5"/>
    <w:rsid w:val="00B85527"/>
    <w:rsid w:val="00B94745"/>
    <w:rsid w:val="00BA0C38"/>
    <w:rsid w:val="00BB1EDC"/>
    <w:rsid w:val="00BB2611"/>
    <w:rsid w:val="00BB68A2"/>
    <w:rsid w:val="00BB750D"/>
    <w:rsid w:val="00BC34F6"/>
    <w:rsid w:val="00BC544A"/>
    <w:rsid w:val="00BD1AE0"/>
    <w:rsid w:val="00BE7D73"/>
    <w:rsid w:val="00BF1DB0"/>
    <w:rsid w:val="00BF5D1B"/>
    <w:rsid w:val="00BF7D2A"/>
    <w:rsid w:val="00C01B55"/>
    <w:rsid w:val="00C37291"/>
    <w:rsid w:val="00C5396E"/>
    <w:rsid w:val="00C61213"/>
    <w:rsid w:val="00C7431C"/>
    <w:rsid w:val="00C74AC2"/>
    <w:rsid w:val="00C81800"/>
    <w:rsid w:val="00C90BFE"/>
    <w:rsid w:val="00CA01B4"/>
    <w:rsid w:val="00CA3902"/>
    <w:rsid w:val="00CC479A"/>
    <w:rsid w:val="00CD3C70"/>
    <w:rsid w:val="00CE4F7F"/>
    <w:rsid w:val="00D06BE2"/>
    <w:rsid w:val="00D07D28"/>
    <w:rsid w:val="00D21A15"/>
    <w:rsid w:val="00D55F36"/>
    <w:rsid w:val="00D61292"/>
    <w:rsid w:val="00D61452"/>
    <w:rsid w:val="00D91EF7"/>
    <w:rsid w:val="00DB0343"/>
    <w:rsid w:val="00DC5733"/>
    <w:rsid w:val="00DD5E30"/>
    <w:rsid w:val="00DE5C8D"/>
    <w:rsid w:val="00E01FC2"/>
    <w:rsid w:val="00E02550"/>
    <w:rsid w:val="00E11C88"/>
    <w:rsid w:val="00E13A90"/>
    <w:rsid w:val="00E17632"/>
    <w:rsid w:val="00E37455"/>
    <w:rsid w:val="00E4161C"/>
    <w:rsid w:val="00E4497F"/>
    <w:rsid w:val="00E47591"/>
    <w:rsid w:val="00E54EFB"/>
    <w:rsid w:val="00E77AA5"/>
    <w:rsid w:val="00E8230D"/>
    <w:rsid w:val="00E92BEC"/>
    <w:rsid w:val="00E950BD"/>
    <w:rsid w:val="00EA01D2"/>
    <w:rsid w:val="00EB3E9F"/>
    <w:rsid w:val="00EC39FE"/>
    <w:rsid w:val="00EC6569"/>
    <w:rsid w:val="00EE2556"/>
    <w:rsid w:val="00EE4D0F"/>
    <w:rsid w:val="00EE7293"/>
    <w:rsid w:val="00EF43B9"/>
    <w:rsid w:val="00F000AF"/>
    <w:rsid w:val="00F025C8"/>
    <w:rsid w:val="00F02659"/>
    <w:rsid w:val="00F15381"/>
    <w:rsid w:val="00F15FCB"/>
    <w:rsid w:val="00F2087A"/>
    <w:rsid w:val="00F21C00"/>
    <w:rsid w:val="00F25ED6"/>
    <w:rsid w:val="00F275C6"/>
    <w:rsid w:val="00F322C9"/>
    <w:rsid w:val="00F534D4"/>
    <w:rsid w:val="00F648DE"/>
    <w:rsid w:val="00F76C94"/>
    <w:rsid w:val="00F770E2"/>
    <w:rsid w:val="00F94270"/>
    <w:rsid w:val="00F96819"/>
    <w:rsid w:val="00FA272A"/>
    <w:rsid w:val="00FB46BF"/>
    <w:rsid w:val="00FB4F2F"/>
    <w:rsid w:val="00FB6740"/>
    <w:rsid w:val="00FC0D4D"/>
    <w:rsid w:val="00FD2304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AAC67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autoRedefine/>
    <w:qFormat/>
    <w:rsid w:val="00FB46BF"/>
    <w:pPr>
      <w:keepNext/>
      <w:spacing w:after="7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5396E"/>
    <w:pPr>
      <w:keepNext/>
      <w:tabs>
        <w:tab w:val="left" w:pos="8056"/>
      </w:tabs>
      <w:spacing w:before="240" w:after="360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uiPriority w:val="99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es-ES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es-ES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es-ES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774130"/>
    <w:rPr>
      <w:rFonts w:ascii="Arial" w:eastAsia="SimSun" w:hAnsi="Arial" w:cs="Arial"/>
      <w:sz w:val="22"/>
      <w:lang w:val="es-E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265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02659"/>
    <w:rPr>
      <w:rFonts w:ascii="Arial" w:eastAsia="SimSun" w:hAnsi="Arial" w:cs="Arial"/>
      <w:b/>
      <w:bCs/>
      <w:sz w:val="18"/>
      <w:lang w:val="es-E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200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01B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pic.d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hmed.odpic19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ntre@intnet.d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7205-F49D-4B78-AF02-5DDEB96A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1/2023</vt:lpstr>
    </vt:vector>
  </TitlesOfParts>
  <Manager>Lähdesmäki</Manager>
  <Company>WIPO</Company>
  <LinksUpToDate>false</LinksUpToDate>
  <CharactersWithSpaces>2711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1/2023</dc:title>
  <dc:subject>Change in the Amounts of the Individual Fee:  European Union</dc:subject>
  <dc:creator>CleaveleyA</dc:creator>
  <cp:keywords>FOR OFFICIAL USE ONLY</cp:keywords>
  <cp:lastModifiedBy>MAILLARD Amber</cp:lastModifiedBy>
  <cp:revision>4</cp:revision>
  <cp:lastPrinted>2023-02-24T09:09:00Z</cp:lastPrinted>
  <dcterms:created xsi:type="dcterms:W3CDTF">2024-04-23T06:26:00Z</dcterms:created>
  <dcterms:modified xsi:type="dcterms:W3CDTF">2024-04-29T13:45:00Z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60243123-ac99-49eb-a003-06941eaf5b57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2023-10-03T14:45:11Z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dad0bcf1-4f7b-448f-a3ba-37b30e50729d</vt:lpwstr>
  </property>
  <property fmtid="{D5CDD505-2E9C-101B-9397-08002B2CF9AE}" pid="14" name="MSIP_Label_20773ee6-353b-4fb9-a59d-0b94c8c67bea_ContentBits">
    <vt:lpwstr>0</vt:lpwstr>
  </property>
</Properties>
</file>