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7BAFF" w14:textId="24BC7386" w:rsidR="00426F4C" w:rsidRPr="0095299F" w:rsidRDefault="00667411" w:rsidP="006F24B5">
      <w:pPr>
        <w:spacing w:after="120"/>
        <w:jc w:val="right"/>
        <w:rPr>
          <w:b/>
          <w:sz w:val="40"/>
          <w:szCs w:val="40"/>
          <w:lang w:val="es-ES_tradnl"/>
        </w:rPr>
      </w:pPr>
      <w:bookmarkStart w:id="0" w:name="_GoBack"/>
      <w:bookmarkEnd w:id="0"/>
      <w:r w:rsidRPr="0095299F">
        <w:rPr>
          <w:b/>
          <w:noProof/>
          <w:sz w:val="40"/>
          <w:szCs w:val="40"/>
          <w:lang w:val="en-US" w:eastAsia="en-US"/>
        </w:rPr>
        <w:drawing>
          <wp:inline distT="0" distB="0" distL="0" distR="0" wp14:anchorId="6290ABC8" wp14:editId="6CA8ABB3">
            <wp:extent cx="2999232" cy="128930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232" cy="1289304"/>
                    </a:xfrm>
                    <a:prstGeom prst="rect">
                      <a:avLst/>
                    </a:prstGeom>
                    <a:noFill/>
                  </pic:spPr>
                </pic:pic>
              </a:graphicData>
            </a:graphic>
          </wp:inline>
        </w:drawing>
      </w:r>
    </w:p>
    <w:p w14:paraId="460EE40A" w14:textId="758EDA40" w:rsidR="00E515E6" w:rsidRPr="0095299F" w:rsidRDefault="00E515E6" w:rsidP="00E515E6">
      <w:pPr>
        <w:jc w:val="right"/>
        <w:rPr>
          <w:rFonts w:ascii="Arial Black" w:hAnsi="Arial Black"/>
          <w:caps/>
          <w:sz w:val="15"/>
          <w:lang w:val="es-ES_tradnl"/>
        </w:rPr>
      </w:pPr>
    </w:p>
    <w:tbl>
      <w:tblPr>
        <w:tblW w:w="9356" w:type="dxa"/>
        <w:tblInd w:w="108" w:type="dxa"/>
        <w:tblLayout w:type="fixed"/>
        <w:tblLook w:val="01E0" w:firstRow="1" w:lastRow="1" w:firstColumn="1" w:lastColumn="1" w:noHBand="0" w:noVBand="0"/>
      </w:tblPr>
      <w:tblGrid>
        <w:gridCol w:w="9356"/>
      </w:tblGrid>
      <w:tr w:rsidR="00BE3DF8" w:rsidRPr="0095299F" w14:paraId="2E36D99F" w14:textId="77777777" w:rsidTr="007B3938">
        <w:trPr>
          <w:trHeight w:hRule="exact" w:val="198"/>
        </w:trPr>
        <w:tc>
          <w:tcPr>
            <w:tcW w:w="9356" w:type="dxa"/>
            <w:tcMar>
              <w:left w:w="0" w:type="dxa"/>
              <w:right w:w="0" w:type="dxa"/>
            </w:tcMar>
          </w:tcPr>
          <w:p w14:paraId="444F387D" w14:textId="1F60565C" w:rsidR="00BE3DF8" w:rsidRPr="0095299F" w:rsidRDefault="00667411" w:rsidP="00667411">
            <w:pPr>
              <w:jc w:val="right"/>
              <w:rPr>
                <w:lang w:val="es-ES_tradnl"/>
              </w:rPr>
            </w:pPr>
            <w:r w:rsidRPr="0095299F">
              <w:rPr>
                <w:rFonts w:ascii="Arial Black" w:hAnsi="Arial Black"/>
                <w:sz w:val="15"/>
                <w:lang w:val="es-ES_tradnl"/>
              </w:rPr>
              <w:t>Aviso N.º</w:t>
            </w:r>
            <w:r w:rsidR="00BE3DF8" w:rsidRPr="0095299F">
              <w:rPr>
                <w:rFonts w:ascii="Arial Black" w:hAnsi="Arial Black"/>
                <w:sz w:val="15"/>
                <w:lang w:val="es-ES_tradnl"/>
              </w:rPr>
              <w:t xml:space="preserve"> </w:t>
            </w:r>
            <w:r w:rsidR="006966BD" w:rsidRPr="0095299F">
              <w:rPr>
                <w:rFonts w:ascii="Arial Black" w:hAnsi="Arial Black"/>
                <w:sz w:val="15"/>
                <w:lang w:val="es-ES_tradnl"/>
              </w:rPr>
              <w:t>2</w:t>
            </w:r>
            <w:r w:rsidR="00BE3DF8" w:rsidRPr="0095299F">
              <w:rPr>
                <w:rFonts w:ascii="Arial Black" w:hAnsi="Arial Black"/>
                <w:sz w:val="15"/>
                <w:lang w:val="es-ES_tradnl"/>
              </w:rPr>
              <w:t>/</w:t>
            </w:r>
            <w:r w:rsidR="00EA37E7" w:rsidRPr="0095299F">
              <w:rPr>
                <w:rFonts w:ascii="Arial Black" w:hAnsi="Arial Black"/>
                <w:sz w:val="15"/>
                <w:lang w:val="es-ES_tradnl"/>
              </w:rPr>
              <w:t>202</w:t>
            </w:r>
            <w:r w:rsidR="004F1708" w:rsidRPr="0095299F">
              <w:rPr>
                <w:rFonts w:ascii="Arial Black" w:hAnsi="Arial Black"/>
                <w:sz w:val="15"/>
                <w:lang w:val="es-ES_tradnl"/>
              </w:rPr>
              <w:t>2</w:t>
            </w:r>
          </w:p>
        </w:tc>
      </w:tr>
    </w:tbl>
    <w:p w14:paraId="7CF847CB" w14:textId="77777777" w:rsidR="00426F4C" w:rsidRPr="0095299F" w:rsidRDefault="004641F8" w:rsidP="004641F8">
      <w:pPr>
        <w:spacing w:before="1200" w:after="360"/>
        <w:rPr>
          <w:b/>
          <w:sz w:val="28"/>
          <w:szCs w:val="28"/>
          <w:lang w:val="es-ES_tradnl"/>
        </w:rPr>
      </w:pPr>
      <w:bookmarkStart w:id="1" w:name="Original"/>
      <w:bookmarkEnd w:id="1"/>
      <w:r w:rsidRPr="0095299F">
        <w:rPr>
          <w:b/>
          <w:sz w:val="28"/>
          <w:szCs w:val="28"/>
          <w:lang w:val="es-ES_tradnl"/>
        </w:rPr>
        <w:t>Acta de Ginebra del Arreglo de Lisboa relativo a las Denominaciones de Origen y las Indicaciones Geográficas</w:t>
      </w:r>
    </w:p>
    <w:p w14:paraId="4DE3B4AA" w14:textId="77777777" w:rsidR="00426F4C" w:rsidRPr="0095299F" w:rsidRDefault="004F1708" w:rsidP="004641F8">
      <w:pPr>
        <w:spacing w:before="720" w:after="360"/>
        <w:rPr>
          <w:b/>
          <w:bCs/>
          <w:szCs w:val="22"/>
          <w:lang w:val="es-ES_tradnl"/>
        </w:rPr>
      </w:pPr>
      <w:r w:rsidRPr="0095299F">
        <w:rPr>
          <w:b/>
          <w:bCs/>
          <w:noProof/>
          <w:szCs w:val="22"/>
          <w:lang w:val="en-US" w:eastAsia="en-US"/>
        </w:rPr>
        <mc:AlternateContent>
          <mc:Choice Requires="wps">
            <w:drawing>
              <wp:anchor distT="0" distB="0" distL="114300" distR="114300" simplePos="0" relativeHeight="251659264" behindDoc="1" locked="1" layoutInCell="0" allowOverlap="1" wp14:anchorId="2DD304CE" wp14:editId="136C2483">
                <wp:simplePos x="0" y="0"/>
                <wp:positionH relativeFrom="margin">
                  <wp:posOffset>0</wp:posOffset>
                </wp:positionH>
                <wp:positionV relativeFrom="margin">
                  <wp:posOffset>1403985</wp:posOffset>
                </wp:positionV>
                <wp:extent cx="6120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12E86"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Q+Gw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" o:allowincell="f" strokeweight=".5pt">
                <w10:wrap anchorx="margin" anchory="margin"/>
                <w10:anchorlock/>
              </v:line>
            </w:pict>
          </mc:Fallback>
        </mc:AlternateContent>
      </w:r>
      <w:r w:rsidR="004641F8" w:rsidRPr="0095299F">
        <w:rPr>
          <w:b/>
          <w:bCs/>
          <w:szCs w:val="22"/>
          <w:lang w:val="es-ES_tradnl"/>
        </w:rPr>
        <w:t>ADHESIÓN DE LA REPÚBLICA DE CABO VERDE</w:t>
      </w:r>
    </w:p>
    <w:p w14:paraId="39C60678" w14:textId="77777777" w:rsidR="00426F4C" w:rsidRPr="0095299F" w:rsidRDefault="004641F8" w:rsidP="004641F8">
      <w:pPr>
        <w:pStyle w:val="ONUMFS"/>
        <w:rPr>
          <w:lang w:val="es-ES_tradnl"/>
        </w:rPr>
      </w:pPr>
      <w:r w:rsidRPr="0095299F">
        <w:rPr>
          <w:lang w:val="es-ES_tradnl"/>
        </w:rPr>
        <w:t>El 6 de abril de 2022, el Gobierno de la República de Cabo Verde depositó en poder del director general de la Organización Mundial de la Propiedad Intelectual (OMPI) su instrumento de adhesión al Acta de Ginebra del Arreglo de Lisboa relativo a las Denominaciones de Origen y las Indicaciones Geográficas (el “Acta de Ginebra del Arreglo de Lisboa”), adoptada en Ginebra el 20 de mayo de 2015.</w:t>
      </w:r>
    </w:p>
    <w:p w14:paraId="0F45489D" w14:textId="77777777" w:rsidR="00426F4C" w:rsidRPr="0095299F" w:rsidRDefault="004641F8" w:rsidP="004641F8">
      <w:pPr>
        <w:pStyle w:val="ONUMFS"/>
        <w:rPr>
          <w:lang w:val="es-ES_tradnl"/>
        </w:rPr>
      </w:pPr>
      <w:r w:rsidRPr="0095299F">
        <w:rPr>
          <w:lang w:val="es-ES_tradnl"/>
        </w:rPr>
        <w:t>El instrumento de adhesión estuvo acompañado de las siguientes declaraciones:</w:t>
      </w:r>
    </w:p>
    <w:p w14:paraId="36D72635" w14:textId="77777777" w:rsidR="00426F4C" w:rsidRPr="0095299F" w:rsidRDefault="004A0895" w:rsidP="004A0895">
      <w:pPr>
        <w:pStyle w:val="ONUMFS"/>
        <w:numPr>
          <w:ilvl w:val="0"/>
          <w:numId w:val="0"/>
        </w:numPr>
        <w:ind w:left="567"/>
        <w:rPr>
          <w:lang w:val="es-ES_tradnl"/>
        </w:rPr>
      </w:pPr>
      <w:r w:rsidRPr="0095299F">
        <w:rPr>
          <w:lang w:val="es-ES_tradnl"/>
        </w:rPr>
        <w:t>-</w:t>
      </w:r>
      <w:r w:rsidRPr="0095299F">
        <w:rPr>
          <w:lang w:val="es-ES_tradnl"/>
        </w:rPr>
        <w:tab/>
        <w:t xml:space="preserve">la declaración mencionada en el Artículo </w:t>
      </w:r>
      <w:proofErr w:type="gramStart"/>
      <w:r w:rsidRPr="0095299F">
        <w:rPr>
          <w:lang w:val="es-ES_tradnl"/>
        </w:rPr>
        <w:t>28.1)ii</w:t>
      </w:r>
      <w:proofErr w:type="gramEnd"/>
      <w:r w:rsidRPr="0095299F">
        <w:rPr>
          <w:lang w:val="es-ES_tradnl"/>
        </w:rPr>
        <w:t>) del Acta de Ginebra del Arreglo de Lisboa, en virtud de la cual el Gobierno de la República de Cabo Verde declara que su legislación cumple las disposiciones del Convenio de París para la Protección de la Propiedad Industrial en lo que respecta a las denominaciones de origen, las indicaciones geográficas y las marcas;</w:t>
      </w:r>
    </w:p>
    <w:p w14:paraId="45201D65" w14:textId="1EED9BA7" w:rsidR="00426F4C" w:rsidRPr="0095299F" w:rsidRDefault="004A0895" w:rsidP="004A0895">
      <w:pPr>
        <w:pStyle w:val="ONUMFS"/>
        <w:numPr>
          <w:ilvl w:val="0"/>
          <w:numId w:val="0"/>
        </w:numPr>
        <w:ind w:left="567"/>
        <w:rPr>
          <w:lang w:val="es-ES_tradnl"/>
        </w:rPr>
      </w:pPr>
      <w:r w:rsidRPr="0095299F">
        <w:rPr>
          <w:lang w:val="es-ES_tradnl"/>
        </w:rPr>
        <w:t>-</w:t>
      </w:r>
      <w:r w:rsidRPr="0095299F">
        <w:rPr>
          <w:lang w:val="es-ES_tradnl"/>
        </w:rPr>
        <w:tab/>
        <w:t>la declaración mencionada en el Artículo 7.4) del Acta de Ginebra del Arreglo de Lisboa, en virtud de la cual el Gobierno de la República de Cabo Verde declara que la protección resultante del registro internacional de cada denominación de origen y cada indicación geográfica solo se aplicará en la República de Cabo Verde si se ha pagado una tasa para cubrir el costo del examen sustan</w:t>
      </w:r>
      <w:r w:rsidR="00D13CF2" w:rsidRPr="0095299F">
        <w:rPr>
          <w:lang w:val="es-ES_tradnl"/>
        </w:rPr>
        <w:t>tivo del registro internacional; y</w:t>
      </w:r>
    </w:p>
    <w:p w14:paraId="39D509C5" w14:textId="56E53300" w:rsidR="00426F4C" w:rsidRPr="0095299F" w:rsidRDefault="000000FA" w:rsidP="000000FA">
      <w:pPr>
        <w:pStyle w:val="ONUMFS"/>
        <w:numPr>
          <w:ilvl w:val="0"/>
          <w:numId w:val="0"/>
        </w:numPr>
        <w:ind w:left="567"/>
        <w:rPr>
          <w:lang w:val="es-ES_tradnl"/>
        </w:rPr>
      </w:pPr>
      <w:r w:rsidRPr="0095299F">
        <w:rPr>
          <w:lang w:val="es-ES_tradnl"/>
        </w:rPr>
        <w:t>-</w:t>
      </w:r>
      <w:r w:rsidRPr="0095299F">
        <w:rPr>
          <w:lang w:val="es-ES_tradnl"/>
        </w:rPr>
        <w:tab/>
        <w:t>la declaración mencionada en el Artículo 29.4) del Acta de Ginebra del Arreglo de Lisboa, en virtud de la cual el Gobierno de la República de Cabo Verde amplía un año el plazo al que se refiere el Artículo 15.1) del Acta de Ginebra y los períodos mencionados en el Artículo 17 del Acta de Ginebra, de conformidad con los procedimientos previstos en el Reglamento Común del Arreglo de Lisboa relativo a la Protección de las Denominaciones de Origen y su Registro Internacional y del Acta de Ginebra del Arreglo de</w:t>
      </w:r>
      <w:r w:rsidR="00D13CF2" w:rsidRPr="0095299F">
        <w:rPr>
          <w:lang w:val="es-ES_tradnl"/>
        </w:rPr>
        <w:t xml:space="preserve"> Lisboa (el “Reglamento Común”).</w:t>
      </w:r>
    </w:p>
    <w:p w14:paraId="28E60E14" w14:textId="5ED6C982" w:rsidR="00426F4C" w:rsidRPr="0095299F" w:rsidRDefault="000000FA" w:rsidP="000000FA">
      <w:pPr>
        <w:pStyle w:val="ONUMFS"/>
        <w:rPr>
          <w:lang w:val="es-ES_tradnl"/>
        </w:rPr>
      </w:pPr>
      <w:r w:rsidRPr="0095299F">
        <w:rPr>
          <w:lang w:val="es-ES_tradnl"/>
        </w:rPr>
        <w:t>La cuantía de la tasa individual indicada por la República de Cabo Verde en virtud del Artículo </w:t>
      </w:r>
      <w:proofErr w:type="gramStart"/>
      <w:r w:rsidRPr="0095299F">
        <w:rPr>
          <w:lang w:val="es-ES_tradnl"/>
        </w:rPr>
        <w:t>7.4)a</w:t>
      </w:r>
      <w:proofErr w:type="gramEnd"/>
      <w:r w:rsidRPr="0095299F">
        <w:rPr>
          <w:lang w:val="es-ES_tradnl"/>
        </w:rPr>
        <w:t>) del Acta de Ginebra del Arreglo de Lisboa será objeto de otro Aviso.</w:t>
      </w:r>
    </w:p>
    <w:p w14:paraId="70FD5B30" w14:textId="4FE50E8B" w:rsidR="0095299F" w:rsidRPr="0095299F" w:rsidRDefault="0095299F">
      <w:pPr>
        <w:rPr>
          <w:lang w:val="es-ES_tradnl"/>
        </w:rPr>
      </w:pPr>
      <w:r w:rsidRPr="0095299F">
        <w:rPr>
          <w:lang w:val="es-ES_tradnl"/>
        </w:rPr>
        <w:br w:type="page"/>
      </w:r>
    </w:p>
    <w:p w14:paraId="2DE0946F" w14:textId="1B8AEA76" w:rsidR="00426F4C" w:rsidRPr="0095299F" w:rsidRDefault="00426F4C" w:rsidP="00426F4C">
      <w:pPr>
        <w:pStyle w:val="ONUMFS"/>
        <w:rPr>
          <w:lang w:val="es-ES_tradnl"/>
        </w:rPr>
      </w:pPr>
      <w:r w:rsidRPr="0095299F">
        <w:rPr>
          <w:lang w:val="es-ES_tradnl"/>
        </w:rPr>
        <w:lastRenderedPageBreak/>
        <w:t>De conformidad con la Regla 4.1) del Reglamento Común, y a los fines de los procedimientos previstos en dicha Acta, el Gobierno de la República de Cabo Verde ha notificado el nombre y los datos de contacto siguientes correspondientes a su Administración competente:</w:t>
      </w:r>
    </w:p>
    <w:p w14:paraId="12EEE6C3" w14:textId="77777777" w:rsidR="00426F4C" w:rsidRPr="0095299F" w:rsidRDefault="00426F4C" w:rsidP="00426F4C">
      <w:pPr>
        <w:ind w:left="2268"/>
        <w:rPr>
          <w:lang w:val="es-ES_tradnl"/>
        </w:rPr>
      </w:pPr>
      <w:r w:rsidRPr="0095299F">
        <w:rPr>
          <w:lang w:val="es-ES_tradnl"/>
        </w:rPr>
        <w:t>Instituto de Gestión de la Calidad y de la Propiedad Intelectual (IGQPI)</w:t>
      </w:r>
    </w:p>
    <w:p w14:paraId="0A9C7D04" w14:textId="77777777" w:rsidR="00426F4C" w:rsidRPr="0095299F" w:rsidRDefault="00F64BF1" w:rsidP="00E92ED3">
      <w:pPr>
        <w:ind w:left="2268"/>
        <w:rPr>
          <w:lang w:val="es-ES_tradnl"/>
        </w:rPr>
      </w:pPr>
      <w:r w:rsidRPr="0095299F">
        <w:rPr>
          <w:lang w:val="es-ES_tradnl"/>
        </w:rPr>
        <w:t>Av. Amílcar Cabral, nº 27 R/C</w:t>
      </w:r>
    </w:p>
    <w:p w14:paraId="06355700" w14:textId="77777777" w:rsidR="00426F4C" w:rsidRPr="0095299F" w:rsidRDefault="007E6D51" w:rsidP="007B5461">
      <w:pPr>
        <w:ind w:left="2268"/>
        <w:rPr>
          <w:lang w:val="es-ES_tradnl"/>
        </w:rPr>
      </w:pPr>
      <w:proofErr w:type="spellStart"/>
      <w:r w:rsidRPr="0095299F">
        <w:rPr>
          <w:lang w:val="es-ES_tradnl"/>
        </w:rPr>
        <w:t>Plateau</w:t>
      </w:r>
      <w:proofErr w:type="spellEnd"/>
      <w:r w:rsidRPr="0095299F">
        <w:rPr>
          <w:lang w:val="es-ES_tradnl"/>
        </w:rPr>
        <w:t xml:space="preserve">, C.P. 7600-146, </w:t>
      </w:r>
      <w:r w:rsidR="007B5461" w:rsidRPr="0095299F">
        <w:rPr>
          <w:lang w:val="es-ES_tradnl"/>
        </w:rPr>
        <w:t>Praia</w:t>
      </w:r>
      <w:r w:rsidR="00E92ED3" w:rsidRPr="0095299F">
        <w:rPr>
          <w:lang w:val="es-ES_tradnl"/>
        </w:rPr>
        <w:br/>
        <w:t>Santiago</w:t>
      </w:r>
      <w:r w:rsidR="007B5461" w:rsidRPr="0095299F">
        <w:rPr>
          <w:lang w:val="es-ES_tradnl"/>
        </w:rPr>
        <w:t>, Cabo Verde</w:t>
      </w:r>
    </w:p>
    <w:p w14:paraId="7E2210B1" w14:textId="77777777" w:rsidR="00426F4C" w:rsidRPr="0095299F" w:rsidRDefault="00426F4C" w:rsidP="00E92ED3">
      <w:pPr>
        <w:ind w:left="3402" w:hanging="1134"/>
        <w:rPr>
          <w:lang w:val="es-ES_tradnl"/>
        </w:rPr>
      </w:pPr>
      <w:r w:rsidRPr="0095299F">
        <w:rPr>
          <w:lang w:val="es-ES_tradnl"/>
        </w:rPr>
        <w:t>Teléfono</w:t>
      </w:r>
      <w:r w:rsidR="00E92ED3" w:rsidRPr="0095299F">
        <w:rPr>
          <w:lang w:val="es-ES_tradnl"/>
        </w:rPr>
        <w:t>:</w:t>
      </w:r>
      <w:r w:rsidR="00E92ED3" w:rsidRPr="0095299F">
        <w:rPr>
          <w:lang w:val="es-ES_tradnl"/>
        </w:rPr>
        <w:tab/>
      </w:r>
      <w:r w:rsidR="0034584D" w:rsidRPr="0095299F">
        <w:rPr>
          <w:lang w:val="es-ES_tradnl"/>
        </w:rPr>
        <w:t xml:space="preserve"> </w:t>
      </w:r>
      <w:r w:rsidR="00E92ED3" w:rsidRPr="0095299F">
        <w:rPr>
          <w:lang w:val="es-ES_tradnl"/>
        </w:rPr>
        <w:t>(238) 260 4340</w:t>
      </w:r>
      <w:r w:rsidR="00E92ED3" w:rsidRPr="0095299F">
        <w:rPr>
          <w:lang w:val="es-ES_tradnl"/>
        </w:rPr>
        <w:br/>
      </w:r>
      <w:r w:rsidR="0034584D" w:rsidRPr="0095299F">
        <w:rPr>
          <w:lang w:val="es-ES_tradnl"/>
        </w:rPr>
        <w:t xml:space="preserve"> </w:t>
      </w:r>
      <w:r w:rsidR="00E92ED3" w:rsidRPr="0095299F">
        <w:rPr>
          <w:lang w:val="es-ES_tradnl"/>
        </w:rPr>
        <w:t>(238) 516 2496</w:t>
      </w:r>
      <w:r w:rsidR="00E92ED3" w:rsidRPr="0095299F">
        <w:rPr>
          <w:lang w:val="es-ES_tradnl"/>
        </w:rPr>
        <w:br/>
      </w:r>
      <w:r w:rsidR="0034584D" w:rsidRPr="0095299F">
        <w:rPr>
          <w:lang w:val="es-ES_tradnl"/>
        </w:rPr>
        <w:t xml:space="preserve"> </w:t>
      </w:r>
      <w:r w:rsidR="00E92ED3" w:rsidRPr="0095299F">
        <w:rPr>
          <w:lang w:val="es-ES_tradnl"/>
        </w:rPr>
        <w:t>(238) 981 8089</w:t>
      </w:r>
    </w:p>
    <w:p w14:paraId="74E2E520" w14:textId="382118ED" w:rsidR="00426F4C" w:rsidRPr="0095299F" w:rsidRDefault="00426F4C" w:rsidP="00B4032F">
      <w:pPr>
        <w:spacing w:after="240"/>
        <w:ind w:left="2268"/>
        <w:rPr>
          <w:lang w:val="es-ES_tradnl"/>
        </w:rPr>
      </w:pPr>
      <w:r w:rsidRPr="0095299F">
        <w:rPr>
          <w:lang w:val="es-ES_tradnl"/>
        </w:rPr>
        <w:t>Correo electrónico</w:t>
      </w:r>
      <w:r w:rsidR="002B4BD8" w:rsidRPr="0095299F">
        <w:rPr>
          <w:lang w:val="es-ES_tradnl"/>
        </w:rPr>
        <w:t>:</w:t>
      </w:r>
      <w:r w:rsidR="00A92142" w:rsidRPr="0095299F">
        <w:rPr>
          <w:lang w:val="es-ES_tradnl"/>
        </w:rPr>
        <w:t xml:space="preserve"> </w:t>
      </w:r>
      <w:hyperlink r:id="rId9" w:history="1">
        <w:r w:rsidR="00E92ED3" w:rsidRPr="0095299F">
          <w:rPr>
            <w:rStyle w:val="Hyperlink"/>
            <w:lang w:val="es-ES_tradnl"/>
          </w:rPr>
          <w:t>geraligqpi@mice.gov.cv</w:t>
        </w:r>
      </w:hyperlink>
    </w:p>
    <w:p w14:paraId="69B6E090" w14:textId="68C61D6D" w:rsidR="00426F4C" w:rsidRPr="0095299F" w:rsidRDefault="00667411" w:rsidP="00667411">
      <w:pPr>
        <w:pStyle w:val="ONUMFS"/>
        <w:rPr>
          <w:lang w:val="es-ES_tradnl"/>
        </w:rPr>
      </w:pPr>
      <w:r w:rsidRPr="0095299F">
        <w:rPr>
          <w:lang w:val="es-ES_tradnl"/>
        </w:rPr>
        <w:t>De conformidad con la Regla 4.3) del Reglamento Común, la Administración Competente mencionada en el párrafo 4 pondrá a disposición información sobre los procedimientos vigentes en su territorio para la impugnación y la observancia de derechos sobre las denominaciones de origen y las indicaciones geográficas.</w:t>
      </w:r>
      <w:r w:rsidR="004F1708" w:rsidRPr="0095299F">
        <w:rPr>
          <w:lang w:val="es-ES_tradnl"/>
        </w:rPr>
        <w:t xml:space="preserve"> </w:t>
      </w:r>
      <w:r w:rsidRPr="0095299F">
        <w:rPr>
          <w:lang w:val="es-ES_tradnl"/>
        </w:rPr>
        <w:t xml:space="preserve">Esa información se publicará en </w:t>
      </w:r>
      <w:hyperlink r:id="rId10" w:history="1">
        <w:r w:rsidRPr="0095299F">
          <w:rPr>
            <w:rStyle w:val="Hyperlink"/>
            <w:lang w:val="es-ES_tradnl"/>
          </w:rPr>
          <w:t>https://www.wipo.int/lisbon/es/applicable_procedures.html</w:t>
        </w:r>
      </w:hyperlink>
      <w:r w:rsidRPr="0095299F">
        <w:rPr>
          <w:lang w:val="es-ES_tradnl"/>
        </w:rPr>
        <w:t>.</w:t>
      </w:r>
      <w:r w:rsidR="004F1708" w:rsidRPr="0095299F">
        <w:rPr>
          <w:lang w:val="es-ES_tradnl"/>
        </w:rPr>
        <w:t xml:space="preserve"> </w:t>
      </w:r>
    </w:p>
    <w:p w14:paraId="3B4B0CE3" w14:textId="23F118AB" w:rsidR="00426F4C" w:rsidRPr="0095299F" w:rsidRDefault="00667411" w:rsidP="00667411">
      <w:pPr>
        <w:pStyle w:val="ONUMFS"/>
        <w:spacing w:after="0"/>
        <w:rPr>
          <w:lang w:val="es-ES_tradnl"/>
        </w:rPr>
      </w:pPr>
      <w:r w:rsidRPr="0095299F">
        <w:rPr>
          <w:lang w:val="es-ES_tradnl"/>
        </w:rPr>
        <w:t>El Acta de Ginebra del Arreglo de Lisboa entrará en vigor, con respecto a la República de Cabo Verde, el 6 de julio de 2022.</w:t>
      </w:r>
    </w:p>
    <w:p w14:paraId="407E1481" w14:textId="55E6C0AB" w:rsidR="004F1708" w:rsidRPr="0095299F" w:rsidRDefault="00E5201F" w:rsidP="00D67D3E">
      <w:pPr>
        <w:spacing w:before="720"/>
        <w:ind w:left="5530"/>
        <w:rPr>
          <w:szCs w:val="22"/>
          <w:lang w:val="es-ES_tradnl"/>
        </w:rPr>
      </w:pPr>
      <w:r>
        <w:rPr>
          <w:szCs w:val="22"/>
          <w:lang w:val="es-ES_tradnl"/>
        </w:rPr>
        <w:t>12</w:t>
      </w:r>
      <w:r w:rsidR="00667411" w:rsidRPr="0095299F">
        <w:rPr>
          <w:szCs w:val="22"/>
          <w:lang w:val="es-ES_tradnl"/>
        </w:rPr>
        <w:t xml:space="preserve"> de mayo de 2022</w:t>
      </w:r>
    </w:p>
    <w:sectPr w:rsidR="004F1708" w:rsidRPr="0095299F" w:rsidSect="00FB25C8">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CA837" w14:textId="77777777" w:rsidR="00DA408D" w:rsidRDefault="00DA408D">
      <w:r>
        <w:separator/>
      </w:r>
    </w:p>
  </w:endnote>
  <w:endnote w:type="continuationSeparator" w:id="0">
    <w:p w14:paraId="7928F18A" w14:textId="77777777" w:rsidR="00DA408D" w:rsidRPr="009D30E6" w:rsidRDefault="00DA408D" w:rsidP="00D45252">
      <w:pPr>
        <w:rPr>
          <w:sz w:val="17"/>
          <w:szCs w:val="17"/>
        </w:rPr>
      </w:pPr>
      <w:r w:rsidRPr="009D30E6">
        <w:rPr>
          <w:sz w:val="17"/>
          <w:szCs w:val="17"/>
        </w:rPr>
        <w:separator/>
      </w:r>
    </w:p>
    <w:p w14:paraId="32C74394" w14:textId="77777777" w:rsidR="00DA408D" w:rsidRPr="009D30E6" w:rsidRDefault="00DA408D" w:rsidP="00D45252">
      <w:pPr>
        <w:spacing w:after="60"/>
        <w:rPr>
          <w:sz w:val="17"/>
          <w:szCs w:val="17"/>
        </w:rPr>
      </w:pPr>
      <w:r w:rsidRPr="009D30E6">
        <w:rPr>
          <w:sz w:val="17"/>
          <w:szCs w:val="17"/>
        </w:rPr>
        <w:t>[Suite de la note de la page précédente]</w:t>
      </w:r>
    </w:p>
  </w:endnote>
  <w:endnote w:type="continuationNotice" w:id="1">
    <w:p w14:paraId="207F013E" w14:textId="77777777" w:rsidR="00DA408D" w:rsidRPr="009D30E6" w:rsidRDefault="00DA408D"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62312" w14:textId="77777777" w:rsidR="00E5201F" w:rsidRDefault="00E52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0D41" w14:textId="77777777" w:rsidR="00E5201F" w:rsidRDefault="00E52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2A29C" w14:textId="77777777" w:rsidR="00E5201F" w:rsidRDefault="00E52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A0EA3" w14:textId="77777777" w:rsidR="00DA408D" w:rsidRDefault="00DA408D">
      <w:r>
        <w:separator/>
      </w:r>
    </w:p>
  </w:footnote>
  <w:footnote w:type="continuationSeparator" w:id="0">
    <w:p w14:paraId="77FDE682" w14:textId="77777777" w:rsidR="00DA408D" w:rsidRDefault="00DA408D" w:rsidP="007461F1">
      <w:r>
        <w:separator/>
      </w:r>
    </w:p>
    <w:p w14:paraId="6280F8B8" w14:textId="77777777" w:rsidR="00DA408D" w:rsidRPr="009D30E6" w:rsidRDefault="00DA408D" w:rsidP="007461F1">
      <w:pPr>
        <w:spacing w:after="60"/>
        <w:rPr>
          <w:sz w:val="17"/>
          <w:szCs w:val="17"/>
        </w:rPr>
      </w:pPr>
      <w:r w:rsidRPr="009D30E6">
        <w:rPr>
          <w:sz w:val="17"/>
          <w:szCs w:val="17"/>
        </w:rPr>
        <w:t>[Suite de la note de la page précédente]</w:t>
      </w:r>
    </w:p>
  </w:footnote>
  <w:footnote w:type="continuationNotice" w:id="1">
    <w:p w14:paraId="10D6ECA0" w14:textId="77777777" w:rsidR="00DA408D" w:rsidRPr="009D30E6" w:rsidRDefault="00DA408D"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4C95B" w14:textId="47D37FF4" w:rsidR="00830E45" w:rsidRPr="0095299F" w:rsidRDefault="00830E45" w:rsidP="00830E45">
    <w:pPr>
      <w:jc w:val="right"/>
      <w:rPr>
        <w:lang w:val="es-ES_tradnl"/>
      </w:rPr>
    </w:pPr>
    <w:r w:rsidRPr="0095299F">
      <w:rPr>
        <w:lang w:val="es-ES_tradnl"/>
      </w:rPr>
      <w:t>p</w:t>
    </w:r>
    <w:r w:rsidR="0095299F" w:rsidRPr="0095299F">
      <w:rPr>
        <w:lang w:val="es-ES_tradnl"/>
      </w:rPr>
      <w:t>ágina</w:t>
    </w:r>
    <w:r w:rsidRPr="0095299F">
      <w:rPr>
        <w:lang w:val="es-ES_tradnl"/>
      </w:rPr>
      <w:t xml:space="preserve"> </w:t>
    </w:r>
    <w:r w:rsidRPr="0095299F">
      <w:rPr>
        <w:lang w:val="es-ES_tradnl"/>
      </w:rPr>
      <w:fldChar w:fldCharType="begin"/>
    </w:r>
    <w:r w:rsidRPr="0095299F">
      <w:rPr>
        <w:lang w:val="es-ES_tradnl"/>
      </w:rPr>
      <w:instrText xml:space="preserve"> PAGE  \* MERGEFORMAT </w:instrText>
    </w:r>
    <w:r w:rsidRPr="0095299F">
      <w:rPr>
        <w:lang w:val="es-ES_tradnl"/>
      </w:rPr>
      <w:fldChar w:fldCharType="separate"/>
    </w:r>
    <w:r w:rsidR="00227872">
      <w:rPr>
        <w:noProof/>
        <w:lang w:val="es-ES_tradnl"/>
      </w:rPr>
      <w:t>2</w:t>
    </w:r>
    <w:r w:rsidRPr="0095299F">
      <w:rPr>
        <w:lang w:val="es-ES_tradnl"/>
      </w:rPr>
      <w:fldChar w:fldCharType="end"/>
    </w:r>
  </w:p>
  <w:p w14:paraId="614D6A4B" w14:textId="77777777" w:rsidR="00830E45" w:rsidRPr="0095299F" w:rsidRDefault="00830E45" w:rsidP="00830E45">
    <w:pPr>
      <w:jc w:val="right"/>
      <w:rPr>
        <w:lang w:val="es-ES_tradnl"/>
      </w:rPr>
    </w:pPr>
  </w:p>
  <w:p w14:paraId="71F3AEF6" w14:textId="77777777" w:rsidR="00F71467" w:rsidRPr="0095299F" w:rsidRDefault="00F71467" w:rsidP="00830E45">
    <w:pPr>
      <w:jc w:val="right"/>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7C560" w14:textId="77777777" w:rsidR="001A646F" w:rsidRDefault="001A646F" w:rsidP="00477D6B">
    <w:pPr>
      <w:jc w:val="right"/>
    </w:pPr>
  </w:p>
  <w:p w14:paraId="57BBA3FA" w14:textId="2E0AD215" w:rsidR="001A646F" w:rsidRDefault="00667411" w:rsidP="00667411">
    <w:pPr>
      <w:jc w:val="right"/>
    </w:pPr>
    <w:r w:rsidRPr="00667411">
      <w:rPr>
        <w:lang w:val="es-ES_tradnl"/>
      </w:rPr>
      <w:t>página</w:t>
    </w:r>
    <w:r w:rsidR="001A646F">
      <w:t xml:space="preserve"> </w:t>
    </w:r>
    <w:r w:rsidR="001A646F">
      <w:fldChar w:fldCharType="begin"/>
    </w:r>
    <w:r w:rsidR="001A646F">
      <w:instrText xml:space="preserve"> PAGE  \* MERGEFORMAT </w:instrText>
    </w:r>
    <w:r w:rsidR="001A646F">
      <w:fldChar w:fldCharType="separate"/>
    </w:r>
    <w:r>
      <w:rPr>
        <w:noProof/>
      </w:rPr>
      <w:t>3</w:t>
    </w:r>
    <w:r w:rsidR="001A646F">
      <w:fldChar w:fldCharType="end"/>
    </w:r>
  </w:p>
  <w:p w14:paraId="548E9F30" w14:textId="77777777" w:rsidR="001A646F" w:rsidRDefault="001A646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0B7F8" w14:textId="77777777" w:rsidR="00E5201F" w:rsidRDefault="00E52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425E97"/>
    <w:multiLevelType w:val="hybridMultilevel"/>
    <w:tmpl w:val="DBD64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Brands, Designs &amp; DN\L Instruments|TextBase TMs\WorkspaceSTS\Brands, Designs &amp; DN\Lisbon|TextBase TMs\WorkspaceSTS\Brands, Designs &amp; DN\Hague|TextBase TMs\WorkspaceSTS\Brands, Designs &amp; DN\H Instruments|TextBase TMs\WorkspaceSTS\Outreach\POW Main|TextBase TMs\WorkspaceSTS\Administration &amp; Finance\FAB Main|TextBase TMs\WorkspaceSTS\Brands, Designs &amp; DN\Arb_Med_Center|TextBase TMs\WorkspaceSTS\Brands, Designs &amp; DN\H Instruments|TextBase TMs\WorkspaceSTS\Brands, Designs &amp; DN\Hague|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GRTKF\GRTKF New|TextBase TMs\WorkspaceSTS\Outreach\Economist|TextBase TMs\WorkspaceSTS\Outreach\IP Advantage|TextBase TMs\WorkspaceSTS\Outreach\POW Main|TextBase TMs\WorkspaceSTS\Outreach\POW Main New|TextBase TMs\WorkspaceSTS\Patents &amp; Innovation\P Instruments|TextBase TMs\WorkspaceSTS\Patents &amp; Innovation\Patents Main|TextBase TMs\WorkspaceSTS\UPOV\UPOV Main|Team Server TMs\Spanish"/>
    <w:docVar w:name="TextBaseURL" w:val="empty"/>
    <w:docVar w:name="UILng" w:val="en"/>
  </w:docVars>
  <w:rsids>
    <w:rsidRoot w:val="00BE3DF8"/>
    <w:rsid w:val="000000FA"/>
    <w:rsid w:val="000109FB"/>
    <w:rsid w:val="00011B7D"/>
    <w:rsid w:val="00041C5B"/>
    <w:rsid w:val="00075432"/>
    <w:rsid w:val="000B540D"/>
    <w:rsid w:val="000B6C97"/>
    <w:rsid w:val="000C19D2"/>
    <w:rsid w:val="000C41C7"/>
    <w:rsid w:val="000C480D"/>
    <w:rsid w:val="000D2CF7"/>
    <w:rsid w:val="000D7B40"/>
    <w:rsid w:val="000E5A05"/>
    <w:rsid w:val="000F5E56"/>
    <w:rsid w:val="000F7495"/>
    <w:rsid w:val="001313A9"/>
    <w:rsid w:val="001362EE"/>
    <w:rsid w:val="00157820"/>
    <w:rsid w:val="00157D86"/>
    <w:rsid w:val="00170A28"/>
    <w:rsid w:val="001739D3"/>
    <w:rsid w:val="00177A48"/>
    <w:rsid w:val="001832A6"/>
    <w:rsid w:val="0018385C"/>
    <w:rsid w:val="00187452"/>
    <w:rsid w:val="00195C6E"/>
    <w:rsid w:val="001A646F"/>
    <w:rsid w:val="001B266A"/>
    <w:rsid w:val="001C20A0"/>
    <w:rsid w:val="001C3B1B"/>
    <w:rsid w:val="001D3D56"/>
    <w:rsid w:val="001D74CD"/>
    <w:rsid w:val="002004C4"/>
    <w:rsid w:val="00202977"/>
    <w:rsid w:val="002118B5"/>
    <w:rsid w:val="00227872"/>
    <w:rsid w:val="00240654"/>
    <w:rsid w:val="00242CC7"/>
    <w:rsid w:val="002465CD"/>
    <w:rsid w:val="002634C4"/>
    <w:rsid w:val="00263F10"/>
    <w:rsid w:val="00283278"/>
    <w:rsid w:val="002A5967"/>
    <w:rsid w:val="002A7703"/>
    <w:rsid w:val="002B4BD8"/>
    <w:rsid w:val="002D37A3"/>
    <w:rsid w:val="002E4D1A"/>
    <w:rsid w:val="002F16BC"/>
    <w:rsid w:val="002F45C8"/>
    <w:rsid w:val="002F4E68"/>
    <w:rsid w:val="002F79B0"/>
    <w:rsid w:val="00310EE3"/>
    <w:rsid w:val="00312350"/>
    <w:rsid w:val="00312C13"/>
    <w:rsid w:val="00337CC2"/>
    <w:rsid w:val="003404CC"/>
    <w:rsid w:val="0034584D"/>
    <w:rsid w:val="00350042"/>
    <w:rsid w:val="00360AFF"/>
    <w:rsid w:val="003628A4"/>
    <w:rsid w:val="003650C4"/>
    <w:rsid w:val="003815EC"/>
    <w:rsid w:val="0038447C"/>
    <w:rsid w:val="003845C1"/>
    <w:rsid w:val="00393AC4"/>
    <w:rsid w:val="003C0529"/>
    <w:rsid w:val="003C53D0"/>
    <w:rsid w:val="004008A2"/>
    <w:rsid w:val="004025DF"/>
    <w:rsid w:val="00413982"/>
    <w:rsid w:val="004144EC"/>
    <w:rsid w:val="004175AB"/>
    <w:rsid w:val="00423E3E"/>
    <w:rsid w:val="00426F4C"/>
    <w:rsid w:val="00427A98"/>
    <w:rsid w:val="00427AF4"/>
    <w:rsid w:val="00445EEC"/>
    <w:rsid w:val="004641F8"/>
    <w:rsid w:val="004647DA"/>
    <w:rsid w:val="00477D6B"/>
    <w:rsid w:val="00491E5C"/>
    <w:rsid w:val="00492CAE"/>
    <w:rsid w:val="004A0895"/>
    <w:rsid w:val="004A12E1"/>
    <w:rsid w:val="004B6189"/>
    <w:rsid w:val="004C4CE6"/>
    <w:rsid w:val="004D6471"/>
    <w:rsid w:val="004E4EE4"/>
    <w:rsid w:val="004F09C3"/>
    <w:rsid w:val="004F1708"/>
    <w:rsid w:val="004F5D04"/>
    <w:rsid w:val="00500163"/>
    <w:rsid w:val="00524052"/>
    <w:rsid w:val="00525B63"/>
    <w:rsid w:val="00527677"/>
    <w:rsid w:val="00532696"/>
    <w:rsid w:val="005411D9"/>
    <w:rsid w:val="00557F9C"/>
    <w:rsid w:val="00565C0E"/>
    <w:rsid w:val="00567A4C"/>
    <w:rsid w:val="005700BB"/>
    <w:rsid w:val="00591130"/>
    <w:rsid w:val="00595F07"/>
    <w:rsid w:val="00597185"/>
    <w:rsid w:val="005A5CFC"/>
    <w:rsid w:val="005B21D8"/>
    <w:rsid w:val="005B4647"/>
    <w:rsid w:val="005B55CF"/>
    <w:rsid w:val="005C60A1"/>
    <w:rsid w:val="005D1330"/>
    <w:rsid w:val="005E6516"/>
    <w:rsid w:val="005F5AC8"/>
    <w:rsid w:val="005F735F"/>
    <w:rsid w:val="00605827"/>
    <w:rsid w:val="0061350D"/>
    <w:rsid w:val="006236DE"/>
    <w:rsid w:val="00626D08"/>
    <w:rsid w:val="00633B55"/>
    <w:rsid w:val="00640857"/>
    <w:rsid w:val="00667411"/>
    <w:rsid w:val="00674188"/>
    <w:rsid w:val="00674551"/>
    <w:rsid w:val="00685FF9"/>
    <w:rsid w:val="00691415"/>
    <w:rsid w:val="006966BD"/>
    <w:rsid w:val="006A2593"/>
    <w:rsid w:val="006B0DB5"/>
    <w:rsid w:val="006B351A"/>
    <w:rsid w:val="006C037B"/>
    <w:rsid w:val="006C515F"/>
    <w:rsid w:val="006C6E2F"/>
    <w:rsid w:val="006D79DE"/>
    <w:rsid w:val="006F24B5"/>
    <w:rsid w:val="0070121A"/>
    <w:rsid w:val="00707847"/>
    <w:rsid w:val="007118A0"/>
    <w:rsid w:val="007220BA"/>
    <w:rsid w:val="007359E6"/>
    <w:rsid w:val="00740CCA"/>
    <w:rsid w:val="007461F1"/>
    <w:rsid w:val="00762940"/>
    <w:rsid w:val="00762DE5"/>
    <w:rsid w:val="00774B14"/>
    <w:rsid w:val="00785717"/>
    <w:rsid w:val="007B3938"/>
    <w:rsid w:val="007B5461"/>
    <w:rsid w:val="007C2D86"/>
    <w:rsid w:val="007D6961"/>
    <w:rsid w:val="007E1A06"/>
    <w:rsid w:val="007E6D51"/>
    <w:rsid w:val="007F07CB"/>
    <w:rsid w:val="007F2994"/>
    <w:rsid w:val="008057F6"/>
    <w:rsid w:val="00807877"/>
    <w:rsid w:val="00810A10"/>
    <w:rsid w:val="00810CEF"/>
    <w:rsid w:val="00810FAD"/>
    <w:rsid w:val="0081208D"/>
    <w:rsid w:val="00825277"/>
    <w:rsid w:val="00830E45"/>
    <w:rsid w:val="00840684"/>
    <w:rsid w:val="00841B8C"/>
    <w:rsid w:val="00842A08"/>
    <w:rsid w:val="0084645E"/>
    <w:rsid w:val="00860485"/>
    <w:rsid w:val="0086074E"/>
    <w:rsid w:val="00863705"/>
    <w:rsid w:val="008823E6"/>
    <w:rsid w:val="00887901"/>
    <w:rsid w:val="008B0556"/>
    <w:rsid w:val="008B2CC1"/>
    <w:rsid w:val="008B67CF"/>
    <w:rsid w:val="008E7930"/>
    <w:rsid w:val="008F1912"/>
    <w:rsid w:val="008F60E7"/>
    <w:rsid w:val="0090731E"/>
    <w:rsid w:val="00932CC4"/>
    <w:rsid w:val="009436C7"/>
    <w:rsid w:val="00951A60"/>
    <w:rsid w:val="0095299F"/>
    <w:rsid w:val="00957D19"/>
    <w:rsid w:val="009614F2"/>
    <w:rsid w:val="00966A22"/>
    <w:rsid w:val="00974CD6"/>
    <w:rsid w:val="009869FF"/>
    <w:rsid w:val="009925B7"/>
    <w:rsid w:val="00993C1E"/>
    <w:rsid w:val="009B1323"/>
    <w:rsid w:val="009C4F51"/>
    <w:rsid w:val="009D30E6"/>
    <w:rsid w:val="009E001C"/>
    <w:rsid w:val="009E3F6F"/>
    <w:rsid w:val="009F499F"/>
    <w:rsid w:val="00A02A08"/>
    <w:rsid w:val="00A5108B"/>
    <w:rsid w:val="00A7203D"/>
    <w:rsid w:val="00A83F41"/>
    <w:rsid w:val="00A87FFD"/>
    <w:rsid w:val="00A9115B"/>
    <w:rsid w:val="00A92142"/>
    <w:rsid w:val="00A94EA1"/>
    <w:rsid w:val="00AA7907"/>
    <w:rsid w:val="00AB08B5"/>
    <w:rsid w:val="00AB2701"/>
    <w:rsid w:val="00AC0AE4"/>
    <w:rsid w:val="00AD297D"/>
    <w:rsid w:val="00AD61DB"/>
    <w:rsid w:val="00AF1C6C"/>
    <w:rsid w:val="00AF4F51"/>
    <w:rsid w:val="00B14AE3"/>
    <w:rsid w:val="00B4032F"/>
    <w:rsid w:val="00B42D20"/>
    <w:rsid w:val="00B53D68"/>
    <w:rsid w:val="00B57988"/>
    <w:rsid w:val="00B62C4D"/>
    <w:rsid w:val="00B63DF5"/>
    <w:rsid w:val="00B64AAD"/>
    <w:rsid w:val="00B84C3F"/>
    <w:rsid w:val="00BA576F"/>
    <w:rsid w:val="00BB328D"/>
    <w:rsid w:val="00BC65E5"/>
    <w:rsid w:val="00BE3DF8"/>
    <w:rsid w:val="00BE6E18"/>
    <w:rsid w:val="00C00FD3"/>
    <w:rsid w:val="00C408DA"/>
    <w:rsid w:val="00C664C8"/>
    <w:rsid w:val="00C741BC"/>
    <w:rsid w:val="00C86BFD"/>
    <w:rsid w:val="00C97941"/>
    <w:rsid w:val="00CA6130"/>
    <w:rsid w:val="00CB4283"/>
    <w:rsid w:val="00CB5121"/>
    <w:rsid w:val="00CF00C6"/>
    <w:rsid w:val="00CF00E0"/>
    <w:rsid w:val="00CF0460"/>
    <w:rsid w:val="00D106F6"/>
    <w:rsid w:val="00D11791"/>
    <w:rsid w:val="00D13CF2"/>
    <w:rsid w:val="00D16C22"/>
    <w:rsid w:val="00D35FD4"/>
    <w:rsid w:val="00D415F9"/>
    <w:rsid w:val="00D43E0F"/>
    <w:rsid w:val="00D45252"/>
    <w:rsid w:val="00D462FA"/>
    <w:rsid w:val="00D562DE"/>
    <w:rsid w:val="00D56B8D"/>
    <w:rsid w:val="00D67D3E"/>
    <w:rsid w:val="00D71000"/>
    <w:rsid w:val="00D71B4D"/>
    <w:rsid w:val="00D75C1E"/>
    <w:rsid w:val="00D8400E"/>
    <w:rsid w:val="00D93D55"/>
    <w:rsid w:val="00D96680"/>
    <w:rsid w:val="00DA11A5"/>
    <w:rsid w:val="00DA3EE7"/>
    <w:rsid w:val="00DA408D"/>
    <w:rsid w:val="00DC6164"/>
    <w:rsid w:val="00DD6A16"/>
    <w:rsid w:val="00E0091A"/>
    <w:rsid w:val="00E05767"/>
    <w:rsid w:val="00E1460A"/>
    <w:rsid w:val="00E16963"/>
    <w:rsid w:val="00E203AA"/>
    <w:rsid w:val="00E23D73"/>
    <w:rsid w:val="00E34318"/>
    <w:rsid w:val="00E34C5C"/>
    <w:rsid w:val="00E362D4"/>
    <w:rsid w:val="00E44F10"/>
    <w:rsid w:val="00E515E6"/>
    <w:rsid w:val="00E5201F"/>
    <w:rsid w:val="00E527A5"/>
    <w:rsid w:val="00E55B2D"/>
    <w:rsid w:val="00E62580"/>
    <w:rsid w:val="00E647DC"/>
    <w:rsid w:val="00E745B3"/>
    <w:rsid w:val="00E74646"/>
    <w:rsid w:val="00E76456"/>
    <w:rsid w:val="00E83692"/>
    <w:rsid w:val="00E854EB"/>
    <w:rsid w:val="00E92ED3"/>
    <w:rsid w:val="00EA2F18"/>
    <w:rsid w:val="00EA37E7"/>
    <w:rsid w:val="00EB22BE"/>
    <w:rsid w:val="00EC035F"/>
    <w:rsid w:val="00EC1F14"/>
    <w:rsid w:val="00EC3953"/>
    <w:rsid w:val="00ED1760"/>
    <w:rsid w:val="00ED3882"/>
    <w:rsid w:val="00EE36DB"/>
    <w:rsid w:val="00EE71CB"/>
    <w:rsid w:val="00EF06D1"/>
    <w:rsid w:val="00F1623C"/>
    <w:rsid w:val="00F16314"/>
    <w:rsid w:val="00F16975"/>
    <w:rsid w:val="00F22DC8"/>
    <w:rsid w:val="00F46AF9"/>
    <w:rsid w:val="00F4775A"/>
    <w:rsid w:val="00F63A5F"/>
    <w:rsid w:val="00F64BF1"/>
    <w:rsid w:val="00F66152"/>
    <w:rsid w:val="00F71467"/>
    <w:rsid w:val="00F71E3E"/>
    <w:rsid w:val="00F82E5E"/>
    <w:rsid w:val="00FA0C38"/>
    <w:rsid w:val="00FA2E4F"/>
    <w:rsid w:val="00FB25C8"/>
    <w:rsid w:val="00FD1DD6"/>
    <w:rsid w:val="00FD5109"/>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98B9D38"/>
  <w15:docId w15:val="{A53CD247-B5ED-4B5D-8892-DC297A15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74E"/>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BE3DF8"/>
    <w:rPr>
      <w:color w:val="0563C1"/>
      <w:u w:val="single"/>
    </w:rPr>
  </w:style>
  <w:style w:type="character" w:styleId="FollowedHyperlink">
    <w:name w:val="FollowedHyperlink"/>
    <w:basedOn w:val="DefaultParagraphFont"/>
    <w:semiHidden/>
    <w:unhideWhenUsed/>
    <w:rsid w:val="00830E45"/>
    <w:rPr>
      <w:color w:val="800080" w:themeColor="followedHyperlink"/>
      <w:u w:val="single"/>
    </w:rPr>
  </w:style>
  <w:style w:type="paragraph" w:styleId="BalloonText">
    <w:name w:val="Balloon Text"/>
    <w:basedOn w:val="Normal"/>
    <w:link w:val="BalloonTextChar"/>
    <w:semiHidden/>
    <w:unhideWhenUsed/>
    <w:rsid w:val="00DA3EE7"/>
    <w:rPr>
      <w:rFonts w:ascii="Segoe UI" w:hAnsi="Segoe UI" w:cs="Segoe UI"/>
      <w:sz w:val="18"/>
      <w:szCs w:val="18"/>
    </w:rPr>
  </w:style>
  <w:style w:type="character" w:customStyle="1" w:styleId="BalloonTextChar">
    <w:name w:val="Balloon Text Char"/>
    <w:basedOn w:val="DefaultParagraphFont"/>
    <w:link w:val="BalloonText"/>
    <w:semiHidden/>
    <w:rsid w:val="00DA3EE7"/>
    <w:rPr>
      <w:rFonts w:ascii="Segoe UI" w:eastAsia="SimSun" w:hAnsi="Segoe UI" w:cs="Segoe UI"/>
      <w:sz w:val="18"/>
      <w:szCs w:val="18"/>
      <w:lang w:val="fr-CH" w:eastAsia="zh-CN"/>
    </w:rPr>
  </w:style>
  <w:style w:type="paragraph" w:styleId="ListParagraph">
    <w:name w:val="List Paragraph"/>
    <w:basedOn w:val="Normal"/>
    <w:uiPriority w:val="34"/>
    <w:qFormat/>
    <w:rsid w:val="00A87FFD"/>
    <w:pPr>
      <w:ind w:left="720"/>
      <w:contextualSpacing/>
    </w:pPr>
    <w:rPr>
      <w:rFonts w:ascii="Times New Roman" w:eastAsia="Times New Roman" w:hAnsi="Times New Roman" w:cs="Times New Roman"/>
      <w:sz w:val="24"/>
      <w:lang w:val="en-US" w:eastAsia="en-US"/>
    </w:rPr>
  </w:style>
  <w:style w:type="character" w:styleId="CommentReference">
    <w:name w:val="annotation reference"/>
    <w:basedOn w:val="DefaultParagraphFont"/>
    <w:semiHidden/>
    <w:unhideWhenUsed/>
    <w:rsid w:val="00527677"/>
    <w:rPr>
      <w:sz w:val="16"/>
      <w:szCs w:val="16"/>
    </w:rPr>
  </w:style>
  <w:style w:type="paragraph" w:styleId="CommentSubject">
    <w:name w:val="annotation subject"/>
    <w:basedOn w:val="CommentText"/>
    <w:next w:val="CommentText"/>
    <w:link w:val="CommentSubjectChar"/>
    <w:semiHidden/>
    <w:unhideWhenUsed/>
    <w:rsid w:val="00527677"/>
    <w:rPr>
      <w:b/>
      <w:bCs/>
      <w:sz w:val="20"/>
    </w:rPr>
  </w:style>
  <w:style w:type="character" w:customStyle="1" w:styleId="CommentTextChar">
    <w:name w:val="Comment Text Char"/>
    <w:basedOn w:val="DefaultParagraphFont"/>
    <w:link w:val="CommentText"/>
    <w:semiHidden/>
    <w:rsid w:val="00527677"/>
    <w:rPr>
      <w:rFonts w:ascii="Arial" w:eastAsia="SimSun" w:hAnsi="Arial" w:cs="Arial"/>
      <w:sz w:val="18"/>
      <w:lang w:val="fr-CH" w:eastAsia="zh-CN"/>
    </w:rPr>
  </w:style>
  <w:style w:type="character" w:customStyle="1" w:styleId="CommentSubjectChar">
    <w:name w:val="Comment Subject Char"/>
    <w:basedOn w:val="CommentTextChar"/>
    <w:link w:val="CommentSubject"/>
    <w:semiHidden/>
    <w:rsid w:val="00527677"/>
    <w:rPr>
      <w:rFonts w:ascii="Arial" w:eastAsia="SimSun" w:hAnsi="Arial" w:cs="Arial"/>
      <w:b/>
      <w:bCs/>
      <w:sz w:val="18"/>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ipo.int/lisbon/es/applicable_procedures.html" TargetMode="External"/><Relationship Id="rId4" Type="http://schemas.openxmlformats.org/officeDocument/2006/relationships/settings" Target="settings.xml"/><Relationship Id="rId9" Type="http://schemas.openxmlformats.org/officeDocument/2006/relationships/hyperlink" Target="mailto:geraligqpi@mice.gov.cv"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Office_Instruction%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4A54B-2F75-4FCA-83C6-F0A0AE00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Office_Instruction (E) Accessible</Template>
  <TotalTime>2</TotalTime>
  <Pages>2</Pages>
  <Words>534</Words>
  <Characters>2699</Characters>
  <Application>Microsoft Office Word</Application>
  <DocSecurity>0</DocSecurity>
  <Lines>52</Lines>
  <Paragraphs>18</Paragraphs>
  <ScaleCrop>false</ScaleCrop>
  <HeadingPairs>
    <vt:vector size="2" baseType="variant">
      <vt:variant>
        <vt:lpstr>Title</vt:lpstr>
      </vt:variant>
      <vt:variant>
        <vt:i4>1</vt:i4>
      </vt:variant>
    </vt:vector>
  </HeadingPairs>
  <TitlesOfParts>
    <vt:vector size="1" baseType="lpstr">
      <vt:lpstr>Lisbon Information Notice No. 2/2022</vt:lpstr>
    </vt:vector>
  </TitlesOfParts>
  <Company>WIPO</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2/2022</dc:title>
  <dc:subject/>
  <dc:creator>ROURE Cécile</dc:creator>
  <cp:keywords>FOR OFFICIAL USE ONLY</cp:keywords>
  <dc:description/>
  <cp:lastModifiedBy>ROJAL Florence</cp:lastModifiedBy>
  <cp:revision>5</cp:revision>
  <cp:lastPrinted>2022-05-12T14:33:00Z</cp:lastPrinted>
  <dcterms:created xsi:type="dcterms:W3CDTF">2022-05-12T14:27:00Z</dcterms:created>
  <dcterms:modified xsi:type="dcterms:W3CDTF">2022-05-12T14:34:00Z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dc472271-84cd-47a8-941a-b46c5ff90dfb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