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49FA2" w14:textId="1D906AA4" w:rsidR="00E515E6" w:rsidRPr="005509DF" w:rsidRDefault="00FB7AAF" w:rsidP="00FB7AAF">
      <w:pPr>
        <w:spacing w:before="240" w:after="960"/>
        <w:jc w:val="right"/>
        <w:rPr>
          <w:rFonts w:ascii="Arial Black" w:hAnsi="Arial Black"/>
          <w:caps/>
          <w:sz w:val="15"/>
          <w:lang w:val="es-419"/>
        </w:rPr>
      </w:pPr>
      <w:r w:rsidRPr="005509DF">
        <w:rPr>
          <w:noProof/>
          <w:szCs w:val="22"/>
          <w:lang w:val="en-US" w:eastAsia="en-US"/>
        </w:rPr>
        <w:drawing>
          <wp:anchor distT="0" distB="0" distL="114300" distR="114300" simplePos="0" relativeHeight="251660288" behindDoc="0" locked="0" layoutInCell="1" allowOverlap="1" wp14:anchorId="00699A7B" wp14:editId="25E538C5">
            <wp:simplePos x="0" y="0"/>
            <wp:positionH relativeFrom="column">
              <wp:posOffset>3053261</wp:posOffset>
            </wp:positionH>
            <wp:positionV relativeFrom="paragraph">
              <wp:posOffset>153761</wp:posOffset>
            </wp:positionV>
            <wp:extent cx="2060575" cy="1331912"/>
            <wp:effectExtent l="0" t="0" r="0" b="1905"/>
            <wp:wrapTopAndBottom/>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8">
                      <a:extLst>
                        <a:ext uri="{28A0092B-C50C-407E-A947-70E740481C1C}">
                          <a14:useLocalDpi xmlns:a14="http://schemas.microsoft.com/office/drawing/2010/main" val="0"/>
                        </a:ext>
                      </a:extLst>
                    </a:blip>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anchor>
        </w:drawing>
      </w:r>
      <w:r w:rsidR="00A7306C">
        <w:rPr>
          <w:rFonts w:ascii="Arial Black" w:hAnsi="Arial Black"/>
          <w:sz w:val="15"/>
          <w:lang w:val="es-419"/>
        </w:rPr>
        <w:t>AVISO</w:t>
      </w:r>
      <w:r w:rsidRPr="005509DF">
        <w:rPr>
          <w:rFonts w:ascii="Arial Black" w:hAnsi="Arial Black"/>
          <w:sz w:val="15"/>
          <w:lang w:val="es-419"/>
        </w:rPr>
        <w:t xml:space="preserve"> </w:t>
      </w:r>
      <w:r w:rsidR="005509DF">
        <w:rPr>
          <w:rFonts w:ascii="Arial Black" w:hAnsi="Arial Black"/>
          <w:sz w:val="15"/>
          <w:lang w:val="es-419"/>
        </w:rPr>
        <w:t>N</w:t>
      </w:r>
      <w:r w:rsidRPr="005509DF">
        <w:rPr>
          <w:rFonts w:ascii="Arial Black" w:hAnsi="Arial Black"/>
          <w:sz w:val="15"/>
          <w:lang w:val="es-419"/>
        </w:rPr>
        <w:t>.</w:t>
      </w:r>
      <w:r w:rsidR="00091DFB">
        <w:rPr>
          <w:rFonts w:ascii="Arial Black" w:hAnsi="Arial Black"/>
          <w:caps/>
          <w:sz w:val="15"/>
          <w:lang w:val="es-419"/>
        </w:rPr>
        <w:t xml:space="preserve">º </w:t>
      </w:r>
      <w:r w:rsidR="00CE46C2">
        <w:rPr>
          <w:rFonts w:ascii="Arial Black" w:hAnsi="Arial Black"/>
          <w:caps/>
          <w:sz w:val="15"/>
          <w:lang w:val="es-419"/>
        </w:rPr>
        <w:t>4</w:t>
      </w:r>
      <w:r w:rsidRPr="005509DF">
        <w:rPr>
          <w:rFonts w:ascii="Arial Black" w:hAnsi="Arial Black"/>
          <w:caps/>
          <w:sz w:val="15"/>
          <w:lang w:val="es-419"/>
        </w:rPr>
        <w:t>/2023</w:t>
      </w:r>
    </w:p>
    <w:p w14:paraId="3CF4E8B4" w14:textId="77777777" w:rsidR="00BE3DF8" w:rsidRPr="005509DF" w:rsidRDefault="00BE3DF8" w:rsidP="00FB7AAF">
      <w:pPr>
        <w:spacing w:after="360"/>
        <w:rPr>
          <w:b/>
          <w:sz w:val="28"/>
          <w:szCs w:val="28"/>
          <w:lang w:val="es-419"/>
        </w:rPr>
      </w:pPr>
      <w:bookmarkStart w:id="0" w:name="Original"/>
      <w:bookmarkEnd w:id="0"/>
      <w:r w:rsidRPr="005509DF">
        <w:rPr>
          <w:b/>
          <w:sz w:val="28"/>
          <w:lang w:val="es-419"/>
        </w:rPr>
        <w:t>Acta de Ginebra del Arreglo de Lisboa relativo a las Denominaciones de Origen y las Indicaciones Geográficas</w:t>
      </w:r>
    </w:p>
    <w:p w14:paraId="1A900C9F" w14:textId="2264BD78" w:rsidR="004F1708" w:rsidRPr="005509DF" w:rsidRDefault="004F1708" w:rsidP="004F1708">
      <w:pPr>
        <w:spacing w:before="720" w:after="360"/>
        <w:rPr>
          <w:b/>
          <w:bCs/>
          <w:sz w:val="24"/>
          <w:szCs w:val="24"/>
          <w:lang w:val="es-419"/>
        </w:rPr>
      </w:pPr>
      <w:r w:rsidRPr="005509DF">
        <w:rPr>
          <w:b/>
          <w:noProof/>
          <w:sz w:val="24"/>
          <w:lang w:val="en-US" w:eastAsia="en-US"/>
        </w:rPr>
        <mc:AlternateContent>
          <mc:Choice Requires="wps">
            <w:drawing>
              <wp:anchor distT="0" distB="0" distL="114300" distR="114300" simplePos="0" relativeHeight="251659264" behindDoc="1" locked="1" layoutInCell="0" allowOverlap="1" wp14:anchorId="06F295A4" wp14:editId="5C91A943">
                <wp:simplePos x="0" y="0"/>
                <wp:positionH relativeFrom="margin">
                  <wp:posOffset>0</wp:posOffset>
                </wp:positionH>
                <wp:positionV relativeFrom="margin">
                  <wp:posOffset>1517015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EC6DB"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9.45pt" to="481.9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" o:allowincell="f" strokeweight=".5pt">
                <w10:wrap anchorx="margin" anchory="margin"/>
                <w10:anchorlock/>
              </v:line>
            </w:pict>
          </mc:Fallback>
        </mc:AlternateContent>
      </w:r>
      <w:r w:rsidR="006431BE">
        <w:rPr>
          <w:b/>
          <w:sz w:val="24"/>
          <w:lang w:val="es-419"/>
        </w:rPr>
        <w:t xml:space="preserve">Reducción de las tasas </w:t>
      </w:r>
      <w:r w:rsidR="004D2A21">
        <w:rPr>
          <w:b/>
          <w:sz w:val="24"/>
          <w:lang w:val="es-419"/>
        </w:rPr>
        <w:t xml:space="preserve">con respecto a </w:t>
      </w:r>
      <w:r w:rsidRPr="005509DF">
        <w:rPr>
          <w:b/>
          <w:sz w:val="24"/>
          <w:lang w:val="es-419"/>
        </w:rPr>
        <w:t xml:space="preserve">los países menos adelantados </w:t>
      </w:r>
      <w:r w:rsidR="0097101D">
        <w:rPr>
          <w:b/>
          <w:sz w:val="24"/>
          <w:lang w:val="es-419"/>
        </w:rPr>
        <w:t>(PMA)</w:t>
      </w:r>
    </w:p>
    <w:p w14:paraId="6359F8B0" w14:textId="36EFCAE5" w:rsidR="0029408B" w:rsidRPr="005509DF" w:rsidRDefault="0029408B" w:rsidP="0029408B">
      <w:pPr>
        <w:spacing w:before="720"/>
        <w:contextualSpacing/>
        <w:rPr>
          <w:lang w:val="es-419"/>
        </w:rPr>
      </w:pPr>
      <w:r w:rsidRPr="005509DF">
        <w:rPr>
          <w:lang w:val="es-419"/>
        </w:rPr>
        <w:fldChar w:fldCharType="begin"/>
      </w:r>
      <w:r w:rsidRPr="005509DF">
        <w:rPr>
          <w:lang w:val="es-419"/>
        </w:rPr>
        <w:instrText xml:space="preserve"> AUTONUM  </w:instrText>
      </w:r>
      <w:r w:rsidRPr="005509DF">
        <w:rPr>
          <w:lang w:val="es-419"/>
        </w:rPr>
        <w:fldChar w:fldCharType="end"/>
      </w:r>
      <w:r w:rsidRPr="005509DF">
        <w:rPr>
          <w:lang w:val="es-419"/>
        </w:rPr>
        <w:tab/>
        <w:t xml:space="preserve">En su trigésimo quinto período de sesiones (13.º extraordinario), celebrado en Ginebra del 24 de septiembre al 2 de octubre de 2018, la Asamblea de la </w:t>
      </w:r>
      <w:r w:rsidR="00166863" w:rsidRPr="005509DF">
        <w:rPr>
          <w:lang w:val="es-419"/>
        </w:rPr>
        <w:t>Unión</w:t>
      </w:r>
      <w:r w:rsidRPr="005509DF">
        <w:rPr>
          <w:lang w:val="es-419"/>
        </w:rPr>
        <w:t xml:space="preserve"> de Lisboa</w:t>
      </w:r>
      <w:r w:rsidR="00835650" w:rsidRPr="005509DF">
        <w:rPr>
          <w:rStyle w:val="FootnoteReference"/>
          <w:lang w:val="es-419"/>
        </w:rPr>
        <w:footnoteReference w:id="2"/>
      </w:r>
      <w:r w:rsidRPr="005509DF">
        <w:rPr>
          <w:lang w:val="es-419"/>
        </w:rPr>
        <w:t>:</w:t>
      </w:r>
    </w:p>
    <w:p w14:paraId="45B0AC58" w14:textId="77777777" w:rsidR="0029408B" w:rsidRPr="005509DF" w:rsidRDefault="0029408B" w:rsidP="0029408B">
      <w:pPr>
        <w:spacing w:before="720"/>
        <w:contextualSpacing/>
        <w:rPr>
          <w:lang w:val="es-419"/>
        </w:rPr>
      </w:pPr>
    </w:p>
    <w:p w14:paraId="61FBA79E" w14:textId="05649392" w:rsidR="0029408B" w:rsidRPr="005509DF" w:rsidRDefault="0029408B" w:rsidP="0029408B">
      <w:pPr>
        <w:spacing w:before="720"/>
        <w:ind w:left="567"/>
        <w:contextualSpacing/>
        <w:rPr>
          <w:lang w:val="es-419"/>
        </w:rPr>
      </w:pPr>
      <w:r w:rsidRPr="005509DF">
        <w:rPr>
          <w:lang w:val="es-419"/>
        </w:rPr>
        <w:t>i)</w:t>
      </w:r>
      <w:r w:rsidR="00FB7AAF" w:rsidRPr="005509DF">
        <w:rPr>
          <w:lang w:val="es-419"/>
        </w:rPr>
        <w:tab/>
      </w:r>
      <w:r w:rsidRPr="005509DF">
        <w:rPr>
          <w:lang w:val="es-419"/>
        </w:rPr>
        <w:t xml:space="preserve">aprobó las modificaciones de la Tabla de tasas que figura en el Reglamento Común del Arreglo de Lisboa relativo a la Protección de las Denominaciones de Origen y su Registro Internacional y del Acta de Ginebra del Arreglo de Lisboa </w:t>
      </w:r>
      <w:r w:rsidR="00B51B85" w:rsidRPr="005509DF">
        <w:rPr>
          <w:lang w:val="es-419"/>
        </w:rPr>
        <w:t>(</w:t>
      </w:r>
      <w:r w:rsidR="0097101D">
        <w:rPr>
          <w:lang w:val="es-419"/>
        </w:rPr>
        <w:t xml:space="preserve">en adelante denominado </w:t>
      </w:r>
      <w:r w:rsidR="00B51B85">
        <w:rPr>
          <w:lang w:val="es-419"/>
        </w:rPr>
        <w:t>“</w:t>
      </w:r>
      <w:r w:rsidR="0097101D">
        <w:rPr>
          <w:lang w:val="es-419"/>
        </w:rPr>
        <w:t xml:space="preserve">el </w:t>
      </w:r>
      <w:r w:rsidRPr="005509DF">
        <w:rPr>
          <w:lang w:val="es-419"/>
        </w:rPr>
        <w:t>Reglamento Común</w:t>
      </w:r>
      <w:r w:rsidR="000909F6">
        <w:rPr>
          <w:lang w:val="es-419"/>
        </w:rPr>
        <w:t>”</w:t>
      </w:r>
      <w:r w:rsidR="00B51B85" w:rsidRPr="005509DF">
        <w:rPr>
          <w:lang w:val="es-419"/>
        </w:rPr>
        <w:t xml:space="preserve">) </w:t>
      </w:r>
      <w:r w:rsidRPr="005509DF">
        <w:rPr>
          <w:lang w:val="es-419"/>
        </w:rPr>
        <w:t>destinadas a introducir una reducción del 50% en la cuantía prescrita de las tasas pagaderas por los países menos adelantados (PMA) respecto de los registros internacionales y de cada modificación de un registro internacional; y</w:t>
      </w:r>
    </w:p>
    <w:p w14:paraId="0E5A4D97" w14:textId="77777777" w:rsidR="0029408B" w:rsidRPr="005509DF" w:rsidRDefault="0029408B" w:rsidP="0029408B">
      <w:pPr>
        <w:spacing w:before="720"/>
        <w:ind w:firstLine="567"/>
        <w:contextualSpacing/>
        <w:rPr>
          <w:lang w:val="es-419"/>
        </w:rPr>
      </w:pPr>
    </w:p>
    <w:p w14:paraId="395F50A1" w14:textId="6571C050" w:rsidR="0029408B" w:rsidRPr="005509DF" w:rsidRDefault="0029408B" w:rsidP="00791872">
      <w:pPr>
        <w:spacing w:before="720"/>
        <w:ind w:left="567"/>
        <w:contextualSpacing/>
        <w:rPr>
          <w:lang w:val="es-419"/>
        </w:rPr>
      </w:pPr>
      <w:r w:rsidRPr="005509DF">
        <w:rPr>
          <w:lang w:val="es-419"/>
        </w:rPr>
        <w:t>ii)</w:t>
      </w:r>
      <w:r w:rsidR="00FB7AAF" w:rsidRPr="005509DF">
        <w:rPr>
          <w:lang w:val="es-419"/>
        </w:rPr>
        <w:tab/>
      </w:r>
      <w:r w:rsidRPr="005509DF">
        <w:rPr>
          <w:lang w:val="es-419"/>
        </w:rPr>
        <w:t>decidió que la reducción de las tasas mencionada en el apartado i) comenzará a aplicarse tres años después de la entrada en vigor del Acta de Ginebra del Arreglo de Lisboa.</w:t>
      </w:r>
    </w:p>
    <w:p w14:paraId="2340F153" w14:textId="7A3F846F" w:rsidR="004F1708" w:rsidRPr="005509DF" w:rsidRDefault="004F1708" w:rsidP="00791872">
      <w:pPr>
        <w:pStyle w:val="ONUMFS"/>
        <w:numPr>
          <w:ilvl w:val="0"/>
          <w:numId w:val="0"/>
        </w:numPr>
        <w:contextualSpacing/>
        <w:rPr>
          <w:lang w:val="es-419"/>
        </w:rPr>
      </w:pPr>
    </w:p>
    <w:p w14:paraId="0E392498" w14:textId="49868BCF" w:rsidR="004F1708" w:rsidRPr="005509DF" w:rsidRDefault="0029408B" w:rsidP="00791872">
      <w:pPr>
        <w:pStyle w:val="ONUMFS"/>
        <w:numPr>
          <w:ilvl w:val="0"/>
          <w:numId w:val="0"/>
        </w:numPr>
        <w:contextualSpacing/>
        <w:rPr>
          <w:lang w:val="es-419"/>
        </w:rPr>
      </w:pPr>
      <w:r w:rsidRPr="005509DF">
        <w:rPr>
          <w:lang w:val="es-419"/>
        </w:rPr>
        <w:fldChar w:fldCharType="begin"/>
      </w:r>
      <w:r w:rsidRPr="005509DF">
        <w:rPr>
          <w:lang w:val="es-419"/>
        </w:rPr>
        <w:instrText xml:space="preserve"> AUTONUM  </w:instrText>
      </w:r>
      <w:r w:rsidRPr="005509DF">
        <w:rPr>
          <w:lang w:val="es-419"/>
        </w:rPr>
        <w:fldChar w:fldCharType="end"/>
      </w:r>
      <w:r w:rsidRPr="005509DF">
        <w:rPr>
          <w:lang w:val="es-419"/>
        </w:rPr>
        <w:tab/>
        <w:t>Posteriormente, en su trigésimo noveno período de sesiones (15.º extraordinario), celebrado en Ginebra del 14 al 22 de julio de 2023, la Asamblea de la Unión de Lisboa aprobó las modificaciones del Reglamento Común, incluidas las modificaciones propuestas respecto de la Tabla de tasas en el marco de la Regla 8, según se expone en el Anexo del documento</w:t>
      </w:r>
      <w:r w:rsidR="0097101D">
        <w:rPr>
          <w:lang w:val="es-419"/>
        </w:rPr>
        <w:t> </w:t>
      </w:r>
      <w:r w:rsidRPr="005509DF">
        <w:rPr>
          <w:lang w:val="es-419"/>
        </w:rPr>
        <w:t>LI/A/39/1</w:t>
      </w:r>
      <w:r w:rsidR="00FD0FAC" w:rsidRPr="005509DF">
        <w:rPr>
          <w:rStyle w:val="FootnoteReference"/>
          <w:lang w:val="es-419"/>
        </w:rPr>
        <w:footnoteReference w:id="3"/>
      </w:r>
      <w:r w:rsidRPr="005509DF">
        <w:rPr>
          <w:lang w:val="es-419"/>
        </w:rPr>
        <w:t>, siendo el 1 de enero de 2023,</w:t>
      </w:r>
      <w:r w:rsidR="00465B6E">
        <w:rPr>
          <w:lang w:val="es-419"/>
        </w:rPr>
        <w:t xml:space="preserve"> su fecha de entrada en vigor.</w:t>
      </w:r>
    </w:p>
    <w:p w14:paraId="4B5F3AE9" w14:textId="77777777" w:rsidR="00FD0FAC" w:rsidRPr="005509DF" w:rsidRDefault="00FD0FAC" w:rsidP="00791872">
      <w:pPr>
        <w:pStyle w:val="ONUMFS"/>
        <w:numPr>
          <w:ilvl w:val="0"/>
          <w:numId w:val="0"/>
        </w:numPr>
        <w:contextualSpacing/>
        <w:rPr>
          <w:lang w:val="es-419"/>
        </w:rPr>
      </w:pPr>
    </w:p>
    <w:p w14:paraId="413DA180" w14:textId="50F2FE30" w:rsidR="004F1708" w:rsidRPr="005509DF" w:rsidRDefault="0029408B" w:rsidP="0029408B">
      <w:pPr>
        <w:pStyle w:val="ONUMFS"/>
        <w:numPr>
          <w:ilvl w:val="0"/>
          <w:numId w:val="0"/>
        </w:numPr>
        <w:spacing w:after="0"/>
        <w:rPr>
          <w:lang w:val="es-419"/>
        </w:rPr>
      </w:pPr>
      <w:r w:rsidRPr="005509DF">
        <w:rPr>
          <w:lang w:val="es-419"/>
        </w:rPr>
        <w:fldChar w:fldCharType="begin"/>
      </w:r>
      <w:r w:rsidRPr="005509DF">
        <w:rPr>
          <w:lang w:val="es-419"/>
        </w:rPr>
        <w:instrText xml:space="preserve"> AUTONUM  </w:instrText>
      </w:r>
      <w:r w:rsidRPr="005509DF">
        <w:rPr>
          <w:lang w:val="es-419"/>
        </w:rPr>
        <w:fldChar w:fldCharType="end"/>
      </w:r>
      <w:r w:rsidRPr="005509DF">
        <w:rPr>
          <w:lang w:val="es-419"/>
        </w:rPr>
        <w:tab/>
        <w:t xml:space="preserve">En consecuencia, las siguientes reducciones de las tasas, pagaderas en francos suizos, </w:t>
      </w:r>
      <w:r w:rsidR="004D2A21">
        <w:rPr>
          <w:lang w:val="es-419"/>
        </w:rPr>
        <w:t>con respecto a</w:t>
      </w:r>
      <w:r w:rsidRPr="005509DF">
        <w:rPr>
          <w:lang w:val="es-419"/>
        </w:rPr>
        <w:t xml:space="preserve"> los PMA </w:t>
      </w:r>
      <w:r w:rsidR="00B51B85">
        <w:rPr>
          <w:lang w:val="es-419"/>
        </w:rPr>
        <w:t xml:space="preserve">– </w:t>
      </w:r>
      <w:r w:rsidR="006431BE">
        <w:rPr>
          <w:lang w:val="es-419"/>
        </w:rPr>
        <w:t xml:space="preserve">y </w:t>
      </w:r>
      <w:r w:rsidR="004D2A21">
        <w:rPr>
          <w:lang w:val="es-419"/>
        </w:rPr>
        <w:t xml:space="preserve">a </w:t>
      </w:r>
      <w:bookmarkStart w:id="1" w:name="_GoBack"/>
      <w:bookmarkEnd w:id="1"/>
      <w:r w:rsidRPr="005509DF">
        <w:rPr>
          <w:lang w:val="es-419"/>
        </w:rPr>
        <w:t>las organizaciones intergubernamentales en las que la mayoría de los Estados miembros son PMA</w:t>
      </w:r>
      <w:r w:rsidR="00B51B85">
        <w:rPr>
          <w:lang w:val="es-419"/>
        </w:rPr>
        <w:t xml:space="preserve"> </w:t>
      </w:r>
      <w:r w:rsidRPr="005509DF">
        <w:rPr>
          <w:lang w:val="es-419"/>
        </w:rPr>
        <w:t>– entraron en vigor el 26 de febrero de 2023:</w:t>
      </w:r>
    </w:p>
    <w:p w14:paraId="2F5DD353" w14:textId="7A4636DA" w:rsidR="00791872" w:rsidRPr="005509DF" w:rsidRDefault="00791872" w:rsidP="0029408B">
      <w:pPr>
        <w:pStyle w:val="ONUMFS"/>
        <w:numPr>
          <w:ilvl w:val="0"/>
          <w:numId w:val="0"/>
        </w:numPr>
        <w:spacing w:after="0"/>
        <w:rPr>
          <w:lang w:val="es-419"/>
        </w:rPr>
      </w:pPr>
    </w:p>
    <w:p w14:paraId="70932970" w14:textId="1012D8A4" w:rsidR="00791872" w:rsidRDefault="00FB7AAF" w:rsidP="0051609C">
      <w:pPr>
        <w:pStyle w:val="ONUMFS"/>
        <w:numPr>
          <w:ilvl w:val="0"/>
          <w:numId w:val="0"/>
        </w:numPr>
        <w:tabs>
          <w:tab w:val="left" w:pos="1134"/>
          <w:tab w:val="right" w:pos="8222"/>
        </w:tabs>
        <w:spacing w:after="0"/>
        <w:ind w:firstLine="562"/>
        <w:rPr>
          <w:lang w:val="es-419"/>
        </w:rPr>
      </w:pPr>
      <w:r w:rsidRPr="005509DF">
        <w:rPr>
          <w:lang w:val="es-419"/>
        </w:rPr>
        <w:t>i)</w:t>
      </w:r>
      <w:r w:rsidRPr="005509DF">
        <w:rPr>
          <w:lang w:val="es-419"/>
        </w:rPr>
        <w:tab/>
      </w:r>
      <w:r w:rsidR="00791872" w:rsidRPr="005509DF">
        <w:rPr>
          <w:lang w:val="es-419"/>
        </w:rPr>
        <w:t>tasa po</w:t>
      </w:r>
      <w:r w:rsidRPr="005509DF">
        <w:rPr>
          <w:lang w:val="es-419"/>
        </w:rPr>
        <w:t>r el registro internacional</w:t>
      </w:r>
      <w:r w:rsidRPr="005509DF">
        <w:rPr>
          <w:lang w:val="es-419"/>
        </w:rPr>
        <w:tab/>
        <w:t>500</w:t>
      </w:r>
    </w:p>
    <w:p w14:paraId="3E0DC858" w14:textId="77777777" w:rsidR="0097101D" w:rsidRPr="005509DF" w:rsidRDefault="0097101D" w:rsidP="0051609C">
      <w:pPr>
        <w:pStyle w:val="ONUMFS"/>
        <w:numPr>
          <w:ilvl w:val="0"/>
          <w:numId w:val="0"/>
        </w:numPr>
        <w:tabs>
          <w:tab w:val="left" w:pos="1134"/>
          <w:tab w:val="right" w:pos="8222"/>
        </w:tabs>
        <w:spacing w:after="0"/>
        <w:ind w:firstLine="562"/>
        <w:rPr>
          <w:lang w:val="es-419"/>
        </w:rPr>
      </w:pPr>
    </w:p>
    <w:p w14:paraId="58A9A14D" w14:textId="7CABD856" w:rsidR="00791872" w:rsidRPr="005509DF" w:rsidRDefault="00791872" w:rsidP="0051609C">
      <w:pPr>
        <w:pStyle w:val="ONUMFS"/>
        <w:numPr>
          <w:ilvl w:val="0"/>
          <w:numId w:val="0"/>
        </w:numPr>
        <w:tabs>
          <w:tab w:val="left" w:pos="1134"/>
          <w:tab w:val="right" w:pos="8222"/>
        </w:tabs>
        <w:spacing w:after="0"/>
        <w:ind w:firstLine="562"/>
        <w:rPr>
          <w:lang w:val="es-419"/>
        </w:rPr>
      </w:pPr>
      <w:r w:rsidRPr="005509DF">
        <w:rPr>
          <w:lang w:val="es-419"/>
        </w:rPr>
        <w:t>ii)</w:t>
      </w:r>
      <w:r w:rsidRPr="005509DF">
        <w:rPr>
          <w:lang w:val="es-419"/>
        </w:rPr>
        <w:tab/>
        <w:t>tasa por cada modificación d</w:t>
      </w:r>
      <w:r w:rsidR="00FB7AAF" w:rsidRPr="005509DF">
        <w:rPr>
          <w:lang w:val="es-419"/>
        </w:rPr>
        <w:t>e un registro internacional</w:t>
      </w:r>
      <w:r w:rsidR="00FB7AAF" w:rsidRPr="005509DF">
        <w:rPr>
          <w:lang w:val="es-419"/>
        </w:rPr>
        <w:tab/>
        <w:t>250</w:t>
      </w:r>
    </w:p>
    <w:p w14:paraId="7E9DEB4C" w14:textId="1F29FFA5" w:rsidR="00791872" w:rsidRPr="005509DF" w:rsidRDefault="00791872" w:rsidP="00B04194">
      <w:pPr>
        <w:pStyle w:val="ONUMFS"/>
        <w:numPr>
          <w:ilvl w:val="0"/>
          <w:numId w:val="0"/>
        </w:numPr>
        <w:spacing w:after="0"/>
        <w:ind w:left="1134"/>
        <w:rPr>
          <w:lang w:val="es-419"/>
        </w:rPr>
      </w:pPr>
      <w:r w:rsidRPr="005509DF">
        <w:rPr>
          <w:lang w:val="es-419"/>
        </w:rPr>
        <w:t>tasa complementaria por modificaciones adicionales incluidas en</w:t>
      </w:r>
      <w:r w:rsidR="00FB7AAF" w:rsidRPr="005509DF">
        <w:rPr>
          <w:lang w:val="es-419"/>
        </w:rPr>
        <w:t xml:space="preserve"> </w:t>
      </w:r>
    </w:p>
    <w:p w14:paraId="72B33311" w14:textId="770BCB10" w:rsidR="00791872" w:rsidRPr="005509DF" w:rsidRDefault="00FB7AAF" w:rsidP="00FB7AAF">
      <w:pPr>
        <w:pStyle w:val="ONUMFS"/>
        <w:numPr>
          <w:ilvl w:val="0"/>
          <w:numId w:val="0"/>
        </w:numPr>
        <w:tabs>
          <w:tab w:val="left" w:pos="1134"/>
          <w:tab w:val="right" w:pos="8222"/>
        </w:tabs>
        <w:ind w:firstLine="567"/>
        <w:rPr>
          <w:lang w:val="es-419"/>
        </w:rPr>
      </w:pPr>
      <w:r w:rsidRPr="005509DF">
        <w:rPr>
          <w:lang w:val="es-419"/>
        </w:rPr>
        <w:tab/>
        <w:t xml:space="preserve">la </w:t>
      </w:r>
      <w:r w:rsidR="00791872" w:rsidRPr="005509DF">
        <w:rPr>
          <w:lang w:val="es-419"/>
        </w:rPr>
        <w:t>misma petición</w:t>
      </w:r>
      <w:r w:rsidR="00791872" w:rsidRPr="005509DF">
        <w:rPr>
          <w:lang w:val="es-419"/>
        </w:rPr>
        <w:tab/>
        <w:t>150</w:t>
      </w:r>
    </w:p>
    <w:p w14:paraId="32EC6D69" w14:textId="4FE91E27" w:rsidR="003B38A2" w:rsidRPr="005509DF" w:rsidRDefault="00097F6D" w:rsidP="00FB7AAF">
      <w:pPr>
        <w:pStyle w:val="Endofdocument-Annex"/>
        <w:spacing w:before="480"/>
        <w:rPr>
          <w:szCs w:val="22"/>
          <w:lang w:val="es-419"/>
        </w:rPr>
      </w:pPr>
      <w:r>
        <w:rPr>
          <w:lang w:val="es-419"/>
        </w:rPr>
        <w:t>21</w:t>
      </w:r>
      <w:r w:rsidR="00472362" w:rsidRPr="005509DF">
        <w:rPr>
          <w:lang w:val="es-419"/>
        </w:rPr>
        <w:t xml:space="preserve"> de </w:t>
      </w:r>
      <w:r w:rsidR="003B7983">
        <w:rPr>
          <w:lang w:val="es-419"/>
        </w:rPr>
        <w:t>marzo</w:t>
      </w:r>
      <w:r w:rsidR="00472362" w:rsidRPr="005509DF">
        <w:rPr>
          <w:lang w:val="es-419"/>
        </w:rPr>
        <w:t xml:space="preserve"> de 2023</w:t>
      </w:r>
    </w:p>
    <w:sectPr w:rsidR="003B38A2" w:rsidRPr="005509DF" w:rsidSect="000909F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F1009" w14:textId="77777777" w:rsidR="00FF31CB" w:rsidRDefault="00FF31CB">
      <w:r>
        <w:separator/>
      </w:r>
    </w:p>
  </w:endnote>
  <w:endnote w:type="continuationSeparator" w:id="0">
    <w:p w14:paraId="360866AC" w14:textId="77777777" w:rsidR="00FF31CB" w:rsidRPr="009D30E6" w:rsidRDefault="00FF31CB" w:rsidP="00D45252">
      <w:pPr>
        <w:rPr>
          <w:sz w:val="17"/>
          <w:szCs w:val="17"/>
        </w:rPr>
      </w:pPr>
      <w:r w:rsidRPr="009D30E6">
        <w:rPr>
          <w:sz w:val="17"/>
          <w:szCs w:val="17"/>
        </w:rPr>
        <w:separator/>
      </w:r>
    </w:p>
    <w:p w14:paraId="7B57A58E" w14:textId="77777777" w:rsidR="00FF31CB" w:rsidRPr="00CE46C2" w:rsidRDefault="00FF31CB" w:rsidP="00D45252">
      <w:pPr>
        <w:spacing w:after="60"/>
        <w:rPr>
          <w:sz w:val="17"/>
          <w:szCs w:val="17"/>
          <w:lang w:val="fr-CH"/>
        </w:rPr>
      </w:pPr>
      <w:r w:rsidRPr="00CE46C2">
        <w:rPr>
          <w:sz w:val="17"/>
          <w:szCs w:val="17"/>
          <w:lang w:val="fr-CH"/>
        </w:rPr>
        <w:t>[Suite de la note de la page précédente]</w:t>
      </w:r>
    </w:p>
  </w:endnote>
  <w:endnote w:type="continuationNotice" w:id="1">
    <w:p w14:paraId="321E4DE9" w14:textId="77777777" w:rsidR="00FF31CB" w:rsidRPr="00CE46C2" w:rsidRDefault="00FF31CB" w:rsidP="009D30E6">
      <w:pPr>
        <w:spacing w:before="60"/>
        <w:jc w:val="right"/>
        <w:rPr>
          <w:sz w:val="17"/>
          <w:szCs w:val="17"/>
          <w:lang w:val="fr-CH"/>
        </w:rPr>
      </w:pPr>
      <w:r w:rsidRPr="00CE46C2">
        <w:rPr>
          <w:sz w:val="17"/>
          <w:szCs w:val="17"/>
          <w:lang w:val="fr-CH"/>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DC148" w14:textId="77777777" w:rsidR="00A7306C" w:rsidRDefault="00A73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9361" w14:textId="77777777" w:rsidR="00A7306C" w:rsidRDefault="00A73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6644C" w14:textId="77777777" w:rsidR="00A7306C" w:rsidRDefault="00A73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75DD4" w14:textId="77777777" w:rsidR="00FF31CB" w:rsidRDefault="00FF31CB">
      <w:r>
        <w:separator/>
      </w:r>
    </w:p>
  </w:footnote>
  <w:footnote w:type="continuationSeparator" w:id="0">
    <w:p w14:paraId="3AFEA5B3" w14:textId="77777777" w:rsidR="00FF31CB" w:rsidRDefault="00FF31CB" w:rsidP="007461F1">
      <w:r>
        <w:separator/>
      </w:r>
    </w:p>
    <w:p w14:paraId="5627885C" w14:textId="77777777" w:rsidR="00FF31CB" w:rsidRPr="00CE46C2" w:rsidRDefault="00FF31CB" w:rsidP="007461F1">
      <w:pPr>
        <w:spacing w:after="60"/>
        <w:rPr>
          <w:sz w:val="17"/>
          <w:szCs w:val="17"/>
          <w:lang w:val="fr-CH"/>
        </w:rPr>
      </w:pPr>
      <w:r w:rsidRPr="00CE46C2">
        <w:rPr>
          <w:sz w:val="17"/>
          <w:szCs w:val="17"/>
          <w:lang w:val="fr-CH"/>
        </w:rPr>
        <w:t>[Suite de la note de la page précédente]</w:t>
      </w:r>
    </w:p>
  </w:footnote>
  <w:footnote w:type="continuationNotice" w:id="1">
    <w:p w14:paraId="382DAF8F" w14:textId="77777777" w:rsidR="00FF31CB" w:rsidRPr="00CE46C2" w:rsidRDefault="00FF31CB" w:rsidP="007461F1">
      <w:pPr>
        <w:spacing w:before="60"/>
        <w:jc w:val="right"/>
        <w:rPr>
          <w:sz w:val="17"/>
          <w:szCs w:val="17"/>
          <w:lang w:val="fr-CH"/>
        </w:rPr>
      </w:pPr>
      <w:r w:rsidRPr="00CE46C2">
        <w:rPr>
          <w:sz w:val="17"/>
          <w:szCs w:val="17"/>
          <w:lang w:val="fr-CH"/>
        </w:rPr>
        <w:t>[Suite de la note page suivante]</w:t>
      </w:r>
    </w:p>
  </w:footnote>
  <w:footnote w:id="2">
    <w:p w14:paraId="6B465C36" w14:textId="6F738471" w:rsidR="00FD0FAC" w:rsidRPr="000909F6" w:rsidRDefault="00835650">
      <w:pPr>
        <w:pStyle w:val="FootnoteText"/>
        <w:rPr>
          <w:sz w:val="16"/>
          <w:szCs w:val="16"/>
          <w:lang w:val="it-CH"/>
        </w:rPr>
      </w:pPr>
      <w:r>
        <w:rPr>
          <w:rStyle w:val="FootnoteReference"/>
        </w:rPr>
        <w:footnoteRef/>
      </w:r>
      <w:r w:rsidR="0097101D">
        <w:rPr>
          <w:lang w:val="it-CH"/>
        </w:rPr>
        <w:tab/>
      </w:r>
      <w:r w:rsidRPr="000909F6">
        <w:rPr>
          <w:sz w:val="16"/>
          <w:lang w:val="it-CH"/>
        </w:rPr>
        <w:t xml:space="preserve">Consúltese el documento </w:t>
      </w:r>
      <w:hyperlink r:id="rId1" w:history="1">
        <w:r w:rsidRPr="000909F6">
          <w:rPr>
            <w:rStyle w:val="Hyperlink"/>
            <w:color w:val="auto"/>
            <w:sz w:val="16"/>
            <w:lang w:val="it-CH"/>
          </w:rPr>
          <w:t>LI/A/35/3</w:t>
        </w:r>
      </w:hyperlink>
      <w:r w:rsidRPr="000909F6">
        <w:rPr>
          <w:sz w:val="16"/>
          <w:lang w:val="it-CH"/>
        </w:rPr>
        <w:t>.</w:t>
      </w:r>
    </w:p>
  </w:footnote>
  <w:footnote w:id="3">
    <w:p w14:paraId="69E884C8" w14:textId="3DACE307" w:rsidR="00FD0FAC" w:rsidRPr="00CE46C2" w:rsidRDefault="00FD0FAC">
      <w:pPr>
        <w:pStyle w:val="FootnoteText"/>
        <w:rPr>
          <w:lang w:val="it-CH"/>
        </w:rPr>
      </w:pPr>
      <w:r w:rsidRPr="000909F6">
        <w:rPr>
          <w:rStyle w:val="FootnoteReference"/>
          <w:sz w:val="16"/>
          <w:szCs w:val="16"/>
        </w:rPr>
        <w:footnoteRef/>
      </w:r>
      <w:r w:rsidR="0097101D" w:rsidRPr="000909F6">
        <w:rPr>
          <w:sz w:val="16"/>
          <w:lang w:val="it-CH"/>
        </w:rPr>
        <w:tab/>
      </w:r>
      <w:hyperlink r:id="rId2" w:history="1">
        <w:r w:rsidRPr="000909F6">
          <w:rPr>
            <w:rStyle w:val="Hyperlink"/>
            <w:color w:val="auto"/>
            <w:sz w:val="16"/>
            <w:lang w:val="it-CH"/>
          </w:rPr>
          <w:t>https://www.wipo.int/edocs/mdocs/govbody/es/li_a_39/li_a_39_1.pdf</w:t>
        </w:r>
      </w:hyperlink>
      <w:r w:rsidR="0097101D" w:rsidRPr="000909F6">
        <w:rPr>
          <w:lang w:val="it-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6AEBB" w14:textId="53258E23" w:rsidR="00830E45" w:rsidRDefault="00830E45" w:rsidP="00830E45">
    <w:pPr>
      <w:jc w:val="right"/>
    </w:pPr>
    <w:r>
      <w:t xml:space="preserve">página </w:t>
    </w:r>
    <w:r>
      <w:fldChar w:fldCharType="begin"/>
    </w:r>
    <w:r>
      <w:instrText xml:space="preserve"> PAGE  \* MERGEFORMAT </w:instrText>
    </w:r>
    <w:r>
      <w:fldChar w:fldCharType="separate"/>
    </w:r>
    <w:r w:rsidR="000909F6">
      <w:rPr>
        <w:noProof/>
      </w:rPr>
      <w:t>2</w:t>
    </w:r>
    <w:r>
      <w:fldChar w:fldCharType="end"/>
    </w:r>
  </w:p>
  <w:p w14:paraId="654A079C" w14:textId="77777777" w:rsidR="00830E45" w:rsidRDefault="00830E45" w:rsidP="00830E45">
    <w:pPr>
      <w:jc w:val="right"/>
    </w:pPr>
  </w:p>
  <w:p w14:paraId="6412D70B" w14:textId="77777777"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D2224" w14:textId="77777777" w:rsidR="001A646F" w:rsidRDefault="001A646F" w:rsidP="00477D6B">
    <w:pPr>
      <w:jc w:val="right"/>
    </w:pPr>
  </w:p>
  <w:p w14:paraId="6793BE9B" w14:textId="77777777" w:rsidR="001A646F" w:rsidRDefault="001A646F" w:rsidP="00477D6B">
    <w:pPr>
      <w:jc w:val="right"/>
    </w:pPr>
    <w:r>
      <w:t xml:space="preserve">página </w:t>
    </w:r>
    <w:r>
      <w:fldChar w:fldCharType="begin"/>
    </w:r>
    <w:r>
      <w:instrText xml:space="preserve"> PAGE  \* MERGEFORMAT </w:instrText>
    </w:r>
    <w:r>
      <w:fldChar w:fldCharType="separate"/>
    </w:r>
    <w:r w:rsidR="00FB25C8">
      <w:rPr>
        <w:noProof/>
      </w:rPr>
      <w:t>2</w:t>
    </w:r>
    <w:r>
      <w:fldChar w:fldCharType="end"/>
    </w:r>
  </w:p>
  <w:p w14:paraId="2A042025" w14:textId="77777777"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62135" w14:textId="77777777" w:rsidR="00A7306C" w:rsidRDefault="00A73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36CB2"/>
    <w:rsid w:val="00041C5B"/>
    <w:rsid w:val="000506D9"/>
    <w:rsid w:val="00055AAE"/>
    <w:rsid w:val="00075432"/>
    <w:rsid w:val="000909F6"/>
    <w:rsid w:val="00091DFB"/>
    <w:rsid w:val="00097F6D"/>
    <w:rsid w:val="000B0B9C"/>
    <w:rsid w:val="000B540D"/>
    <w:rsid w:val="000C19D2"/>
    <w:rsid w:val="000C41C7"/>
    <w:rsid w:val="000C480D"/>
    <w:rsid w:val="000D4317"/>
    <w:rsid w:val="000D7B40"/>
    <w:rsid w:val="000E5A05"/>
    <w:rsid w:val="000F5E56"/>
    <w:rsid w:val="000F7495"/>
    <w:rsid w:val="001073C6"/>
    <w:rsid w:val="001313A9"/>
    <w:rsid w:val="00131A38"/>
    <w:rsid w:val="001362EE"/>
    <w:rsid w:val="001400DE"/>
    <w:rsid w:val="00157820"/>
    <w:rsid w:val="00157D86"/>
    <w:rsid w:val="00160349"/>
    <w:rsid w:val="00166863"/>
    <w:rsid w:val="00170A28"/>
    <w:rsid w:val="001739D3"/>
    <w:rsid w:val="00177A48"/>
    <w:rsid w:val="001832A6"/>
    <w:rsid w:val="0018385C"/>
    <w:rsid w:val="00187452"/>
    <w:rsid w:val="00195C6E"/>
    <w:rsid w:val="001A646F"/>
    <w:rsid w:val="001B266A"/>
    <w:rsid w:val="001C20A0"/>
    <w:rsid w:val="001C3B1B"/>
    <w:rsid w:val="001D3D56"/>
    <w:rsid w:val="001D74CD"/>
    <w:rsid w:val="001E2B9F"/>
    <w:rsid w:val="002004C4"/>
    <w:rsid w:val="00202977"/>
    <w:rsid w:val="002118B5"/>
    <w:rsid w:val="00220B2F"/>
    <w:rsid w:val="00240654"/>
    <w:rsid w:val="00242CC7"/>
    <w:rsid w:val="002634C4"/>
    <w:rsid w:val="00263F10"/>
    <w:rsid w:val="00276103"/>
    <w:rsid w:val="00283278"/>
    <w:rsid w:val="00283EB9"/>
    <w:rsid w:val="0029408B"/>
    <w:rsid w:val="002A5967"/>
    <w:rsid w:val="002A7703"/>
    <w:rsid w:val="002C66D6"/>
    <w:rsid w:val="002D37A3"/>
    <w:rsid w:val="002E4D1A"/>
    <w:rsid w:val="002F16BC"/>
    <w:rsid w:val="002F45C8"/>
    <w:rsid w:val="002F4E68"/>
    <w:rsid w:val="003018FF"/>
    <w:rsid w:val="00310EE3"/>
    <w:rsid w:val="00312350"/>
    <w:rsid w:val="00312C13"/>
    <w:rsid w:val="00314D49"/>
    <w:rsid w:val="003348B8"/>
    <w:rsid w:val="00337CC2"/>
    <w:rsid w:val="003404CC"/>
    <w:rsid w:val="00350042"/>
    <w:rsid w:val="003650C4"/>
    <w:rsid w:val="003815EC"/>
    <w:rsid w:val="0038447C"/>
    <w:rsid w:val="003845C1"/>
    <w:rsid w:val="00393AC4"/>
    <w:rsid w:val="003B38A2"/>
    <w:rsid w:val="003B7983"/>
    <w:rsid w:val="003C0529"/>
    <w:rsid w:val="004008A2"/>
    <w:rsid w:val="004025DF"/>
    <w:rsid w:val="00403381"/>
    <w:rsid w:val="00413982"/>
    <w:rsid w:val="00423E3E"/>
    <w:rsid w:val="00427A98"/>
    <w:rsid w:val="00427AF4"/>
    <w:rsid w:val="00445EEC"/>
    <w:rsid w:val="00455CE0"/>
    <w:rsid w:val="004606F3"/>
    <w:rsid w:val="00462CC6"/>
    <w:rsid w:val="004647DA"/>
    <w:rsid w:val="00465B6E"/>
    <w:rsid w:val="00472362"/>
    <w:rsid w:val="00477D6B"/>
    <w:rsid w:val="00492CAE"/>
    <w:rsid w:val="004A1174"/>
    <w:rsid w:val="004A12E1"/>
    <w:rsid w:val="004B6189"/>
    <w:rsid w:val="004C4CE6"/>
    <w:rsid w:val="004D2A21"/>
    <w:rsid w:val="004D6471"/>
    <w:rsid w:val="004D66E1"/>
    <w:rsid w:val="004E4EE4"/>
    <w:rsid w:val="004F09C3"/>
    <w:rsid w:val="004F1708"/>
    <w:rsid w:val="004F5D04"/>
    <w:rsid w:val="00500163"/>
    <w:rsid w:val="0051609C"/>
    <w:rsid w:val="00524052"/>
    <w:rsid w:val="00525B63"/>
    <w:rsid w:val="00532696"/>
    <w:rsid w:val="005411D9"/>
    <w:rsid w:val="005509DF"/>
    <w:rsid w:val="00557F9C"/>
    <w:rsid w:val="00565C0E"/>
    <w:rsid w:val="0056655C"/>
    <w:rsid w:val="00567A4C"/>
    <w:rsid w:val="005700BB"/>
    <w:rsid w:val="005743C8"/>
    <w:rsid w:val="00593211"/>
    <w:rsid w:val="00595F07"/>
    <w:rsid w:val="00596430"/>
    <w:rsid w:val="00597185"/>
    <w:rsid w:val="005A5CFC"/>
    <w:rsid w:val="005B21D8"/>
    <w:rsid w:val="005B4647"/>
    <w:rsid w:val="005B55CF"/>
    <w:rsid w:val="005C60A1"/>
    <w:rsid w:val="005E6516"/>
    <w:rsid w:val="005F735F"/>
    <w:rsid w:val="005F73D9"/>
    <w:rsid w:val="00605827"/>
    <w:rsid w:val="0061350D"/>
    <w:rsid w:val="006236DE"/>
    <w:rsid w:val="00626D08"/>
    <w:rsid w:val="00640857"/>
    <w:rsid w:val="006430F9"/>
    <w:rsid w:val="006431BE"/>
    <w:rsid w:val="00662DB4"/>
    <w:rsid w:val="00674188"/>
    <w:rsid w:val="00674551"/>
    <w:rsid w:val="00685FF9"/>
    <w:rsid w:val="00691415"/>
    <w:rsid w:val="006A2593"/>
    <w:rsid w:val="006A3209"/>
    <w:rsid w:val="006B0DB5"/>
    <w:rsid w:val="006B351A"/>
    <w:rsid w:val="006C037B"/>
    <w:rsid w:val="006C6E2F"/>
    <w:rsid w:val="006D79DE"/>
    <w:rsid w:val="006F24B5"/>
    <w:rsid w:val="0070121A"/>
    <w:rsid w:val="00707847"/>
    <w:rsid w:val="007118A0"/>
    <w:rsid w:val="007220BA"/>
    <w:rsid w:val="0072669E"/>
    <w:rsid w:val="007359E6"/>
    <w:rsid w:val="00740CCA"/>
    <w:rsid w:val="007461F1"/>
    <w:rsid w:val="00762940"/>
    <w:rsid w:val="00762DE5"/>
    <w:rsid w:val="00774B14"/>
    <w:rsid w:val="00785717"/>
    <w:rsid w:val="00791872"/>
    <w:rsid w:val="007B0073"/>
    <w:rsid w:val="007B3938"/>
    <w:rsid w:val="007C2D86"/>
    <w:rsid w:val="007C771B"/>
    <w:rsid w:val="007D6961"/>
    <w:rsid w:val="007F07CB"/>
    <w:rsid w:val="007F2994"/>
    <w:rsid w:val="007F74ED"/>
    <w:rsid w:val="008057F6"/>
    <w:rsid w:val="00807877"/>
    <w:rsid w:val="00810A10"/>
    <w:rsid w:val="00810CEF"/>
    <w:rsid w:val="00810FAD"/>
    <w:rsid w:val="0081208D"/>
    <w:rsid w:val="008127AA"/>
    <w:rsid w:val="00825277"/>
    <w:rsid w:val="00830E45"/>
    <w:rsid w:val="00835650"/>
    <w:rsid w:val="00840684"/>
    <w:rsid w:val="0084645E"/>
    <w:rsid w:val="00851E65"/>
    <w:rsid w:val="00860485"/>
    <w:rsid w:val="0086074E"/>
    <w:rsid w:val="00863705"/>
    <w:rsid w:val="008823E6"/>
    <w:rsid w:val="00887901"/>
    <w:rsid w:val="008B1D4B"/>
    <w:rsid w:val="008B2CC1"/>
    <w:rsid w:val="008B67CF"/>
    <w:rsid w:val="008E7930"/>
    <w:rsid w:val="008F1912"/>
    <w:rsid w:val="008F60E7"/>
    <w:rsid w:val="00903100"/>
    <w:rsid w:val="0090731E"/>
    <w:rsid w:val="00923944"/>
    <w:rsid w:val="00932CC4"/>
    <w:rsid w:val="00934DD2"/>
    <w:rsid w:val="009436C7"/>
    <w:rsid w:val="00945302"/>
    <w:rsid w:val="00951A60"/>
    <w:rsid w:val="009557BB"/>
    <w:rsid w:val="00957D19"/>
    <w:rsid w:val="009614F2"/>
    <w:rsid w:val="00966A22"/>
    <w:rsid w:val="00970D77"/>
    <w:rsid w:val="0097101D"/>
    <w:rsid w:val="0097485D"/>
    <w:rsid w:val="00974CD6"/>
    <w:rsid w:val="009869FF"/>
    <w:rsid w:val="009925B7"/>
    <w:rsid w:val="00993C1E"/>
    <w:rsid w:val="009B1323"/>
    <w:rsid w:val="009C4F51"/>
    <w:rsid w:val="009D30E6"/>
    <w:rsid w:val="009E001C"/>
    <w:rsid w:val="009E3F6F"/>
    <w:rsid w:val="009F0401"/>
    <w:rsid w:val="009F499F"/>
    <w:rsid w:val="00A02A08"/>
    <w:rsid w:val="00A1748D"/>
    <w:rsid w:val="00A40442"/>
    <w:rsid w:val="00A5108B"/>
    <w:rsid w:val="00A64026"/>
    <w:rsid w:val="00A7203D"/>
    <w:rsid w:val="00A72863"/>
    <w:rsid w:val="00A7306C"/>
    <w:rsid w:val="00A8087E"/>
    <w:rsid w:val="00A9115B"/>
    <w:rsid w:val="00A92142"/>
    <w:rsid w:val="00A94EA1"/>
    <w:rsid w:val="00AA7907"/>
    <w:rsid w:val="00AB08B5"/>
    <w:rsid w:val="00AB2701"/>
    <w:rsid w:val="00AC0AE4"/>
    <w:rsid w:val="00AD26F6"/>
    <w:rsid w:val="00AD297D"/>
    <w:rsid w:val="00AD61DB"/>
    <w:rsid w:val="00AE2B0B"/>
    <w:rsid w:val="00AF1C6C"/>
    <w:rsid w:val="00AF4F51"/>
    <w:rsid w:val="00AF7192"/>
    <w:rsid w:val="00AF7A36"/>
    <w:rsid w:val="00B038FA"/>
    <w:rsid w:val="00B04194"/>
    <w:rsid w:val="00B14AE3"/>
    <w:rsid w:val="00B17B05"/>
    <w:rsid w:val="00B4032F"/>
    <w:rsid w:val="00B42D20"/>
    <w:rsid w:val="00B51B85"/>
    <w:rsid w:val="00B53D68"/>
    <w:rsid w:val="00B56EE3"/>
    <w:rsid w:val="00B57988"/>
    <w:rsid w:val="00B62C4D"/>
    <w:rsid w:val="00B63DF5"/>
    <w:rsid w:val="00B64AAD"/>
    <w:rsid w:val="00B674A3"/>
    <w:rsid w:val="00B82859"/>
    <w:rsid w:val="00B84C3F"/>
    <w:rsid w:val="00BA576F"/>
    <w:rsid w:val="00BB328D"/>
    <w:rsid w:val="00BC016B"/>
    <w:rsid w:val="00BE0FE4"/>
    <w:rsid w:val="00BE3DF8"/>
    <w:rsid w:val="00BE6E18"/>
    <w:rsid w:val="00C00FD3"/>
    <w:rsid w:val="00C33467"/>
    <w:rsid w:val="00C43022"/>
    <w:rsid w:val="00C664C8"/>
    <w:rsid w:val="00C741BC"/>
    <w:rsid w:val="00C836D9"/>
    <w:rsid w:val="00C86BFD"/>
    <w:rsid w:val="00C97941"/>
    <w:rsid w:val="00CA6130"/>
    <w:rsid w:val="00CB4283"/>
    <w:rsid w:val="00CB5121"/>
    <w:rsid w:val="00CD5B92"/>
    <w:rsid w:val="00CD7536"/>
    <w:rsid w:val="00CE0B25"/>
    <w:rsid w:val="00CE46C2"/>
    <w:rsid w:val="00CF00E0"/>
    <w:rsid w:val="00CF0460"/>
    <w:rsid w:val="00CF750C"/>
    <w:rsid w:val="00D01C77"/>
    <w:rsid w:val="00D106F6"/>
    <w:rsid w:val="00D11791"/>
    <w:rsid w:val="00D159F5"/>
    <w:rsid w:val="00D16C22"/>
    <w:rsid w:val="00D35FD4"/>
    <w:rsid w:val="00D415F9"/>
    <w:rsid w:val="00D43E0F"/>
    <w:rsid w:val="00D45252"/>
    <w:rsid w:val="00D462FA"/>
    <w:rsid w:val="00D56B8D"/>
    <w:rsid w:val="00D67D3E"/>
    <w:rsid w:val="00D71B4D"/>
    <w:rsid w:val="00D75C1E"/>
    <w:rsid w:val="00D8400E"/>
    <w:rsid w:val="00D90099"/>
    <w:rsid w:val="00D93D55"/>
    <w:rsid w:val="00D942EB"/>
    <w:rsid w:val="00D96680"/>
    <w:rsid w:val="00DA11A5"/>
    <w:rsid w:val="00DA3EE7"/>
    <w:rsid w:val="00DC6164"/>
    <w:rsid w:val="00DC6480"/>
    <w:rsid w:val="00DD6A16"/>
    <w:rsid w:val="00DF2879"/>
    <w:rsid w:val="00E0091A"/>
    <w:rsid w:val="00E019AB"/>
    <w:rsid w:val="00E05767"/>
    <w:rsid w:val="00E203AA"/>
    <w:rsid w:val="00E23D73"/>
    <w:rsid w:val="00E34318"/>
    <w:rsid w:val="00E34C5C"/>
    <w:rsid w:val="00E44F10"/>
    <w:rsid w:val="00E515E6"/>
    <w:rsid w:val="00E527A5"/>
    <w:rsid w:val="00E55B2D"/>
    <w:rsid w:val="00E60BDF"/>
    <w:rsid w:val="00E62580"/>
    <w:rsid w:val="00E647DC"/>
    <w:rsid w:val="00E745B3"/>
    <w:rsid w:val="00E74646"/>
    <w:rsid w:val="00E76456"/>
    <w:rsid w:val="00E76836"/>
    <w:rsid w:val="00E816CB"/>
    <w:rsid w:val="00E83692"/>
    <w:rsid w:val="00E854EB"/>
    <w:rsid w:val="00E9150E"/>
    <w:rsid w:val="00EA2F18"/>
    <w:rsid w:val="00EA37E7"/>
    <w:rsid w:val="00EB22BE"/>
    <w:rsid w:val="00EC0304"/>
    <w:rsid w:val="00EC035F"/>
    <w:rsid w:val="00EC1F14"/>
    <w:rsid w:val="00ED1760"/>
    <w:rsid w:val="00ED3882"/>
    <w:rsid w:val="00EE36DB"/>
    <w:rsid w:val="00EE71CB"/>
    <w:rsid w:val="00EF0AA7"/>
    <w:rsid w:val="00EF780B"/>
    <w:rsid w:val="00F06E7A"/>
    <w:rsid w:val="00F1623C"/>
    <w:rsid w:val="00F16314"/>
    <w:rsid w:val="00F16975"/>
    <w:rsid w:val="00F22DC8"/>
    <w:rsid w:val="00F46AF9"/>
    <w:rsid w:val="00F4775A"/>
    <w:rsid w:val="00F63A5F"/>
    <w:rsid w:val="00F66152"/>
    <w:rsid w:val="00F71467"/>
    <w:rsid w:val="00F71E3E"/>
    <w:rsid w:val="00F82E5E"/>
    <w:rsid w:val="00F92421"/>
    <w:rsid w:val="00FA0C38"/>
    <w:rsid w:val="00FA2E4F"/>
    <w:rsid w:val="00FB25C8"/>
    <w:rsid w:val="00FB7AAF"/>
    <w:rsid w:val="00FD0FAC"/>
    <w:rsid w:val="00FD1DD6"/>
    <w:rsid w:val="00FD5109"/>
    <w:rsid w:val="00FF31CB"/>
    <w:rsid w:val="00FF4371"/>
    <w:rsid w:val="00FF4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2F6E0"/>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08B"/>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es-ES" w:eastAsia="zh-CN"/>
    </w:rPr>
  </w:style>
  <w:style w:type="character" w:styleId="CommentReference">
    <w:name w:val="annotation reference"/>
    <w:basedOn w:val="DefaultParagraphFont"/>
    <w:semiHidden/>
    <w:unhideWhenUsed/>
    <w:rsid w:val="00851E65"/>
    <w:rPr>
      <w:sz w:val="16"/>
      <w:szCs w:val="16"/>
    </w:rPr>
  </w:style>
  <w:style w:type="paragraph" w:styleId="CommentSubject">
    <w:name w:val="annotation subject"/>
    <w:basedOn w:val="CommentText"/>
    <w:next w:val="CommentText"/>
    <w:link w:val="CommentSubjectChar"/>
    <w:semiHidden/>
    <w:unhideWhenUsed/>
    <w:rsid w:val="00851E65"/>
    <w:rPr>
      <w:b/>
      <w:bCs/>
      <w:sz w:val="20"/>
    </w:rPr>
  </w:style>
  <w:style w:type="character" w:customStyle="1" w:styleId="CommentTextChar">
    <w:name w:val="Comment Text Char"/>
    <w:basedOn w:val="DefaultParagraphFont"/>
    <w:link w:val="CommentText"/>
    <w:semiHidden/>
    <w:rsid w:val="00851E65"/>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851E65"/>
    <w:rPr>
      <w:rFonts w:ascii="Arial" w:eastAsia="SimSun" w:hAnsi="Arial" w:cs="Arial"/>
      <w:b/>
      <w:bCs/>
      <w:sz w:val="18"/>
      <w:lang w:val="es-ES" w:eastAsia="zh-CN"/>
    </w:rPr>
  </w:style>
  <w:style w:type="character" w:styleId="Strong">
    <w:name w:val="Strong"/>
    <w:basedOn w:val="DefaultParagraphFont"/>
    <w:uiPriority w:val="22"/>
    <w:qFormat/>
    <w:rsid w:val="00851E65"/>
    <w:rPr>
      <w:b/>
      <w:bCs/>
    </w:rPr>
  </w:style>
  <w:style w:type="character" w:styleId="FootnoteReference">
    <w:name w:val="footnote reference"/>
    <w:basedOn w:val="DefaultParagraphFont"/>
    <w:semiHidden/>
    <w:unhideWhenUsed/>
    <w:rsid w:val="008356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govbody/es/li_a_39/li_a_39_1.pdf" TargetMode="External"/><Relationship Id="rId1" Type="http://schemas.openxmlformats.org/officeDocument/2006/relationships/hyperlink" Target="https://www.wipo.int/edocs/mdocs/govbody/es/li_a_35/li_a_35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1C9DB-2EDA-4466-A6F8-24CACCD7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11</TotalTime>
  <Pages>1</Pages>
  <Words>335</Words>
  <Characters>1665</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Lisbon Information Notice No. 3/2023</vt:lpstr>
    </vt:vector>
  </TitlesOfParts>
  <Company>WIPO</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3/2023</dc:title>
  <dc:subject/>
  <dc:creator>ROURE Cécile</dc:creator>
  <cp:keywords>FOR OFFICIAL USE ONLY</cp:keywords>
  <dc:description/>
  <cp:lastModifiedBy>ROJAL Florence</cp:lastModifiedBy>
  <cp:revision>7</cp:revision>
  <cp:lastPrinted>2023-03-21T14:02:00Z</cp:lastPrinted>
  <dcterms:created xsi:type="dcterms:W3CDTF">2023-03-15T08:16:00Z</dcterms:created>
  <dcterms:modified xsi:type="dcterms:W3CDTF">2023-03-21T14:05:00Z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ef1050f7-0dc8-42e9-bb8b-6281b8453d23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