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34752A" w:rsidRPr="000F5CBD" w:rsidTr="00B83CAC">
        <w:tc>
          <w:tcPr>
            <w:tcW w:w="4513" w:type="dxa"/>
            <w:tcMar>
              <w:left w:w="0" w:type="dxa"/>
              <w:right w:w="0" w:type="dxa"/>
            </w:tcMar>
          </w:tcPr>
          <w:p w:rsidR="0034752A" w:rsidRPr="000F5CBD" w:rsidRDefault="0034752A" w:rsidP="00B83CAC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34752A" w:rsidRPr="000F5CBD" w:rsidRDefault="0034752A" w:rsidP="00B83CAC">
            <w:r w:rsidRPr="000F5CBD">
              <w:rPr>
                <w:noProof/>
                <w:lang w:val="en-US" w:eastAsia="en-US"/>
              </w:rPr>
              <w:drawing>
                <wp:inline distT="0" distB="0" distL="0" distR="0" wp14:anchorId="602D6EAF" wp14:editId="49FC251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52A" w:rsidRPr="000F5CBD" w:rsidRDefault="0034752A" w:rsidP="0034752A">
      <w:pPr>
        <w:spacing w:before="120"/>
        <w:jc w:val="right"/>
      </w:pPr>
      <w:r w:rsidRPr="000F5CBD">
        <w:rPr>
          <w:rFonts w:ascii="Arial Black" w:hAnsi="Arial Black"/>
          <w:sz w:val="15"/>
          <w:szCs w:val="15"/>
        </w:rPr>
        <w:t>AVISO N</w:t>
      </w:r>
      <w:r w:rsidR="0016392C">
        <w:rPr>
          <w:rFonts w:ascii="Arial Black" w:hAnsi="Arial Black"/>
          <w:sz w:val="15"/>
          <w:szCs w:val="15"/>
        </w:rPr>
        <w:t>.</w:t>
      </w:r>
      <w:r w:rsidRPr="000F5CBD">
        <w:rPr>
          <w:rFonts w:ascii="Arial Black" w:hAnsi="Arial Black"/>
          <w:sz w:val="15"/>
          <w:szCs w:val="15"/>
        </w:rPr>
        <w:t>º 12/2014</w:t>
      </w:r>
    </w:p>
    <w:p w:rsidR="0034752A" w:rsidRPr="000F5CBD" w:rsidRDefault="0034752A" w:rsidP="0034752A"/>
    <w:p w:rsidR="0034752A" w:rsidRPr="000F5CBD" w:rsidRDefault="0034752A" w:rsidP="0034752A">
      <w:pPr>
        <w:tabs>
          <w:tab w:val="left" w:pos="4536"/>
        </w:tabs>
      </w:pPr>
    </w:p>
    <w:p w:rsidR="0034752A" w:rsidRPr="000F5CBD" w:rsidRDefault="0034752A" w:rsidP="0034752A"/>
    <w:p w:rsidR="0034752A" w:rsidRPr="000F5CBD" w:rsidRDefault="0034752A" w:rsidP="0034752A"/>
    <w:p w:rsidR="0034752A" w:rsidRPr="000F5CBD" w:rsidRDefault="0034752A" w:rsidP="0034752A"/>
    <w:p w:rsidR="0034752A" w:rsidRPr="000F5CBD" w:rsidRDefault="0034752A" w:rsidP="0034752A"/>
    <w:p w:rsidR="00AC4833" w:rsidRPr="000F5CBD" w:rsidRDefault="00AC4833" w:rsidP="00AC4833">
      <w:pPr>
        <w:rPr>
          <w:b/>
          <w:sz w:val="28"/>
          <w:szCs w:val="28"/>
        </w:rPr>
      </w:pPr>
      <w:r w:rsidRPr="000F5CBD">
        <w:rPr>
          <w:b/>
          <w:sz w:val="28"/>
          <w:szCs w:val="28"/>
        </w:rPr>
        <w:t>Arreglo de Madrid relativo al Registro Internacional de Marcas y Protocolo concerniente a ese Arreglo</w:t>
      </w:r>
    </w:p>
    <w:p w:rsidR="00AC4833" w:rsidRPr="000F5CBD" w:rsidRDefault="00AC4833" w:rsidP="00AC4833">
      <w:pPr>
        <w:rPr>
          <w:szCs w:val="22"/>
        </w:rPr>
      </w:pPr>
    </w:p>
    <w:p w:rsidR="00AC4833" w:rsidRPr="000F5CBD" w:rsidRDefault="00AC4833" w:rsidP="00AC4833">
      <w:pPr>
        <w:rPr>
          <w:szCs w:val="22"/>
        </w:rPr>
      </w:pPr>
    </w:p>
    <w:p w:rsidR="00AC4833" w:rsidRPr="000F5CBD" w:rsidRDefault="00AC4833" w:rsidP="00AC4833">
      <w:pPr>
        <w:rPr>
          <w:b/>
          <w:szCs w:val="22"/>
        </w:rPr>
      </w:pPr>
    </w:p>
    <w:p w:rsidR="008C57D2" w:rsidRPr="000F5CBD" w:rsidRDefault="008A576D" w:rsidP="00715D12">
      <w:pPr>
        <w:rPr>
          <w:b/>
          <w:sz w:val="28"/>
          <w:szCs w:val="28"/>
        </w:rPr>
      </w:pPr>
      <w:r>
        <w:rPr>
          <w:b/>
          <w:sz w:val="24"/>
          <w:szCs w:val="24"/>
        </w:rPr>
        <w:t>Comunicación relativa al G</w:t>
      </w:r>
      <w:r w:rsidR="00C21CDF" w:rsidRPr="000F5CBD">
        <w:rPr>
          <w:b/>
          <w:sz w:val="24"/>
          <w:szCs w:val="24"/>
        </w:rPr>
        <w:t xml:space="preserve">estor de productos y servicios de Madrid </w:t>
      </w:r>
      <w:r w:rsidR="002A3FDA" w:rsidRPr="000F5CBD">
        <w:rPr>
          <w:b/>
          <w:sz w:val="24"/>
          <w:szCs w:val="24"/>
        </w:rPr>
        <w:t>(MGS)</w:t>
      </w:r>
    </w:p>
    <w:p w:rsidR="00EF6802" w:rsidRPr="000F5CBD" w:rsidRDefault="00EF6802" w:rsidP="00715D12">
      <w:pPr>
        <w:rPr>
          <w:b/>
          <w:sz w:val="24"/>
          <w:szCs w:val="24"/>
        </w:rPr>
      </w:pPr>
    </w:p>
    <w:p w:rsidR="00EF6802" w:rsidRPr="000F5CBD" w:rsidRDefault="00EF6802" w:rsidP="005534CA"/>
    <w:p w:rsidR="00E00C1D" w:rsidRPr="000F5CBD" w:rsidRDefault="00CD4221" w:rsidP="003859D4">
      <w:pPr>
        <w:pStyle w:val="ONUME"/>
      </w:pPr>
      <w:r w:rsidRPr="000F5CBD">
        <w:t>MGS</w:t>
      </w:r>
      <w:r w:rsidR="00C2028C" w:rsidRPr="000F5CBD">
        <w:t xml:space="preserve"> (</w:t>
      </w:r>
      <w:hyperlink r:id="rId10" w:history="1">
        <w:r w:rsidR="00C2028C" w:rsidRPr="000F5CBD">
          <w:rPr>
            <w:rStyle w:val="Hyperlink"/>
            <w:color w:val="auto"/>
            <w:u w:val="none"/>
          </w:rPr>
          <w:t>http://www.wipo.int/mgs/</w:t>
        </w:r>
      </w:hyperlink>
      <w:r w:rsidR="00C2028C" w:rsidRPr="000F5CBD">
        <w:t>)</w:t>
      </w:r>
      <w:r w:rsidRPr="000F5CBD">
        <w:t xml:space="preserve"> </w:t>
      </w:r>
      <w:r w:rsidR="00C21CDF" w:rsidRPr="000F5CBD">
        <w:t xml:space="preserve">es la herramienta en línea del Sistema de Madrid </w:t>
      </w:r>
      <w:r w:rsidR="000F1941">
        <w:t xml:space="preserve">que permite </w:t>
      </w:r>
      <w:r w:rsidR="00C21CDF" w:rsidRPr="000F5CBD">
        <w:t xml:space="preserve">compilar y traducir listas de productos y servicios seleccionados a partir de una base de datos que ha sido clasificada correctamente de acuerdo a la edición </w:t>
      </w:r>
      <w:r w:rsidR="000F1941">
        <w:t xml:space="preserve">y versión </w:t>
      </w:r>
      <w:r w:rsidR="00C21CDF" w:rsidRPr="000F5CBD">
        <w:t>más reci</w:t>
      </w:r>
      <w:r w:rsidR="002B1142" w:rsidRPr="000F5CBD">
        <w:t>ente</w:t>
      </w:r>
      <w:r w:rsidR="000F1941">
        <w:t>s</w:t>
      </w:r>
      <w:r w:rsidR="002B1142" w:rsidRPr="000F5CBD">
        <w:t xml:space="preserve"> de la Clasificac</w:t>
      </w:r>
      <w:r w:rsidR="00870EC8" w:rsidRPr="000F5CBD">
        <w:t>ión Internacional de Productos y Servicios para el Registro de Marcas (la</w:t>
      </w:r>
      <w:r w:rsidR="003859D4">
        <w:t> </w:t>
      </w:r>
      <w:r w:rsidR="00870EC8" w:rsidRPr="000F5CBD">
        <w:t>Clasificación de Niza).</w:t>
      </w:r>
    </w:p>
    <w:p w:rsidR="006A66E8" w:rsidRPr="000F5CBD" w:rsidRDefault="000F1941" w:rsidP="006A66E8">
      <w:pPr>
        <w:pStyle w:val="ONUME"/>
        <w:numPr>
          <w:ilvl w:val="0"/>
          <w:numId w:val="0"/>
        </w:numPr>
        <w:rPr>
          <w:u w:val="single"/>
        </w:rPr>
      </w:pPr>
      <w:r>
        <w:rPr>
          <w:u w:val="single"/>
        </w:rPr>
        <w:t>Estreno</w:t>
      </w:r>
      <w:r w:rsidR="00870EC8" w:rsidRPr="000F5CBD">
        <w:rPr>
          <w:u w:val="single"/>
        </w:rPr>
        <w:t xml:space="preserve"> de la interfaz coreana del </w:t>
      </w:r>
      <w:r w:rsidR="006A66E8" w:rsidRPr="000F5CBD">
        <w:rPr>
          <w:u w:val="single"/>
        </w:rPr>
        <w:t xml:space="preserve">MGS </w:t>
      </w:r>
    </w:p>
    <w:p w:rsidR="006A66E8" w:rsidRPr="000F5CBD" w:rsidRDefault="00870EC8" w:rsidP="006A66E8">
      <w:pPr>
        <w:pStyle w:val="ONUME"/>
      </w:pPr>
      <w:r w:rsidRPr="000F5CBD">
        <w:t xml:space="preserve">El 1 de junio de 2014 </w:t>
      </w:r>
      <w:r w:rsidR="000F1941">
        <w:t>se estrenó</w:t>
      </w:r>
      <w:r w:rsidR="002579F6">
        <w:t>,</w:t>
      </w:r>
      <w:r w:rsidR="000F1941">
        <w:t xml:space="preserve"> en </w:t>
      </w:r>
      <w:r w:rsidR="000F1941" w:rsidRPr="000F5CBD">
        <w:t>el sitio web público de la Organización Mundial de la Propiedad Intelectual (OMPI)</w:t>
      </w:r>
      <w:r w:rsidR="002579F6">
        <w:t>,</w:t>
      </w:r>
      <w:r w:rsidR="000F1941">
        <w:t xml:space="preserve"> </w:t>
      </w:r>
      <w:r w:rsidRPr="000F5CBD">
        <w:t xml:space="preserve">la interfaz coreana del MGS, </w:t>
      </w:r>
      <w:r w:rsidR="000F1941">
        <w:t xml:space="preserve">desarrollada </w:t>
      </w:r>
      <w:r w:rsidRPr="000F5CBD">
        <w:t xml:space="preserve">en </w:t>
      </w:r>
      <w:r w:rsidR="000F1941">
        <w:t xml:space="preserve">colaboración </w:t>
      </w:r>
      <w:r w:rsidRPr="000F5CBD">
        <w:t xml:space="preserve">con la Oficina </w:t>
      </w:r>
      <w:r w:rsidR="00817AE9">
        <w:t>Surc</w:t>
      </w:r>
      <w:r w:rsidRPr="000F5CBD">
        <w:t>oreana d</w:t>
      </w:r>
      <w:r w:rsidR="000F1941">
        <w:t>e Propiedad Intelectual (KIPO</w:t>
      </w:r>
      <w:r w:rsidR="002579F6">
        <w:t>)</w:t>
      </w:r>
      <w:r w:rsidRPr="000F5CBD">
        <w:t xml:space="preserve">, lo que elevó </w:t>
      </w:r>
      <w:r w:rsidR="00C9179A">
        <w:t xml:space="preserve">a 16 </w:t>
      </w:r>
      <w:r w:rsidRPr="000F5CBD">
        <w:t xml:space="preserve">el número de interfaces </w:t>
      </w:r>
      <w:r w:rsidR="000F1941">
        <w:t>lingüísticas</w:t>
      </w:r>
      <w:r w:rsidRPr="000F5CBD">
        <w:t xml:space="preserve"> disponibles</w:t>
      </w:r>
      <w:r w:rsidR="00C9179A">
        <w:t>,</w:t>
      </w:r>
      <w:r w:rsidRPr="000F5CBD">
        <w:t xml:space="preserve"> además del </w:t>
      </w:r>
      <w:r w:rsidR="00803A9D" w:rsidRPr="000F5CBD">
        <w:t>alemán, árabe, chino, español, francés, hebreo, inglés, italiano, japonés, neerlandés, noruego, portugués, ruso, serbio y turco</w:t>
      </w:r>
      <w:r w:rsidRPr="000F5CBD">
        <w:t>.</w:t>
      </w:r>
    </w:p>
    <w:p w:rsidR="00EF6802" w:rsidRPr="000F5CBD" w:rsidRDefault="00803A9D" w:rsidP="00FB2014">
      <w:pPr>
        <w:pStyle w:val="ONUME"/>
        <w:numPr>
          <w:ilvl w:val="0"/>
          <w:numId w:val="0"/>
        </w:numPr>
        <w:rPr>
          <w:u w:val="single"/>
        </w:rPr>
      </w:pPr>
      <w:r w:rsidRPr="000F5CBD">
        <w:rPr>
          <w:u w:val="single"/>
        </w:rPr>
        <w:t>Función “</w:t>
      </w:r>
      <w:r w:rsidRPr="003859D4">
        <w:rPr>
          <w:i/>
          <w:u w:val="single"/>
        </w:rPr>
        <w:t>Verificar aceptación OMPI</w:t>
      </w:r>
      <w:r w:rsidRPr="000F5CBD">
        <w:rPr>
          <w:u w:val="single"/>
        </w:rPr>
        <w:t>”</w:t>
      </w:r>
    </w:p>
    <w:p w:rsidR="00B527C9" w:rsidRPr="000F5CBD" w:rsidRDefault="00464217" w:rsidP="00FB2014">
      <w:pPr>
        <w:pStyle w:val="ONUME"/>
      </w:pPr>
      <w:r w:rsidRPr="000F5CBD">
        <w:t>A partir de abril de 2014, se amplió la función “</w:t>
      </w:r>
      <w:r w:rsidRPr="003859D4">
        <w:rPr>
          <w:i/>
        </w:rPr>
        <w:t>Verificar aceptación OMPI</w:t>
      </w:r>
      <w:r w:rsidRPr="000F5CBD">
        <w:t xml:space="preserve">” </w:t>
      </w:r>
      <w:r w:rsidR="002579F6">
        <w:t>con la incorporación</w:t>
      </w:r>
      <w:r w:rsidRPr="000F5CBD">
        <w:t xml:space="preserve"> </w:t>
      </w:r>
      <w:r w:rsidR="002579F6">
        <w:t xml:space="preserve">de </w:t>
      </w:r>
      <w:r w:rsidRPr="000F5CBD">
        <w:t xml:space="preserve">numerosas indicaciones de productos y servicios que se consideran </w:t>
      </w:r>
      <w:r w:rsidR="006237CC">
        <w:t>válidas</w:t>
      </w:r>
      <w:r w:rsidRPr="000F5CBD">
        <w:t xml:space="preserve"> </w:t>
      </w:r>
      <w:r w:rsidR="002579F6">
        <w:t xml:space="preserve">a efectos de los procedimientos de </w:t>
      </w:r>
      <w:r w:rsidRPr="000F5CBD">
        <w:t xml:space="preserve">examen de las solicitudes internacionales en la Oficina Internacional de la OMPI.  Con el </w:t>
      </w:r>
      <w:r w:rsidR="00C9179A">
        <w:t xml:space="preserve">uso progresivo y creciente </w:t>
      </w:r>
      <w:r w:rsidRPr="000F5CBD">
        <w:t xml:space="preserve">de </w:t>
      </w:r>
      <w:r w:rsidR="00C9179A">
        <w:t>e</w:t>
      </w:r>
      <w:r w:rsidRPr="000F5CBD">
        <w:t>sas indicaciones “</w:t>
      </w:r>
      <w:r w:rsidR="006237CC">
        <w:t>válidas</w:t>
      </w:r>
      <w:r w:rsidRPr="000F5CBD">
        <w:t xml:space="preserve"> </w:t>
      </w:r>
      <w:r w:rsidR="002579F6">
        <w:t>a efectos de los procedimientos</w:t>
      </w:r>
      <w:r w:rsidRPr="000F5CBD">
        <w:t xml:space="preserve">” en el futuro, esta función reflejará </w:t>
      </w:r>
      <w:r w:rsidR="00C9179A">
        <w:t xml:space="preserve">más claramente </w:t>
      </w:r>
      <w:r w:rsidR="00130BB4" w:rsidRPr="000F5CBD">
        <w:t>la política de examen de la Clasificación de Niza del Registro de Madrid.</w:t>
      </w:r>
    </w:p>
    <w:p w:rsidR="00EF6802" w:rsidRPr="000F5CBD" w:rsidRDefault="00130BB4" w:rsidP="00FB2014">
      <w:pPr>
        <w:pStyle w:val="ONUME"/>
        <w:numPr>
          <w:ilvl w:val="0"/>
          <w:numId w:val="0"/>
        </w:numPr>
        <w:rPr>
          <w:u w:val="single"/>
        </w:rPr>
      </w:pPr>
      <w:r w:rsidRPr="000F5CBD">
        <w:rPr>
          <w:u w:val="single"/>
        </w:rPr>
        <w:t>Función “</w:t>
      </w:r>
      <w:r w:rsidRPr="003859D4">
        <w:rPr>
          <w:i/>
          <w:u w:val="single"/>
        </w:rPr>
        <w:t>Verificar la aceptación de la Parte Contratante designada</w:t>
      </w:r>
      <w:r w:rsidR="003859D4">
        <w:rPr>
          <w:u w:val="single"/>
        </w:rPr>
        <w:t xml:space="preserve"> </w:t>
      </w:r>
      <w:r w:rsidR="003859D4" w:rsidRPr="003859D4">
        <w:rPr>
          <w:i/>
          <w:u w:val="single"/>
        </w:rPr>
        <w:t>(PCd)</w:t>
      </w:r>
      <w:r w:rsidR="003859D4">
        <w:rPr>
          <w:u w:val="single"/>
        </w:rPr>
        <w:t>”</w:t>
      </w:r>
    </w:p>
    <w:p w:rsidR="003403F0" w:rsidRPr="000F5CBD" w:rsidRDefault="00130BB4" w:rsidP="00FB2014">
      <w:pPr>
        <w:pStyle w:val="ONUME"/>
      </w:pPr>
      <w:r w:rsidRPr="000F5CBD">
        <w:t>Desde mayo de 2013, se ha ampliado la función “</w:t>
      </w:r>
      <w:r w:rsidRPr="003859D4">
        <w:rPr>
          <w:i/>
        </w:rPr>
        <w:t>Verificar la aceptación de la Parte Contratante designada</w:t>
      </w:r>
      <w:r w:rsidR="003859D4">
        <w:rPr>
          <w:i/>
        </w:rPr>
        <w:t xml:space="preserve"> (PCd)</w:t>
      </w:r>
      <w:r w:rsidRPr="000F5CBD">
        <w:t xml:space="preserve">” a un total de 19 Partes Contratantes participantes, incluida la reciente </w:t>
      </w:r>
      <w:r w:rsidR="00C9179A">
        <w:t>incorporación</w:t>
      </w:r>
      <w:r w:rsidRPr="000F5CBD">
        <w:t xml:space="preserve"> de las siguientes Partes Contratantes:</w:t>
      </w:r>
    </w:p>
    <w:p w:rsidR="000D25FA" w:rsidRPr="000F5CBD" w:rsidRDefault="000F5CBD" w:rsidP="000D25FA">
      <w:pPr>
        <w:pStyle w:val="ONUME"/>
        <w:numPr>
          <w:ilvl w:val="0"/>
          <w:numId w:val="15"/>
        </w:numPr>
        <w:contextualSpacing/>
      </w:pPr>
      <w:r w:rsidRPr="000F5CBD">
        <w:t>Belarús</w:t>
      </w:r>
      <w:r w:rsidR="00F5575D" w:rsidRPr="000F5CBD">
        <w:t>,</w:t>
      </w:r>
    </w:p>
    <w:p w:rsidR="003403F0" w:rsidRPr="000F5CBD" w:rsidRDefault="000F5CBD" w:rsidP="000D25FA">
      <w:pPr>
        <w:pStyle w:val="ONUME"/>
        <w:numPr>
          <w:ilvl w:val="0"/>
          <w:numId w:val="15"/>
        </w:numPr>
        <w:contextualSpacing/>
      </w:pPr>
      <w:r w:rsidRPr="000F5CBD">
        <w:t>República de Corea</w:t>
      </w:r>
      <w:r w:rsidR="003403F0" w:rsidRPr="000F5CBD">
        <w:t>,</w:t>
      </w:r>
    </w:p>
    <w:p w:rsidR="003403F0" w:rsidRPr="000F5CBD" w:rsidRDefault="003403F0" w:rsidP="000D25FA">
      <w:pPr>
        <w:pStyle w:val="ONUME"/>
        <w:numPr>
          <w:ilvl w:val="0"/>
          <w:numId w:val="15"/>
        </w:numPr>
        <w:contextualSpacing/>
      </w:pPr>
      <w:r w:rsidRPr="000F5CBD">
        <w:t>Serbia,</w:t>
      </w:r>
      <w:r w:rsidR="00F5575D" w:rsidRPr="000F5CBD">
        <w:t xml:space="preserve"> </w:t>
      </w:r>
      <w:r w:rsidR="00480395">
        <w:t xml:space="preserve">y </w:t>
      </w:r>
    </w:p>
    <w:p w:rsidR="003403F0" w:rsidRPr="000F5CBD" w:rsidRDefault="000F5CBD" w:rsidP="000D25FA">
      <w:pPr>
        <w:pStyle w:val="ONUME"/>
        <w:numPr>
          <w:ilvl w:val="0"/>
          <w:numId w:val="15"/>
        </w:numPr>
        <w:contextualSpacing/>
      </w:pPr>
      <w:r w:rsidRPr="000F5CBD">
        <w:t>Ucrania</w:t>
      </w:r>
      <w:r w:rsidR="00F5575D" w:rsidRPr="000F5CBD">
        <w:t>.</w:t>
      </w:r>
      <w:r w:rsidR="00B1624A" w:rsidRPr="000F5CBD">
        <w:t xml:space="preserve"> </w:t>
      </w:r>
      <w:r w:rsidR="00231EB9" w:rsidRPr="000F5CBD">
        <w:t xml:space="preserve"> </w:t>
      </w:r>
    </w:p>
    <w:p w:rsidR="0016000F" w:rsidRPr="000F5CBD" w:rsidRDefault="003859D4" w:rsidP="00FB2014">
      <w:pPr>
        <w:pStyle w:val="ONUME"/>
      </w:pPr>
      <w:r>
        <w:lastRenderedPageBreak/>
        <w:t>Se recuerda que l</w:t>
      </w:r>
      <w:r w:rsidR="00480395">
        <w:t xml:space="preserve">a función </w:t>
      </w:r>
      <w:r w:rsidRPr="000F5CBD">
        <w:t>“</w:t>
      </w:r>
      <w:r w:rsidRPr="003859D4">
        <w:rPr>
          <w:i/>
        </w:rPr>
        <w:t>Verificar la aceptación de la Parte Contratante designada</w:t>
      </w:r>
      <w:r>
        <w:rPr>
          <w:i/>
        </w:rPr>
        <w:t xml:space="preserve"> (PCd)</w:t>
      </w:r>
      <w:r w:rsidRPr="000F5CBD">
        <w:t>”</w:t>
      </w:r>
      <w:r>
        <w:t xml:space="preserve"> </w:t>
      </w:r>
      <w:r w:rsidR="00480395">
        <w:t xml:space="preserve">facilita los procedimientos del Sistema de Madrid en el sentido </w:t>
      </w:r>
      <w:r w:rsidR="001D598C">
        <w:t xml:space="preserve">de que permite a los solicitantes internacionales determinar si las indicaciones </w:t>
      </w:r>
      <w:r w:rsidR="00C457AF">
        <w:t>que figuran en la lista de productos y servicios</w:t>
      </w:r>
      <w:r w:rsidR="006237CC">
        <w:t>,</w:t>
      </w:r>
      <w:r w:rsidR="00C457AF">
        <w:t xml:space="preserve"> y que han sido compiladas a partir del MGS</w:t>
      </w:r>
      <w:r w:rsidR="006237CC">
        <w:t>,</w:t>
      </w:r>
      <w:r w:rsidR="00C457AF">
        <w:t xml:space="preserve"> serán </w:t>
      </w:r>
      <w:r w:rsidR="006237CC">
        <w:t>consideradas válidas</w:t>
      </w:r>
      <w:r w:rsidR="00C457AF">
        <w:t xml:space="preserve"> </w:t>
      </w:r>
      <w:r w:rsidR="006237CC">
        <w:t xml:space="preserve">por </w:t>
      </w:r>
      <w:r w:rsidR="00C457AF">
        <w:t>las Partes Contratantes participante</w:t>
      </w:r>
      <w:r w:rsidR="008A576D">
        <w:t>s</w:t>
      </w:r>
      <w:r w:rsidR="00E11200">
        <w:t xml:space="preserve"> o</w:t>
      </w:r>
      <w:r w:rsidR="008A576D">
        <w:t>,</w:t>
      </w:r>
      <w:r w:rsidR="00E11200">
        <w:t xml:space="preserve"> lo que es aún más importante</w:t>
      </w:r>
      <w:r w:rsidR="008A576D">
        <w:t>,</w:t>
      </w:r>
      <w:r w:rsidR="00E11200">
        <w:t xml:space="preserve"> </w:t>
      </w:r>
      <w:r w:rsidR="008A576D">
        <w:t xml:space="preserve">si </w:t>
      </w:r>
      <w:r w:rsidR="00E11200">
        <w:t xml:space="preserve">serán objeto de denegación </w:t>
      </w:r>
      <w:r w:rsidR="00553C2B">
        <w:t>por parte de</w:t>
      </w:r>
      <w:r w:rsidR="00B655FC">
        <w:t xml:space="preserve"> </w:t>
      </w:r>
      <w:r w:rsidR="00F66640">
        <w:t>tales</w:t>
      </w:r>
      <w:r w:rsidR="00E11200">
        <w:t xml:space="preserve"> Partes</w:t>
      </w:r>
      <w:r w:rsidR="00F66640">
        <w:t xml:space="preserve"> Contratantes</w:t>
      </w:r>
      <w:r w:rsidR="00E11200">
        <w:t xml:space="preserve">.  </w:t>
      </w:r>
      <w:r w:rsidR="00F66640">
        <w:t xml:space="preserve">Los </w:t>
      </w:r>
      <w:r w:rsidR="00E11200">
        <w:t xml:space="preserve">solicitantes internacionales obtienen </w:t>
      </w:r>
      <w:r w:rsidR="00F66640">
        <w:t xml:space="preserve">así </w:t>
      </w:r>
      <w:r w:rsidR="00E11200">
        <w:t xml:space="preserve">información útil sobre las indicaciones que </w:t>
      </w:r>
      <w:r w:rsidR="005451B8">
        <w:t>podrían ser objeto de una denegación provisional</w:t>
      </w:r>
      <w:r w:rsidR="00185D7B">
        <w:t xml:space="preserve"> por parte de una determinada Parte Contratante</w:t>
      </w:r>
      <w:r w:rsidR="001D0B8A">
        <w:t>.</w:t>
      </w:r>
    </w:p>
    <w:p w:rsidR="00B527C9" w:rsidRPr="000F5CBD" w:rsidRDefault="001D0B8A" w:rsidP="00B527C9">
      <w:pPr>
        <w:pStyle w:val="ONUME"/>
      </w:pPr>
      <w:r>
        <w:t>La Oficina Internacional de la OMPI se comp</w:t>
      </w:r>
      <w:r w:rsidR="007F1920">
        <w:t xml:space="preserve">lace también en anunciar que </w:t>
      </w:r>
      <w:r>
        <w:t>MGS ahora ofrece:</w:t>
      </w:r>
    </w:p>
    <w:p w:rsidR="00B527C9" w:rsidRPr="000F5CBD" w:rsidRDefault="00787C93" w:rsidP="000D25FA">
      <w:pPr>
        <w:pStyle w:val="ONUME"/>
        <w:numPr>
          <w:ilvl w:val="0"/>
          <w:numId w:val="14"/>
        </w:numPr>
      </w:pPr>
      <w:r>
        <w:t>una función de búsqueda mejorada sobre caracteres únicos en los idiomas asiáticos;</w:t>
      </w:r>
    </w:p>
    <w:p w:rsidR="00B527C9" w:rsidRPr="000F5CBD" w:rsidRDefault="00787C93" w:rsidP="000D25FA">
      <w:pPr>
        <w:pStyle w:val="ONUME"/>
        <w:numPr>
          <w:ilvl w:val="0"/>
          <w:numId w:val="14"/>
        </w:numPr>
      </w:pPr>
      <w:r>
        <w:t>más de 53.000 términos en inglés, agrupados en unos 34.000 conceptos, cada uno de los cuales describe un producto o servicio único;</w:t>
      </w:r>
    </w:p>
    <w:p w:rsidR="00B527C9" w:rsidRPr="000F5CBD" w:rsidRDefault="00787C93" w:rsidP="000D25FA">
      <w:pPr>
        <w:pStyle w:val="ONUME"/>
        <w:numPr>
          <w:ilvl w:val="0"/>
          <w:numId w:val="14"/>
        </w:numPr>
      </w:pPr>
      <w:r>
        <w:t>el estado de aceptación por parte de</w:t>
      </w:r>
      <w:r w:rsidR="007F1920">
        <w:t xml:space="preserve"> los países participantes en </w:t>
      </w:r>
      <w:r>
        <w:t>MGS de los títulos de clase de la Clasificación de Niza;</w:t>
      </w:r>
    </w:p>
    <w:p w:rsidR="000C5E8D" w:rsidRPr="000F5CBD" w:rsidRDefault="00787C93" w:rsidP="000D25FA">
      <w:pPr>
        <w:pStyle w:val="ONUME"/>
        <w:numPr>
          <w:ilvl w:val="0"/>
          <w:numId w:val="14"/>
        </w:numPr>
      </w:pPr>
      <w:r>
        <w:t>un menú mejorado de opciones de visualización;</w:t>
      </w:r>
    </w:p>
    <w:p w:rsidR="000D25FA" w:rsidRPr="000F5CBD" w:rsidRDefault="00787C93" w:rsidP="000D25FA">
      <w:pPr>
        <w:pStyle w:val="ONUME"/>
        <w:numPr>
          <w:ilvl w:val="0"/>
          <w:numId w:val="14"/>
        </w:numPr>
      </w:pPr>
      <w:r>
        <w:t xml:space="preserve">una visualización facultativa </w:t>
      </w:r>
      <w:r w:rsidR="00154166">
        <w:t>de los números de base de las indicaciones de la Clasificación de Niza;  y</w:t>
      </w:r>
    </w:p>
    <w:p w:rsidR="000C5E8D" w:rsidRPr="000F5CBD" w:rsidRDefault="00154166" w:rsidP="000D25FA">
      <w:pPr>
        <w:pStyle w:val="ONUME"/>
        <w:numPr>
          <w:ilvl w:val="0"/>
          <w:numId w:val="14"/>
        </w:numPr>
      </w:pPr>
      <w:r>
        <w:t xml:space="preserve">un </w:t>
      </w:r>
      <w:r w:rsidR="00F66640">
        <w:t>enlace</w:t>
      </w:r>
      <w:r>
        <w:t xml:space="preserve"> directo al sitio web de la Clasificación de Niza.</w:t>
      </w:r>
    </w:p>
    <w:p w:rsidR="001F5765" w:rsidRPr="000F5CBD" w:rsidRDefault="00154166" w:rsidP="00C2028C">
      <w:pPr>
        <w:pStyle w:val="ONUME"/>
      </w:pPr>
      <w:r>
        <w:t>Se recuerda que en la dirección siguiente puede consultarse un vídeo promo</w:t>
      </w:r>
      <w:r w:rsidR="007F1920">
        <w:t xml:space="preserve">cional en el que se presenta </w:t>
      </w:r>
      <w:r>
        <w:t>MGS</w:t>
      </w:r>
      <w:r w:rsidR="001A5F85" w:rsidRPr="000F5CBD">
        <w:t xml:space="preserve">:  </w:t>
      </w:r>
      <w:hyperlink r:id="rId11" w:history="1">
        <w:r w:rsidR="001A5F85" w:rsidRPr="00154166">
          <w:rPr>
            <w:rStyle w:val="Hyperlink"/>
            <w:color w:val="auto"/>
            <w:u w:val="none"/>
          </w:rPr>
          <w:t>http://www.wipo.int/madrid/en/services/</w:t>
        </w:r>
      </w:hyperlink>
      <w:r w:rsidR="001F5765" w:rsidRPr="000F5CBD">
        <w:t>.</w:t>
      </w:r>
    </w:p>
    <w:p w:rsidR="008831E8" w:rsidRPr="000F5CBD" w:rsidRDefault="008831E8" w:rsidP="008831E8"/>
    <w:p w:rsidR="007313A8" w:rsidRPr="000F5CBD" w:rsidRDefault="007313A8" w:rsidP="008831E8">
      <w:pPr>
        <w:outlineLvl w:val="0"/>
      </w:pPr>
    </w:p>
    <w:p w:rsidR="00F03015" w:rsidRPr="000F5CBD" w:rsidRDefault="00A849E5" w:rsidP="00C44E5A">
      <w:pPr>
        <w:ind w:left="5533"/>
        <w:outlineLvl w:val="0"/>
      </w:pPr>
      <w:r>
        <w:t>25</w:t>
      </w:r>
      <w:bookmarkStart w:id="0" w:name="_GoBack"/>
      <w:bookmarkEnd w:id="0"/>
      <w:r w:rsidR="00154166">
        <w:t xml:space="preserve"> de junio de</w:t>
      </w:r>
      <w:r w:rsidR="00B37283" w:rsidRPr="000F5CBD">
        <w:t xml:space="preserve"> 201</w:t>
      </w:r>
      <w:r w:rsidR="00C846BC" w:rsidRPr="000F5CBD">
        <w:t>4</w:t>
      </w:r>
    </w:p>
    <w:sectPr w:rsidR="00F03015" w:rsidRPr="000F5CBD" w:rsidSect="00A953E1">
      <w:headerReference w:type="even" r:id="rId12"/>
      <w:headerReference w:type="default" r:id="rId13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1D" w:rsidRDefault="000D521D">
      <w:r>
        <w:separator/>
      </w:r>
    </w:p>
  </w:endnote>
  <w:endnote w:type="continuationSeparator" w:id="0">
    <w:p w:rsidR="000D521D" w:rsidRDefault="000D521D" w:rsidP="00A326CA">
      <w:r>
        <w:separator/>
      </w:r>
    </w:p>
    <w:p w:rsidR="000D521D" w:rsidRPr="000F1941" w:rsidRDefault="000D521D" w:rsidP="00A326CA">
      <w:pPr>
        <w:rPr>
          <w:lang w:val="en-US"/>
        </w:rPr>
      </w:pPr>
      <w:r w:rsidRPr="000F1941">
        <w:rPr>
          <w:sz w:val="17"/>
          <w:lang w:val="en-US"/>
        </w:rPr>
        <w:t>[Endnote continued from previous page]</w:t>
      </w:r>
    </w:p>
  </w:endnote>
  <w:endnote w:type="continuationNotice" w:id="1">
    <w:p w:rsidR="000D521D" w:rsidRPr="000F1941" w:rsidRDefault="000D521D" w:rsidP="00A326CA">
      <w:pPr>
        <w:spacing w:before="60"/>
        <w:jc w:val="right"/>
        <w:rPr>
          <w:sz w:val="17"/>
          <w:szCs w:val="17"/>
          <w:lang w:val="en-US"/>
        </w:rPr>
      </w:pPr>
      <w:r w:rsidRPr="000F1941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1D" w:rsidRDefault="000D521D">
      <w:r>
        <w:separator/>
      </w:r>
    </w:p>
  </w:footnote>
  <w:footnote w:type="continuationSeparator" w:id="0">
    <w:p w:rsidR="000D521D" w:rsidRDefault="000D521D" w:rsidP="00A326CA">
      <w:r>
        <w:separator/>
      </w:r>
    </w:p>
    <w:p w:rsidR="000D521D" w:rsidRPr="000F1941" w:rsidRDefault="000D521D" w:rsidP="00A326CA">
      <w:pPr>
        <w:spacing w:after="60"/>
        <w:rPr>
          <w:sz w:val="17"/>
          <w:szCs w:val="17"/>
          <w:lang w:val="en-US"/>
        </w:rPr>
      </w:pPr>
      <w:r w:rsidRPr="000F1941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0D521D" w:rsidRPr="000F1941" w:rsidRDefault="000D521D" w:rsidP="00A326CA">
      <w:pPr>
        <w:spacing w:before="60"/>
        <w:jc w:val="right"/>
        <w:rPr>
          <w:sz w:val="17"/>
          <w:szCs w:val="17"/>
          <w:lang w:val="en-US"/>
        </w:rPr>
      </w:pPr>
      <w:r w:rsidRPr="000F1941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66" w:rsidRDefault="00D74C66" w:rsidP="006E774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3D9F">
      <w:rPr>
        <w:rStyle w:val="PageNumber"/>
        <w:noProof/>
      </w:rPr>
      <w:t>2</w:t>
    </w:r>
    <w:r>
      <w:rPr>
        <w:rStyle w:val="PageNumber"/>
      </w:rPr>
      <w:fldChar w:fldCharType="end"/>
    </w:r>
  </w:p>
  <w:p w:rsidR="00D74C66" w:rsidRDefault="00D74C66" w:rsidP="008E592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66" w:rsidRDefault="00D74C66" w:rsidP="00A93D9F">
    <w:pPr>
      <w:pStyle w:val="Header"/>
      <w:framePr w:wrap="around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49E5">
      <w:rPr>
        <w:rStyle w:val="PageNumber"/>
        <w:noProof/>
      </w:rPr>
      <w:t>2</w:t>
    </w:r>
    <w:r>
      <w:rPr>
        <w:rStyle w:val="PageNumber"/>
      </w:rPr>
      <w:fldChar w:fldCharType="end"/>
    </w:r>
    <w:r w:rsidR="00A93D9F">
      <w:rPr>
        <w:rStyle w:val="PageNumber"/>
      </w:rPr>
      <w:t>.</w:t>
    </w:r>
  </w:p>
  <w:p w:rsidR="00D74C66" w:rsidRDefault="00D74C66" w:rsidP="003A71B1">
    <w:pPr>
      <w:pStyle w:val="Header"/>
      <w:tabs>
        <w:tab w:val="clear" w:pos="4536"/>
      </w:tabs>
      <w:ind w:right="360"/>
    </w:pPr>
  </w:p>
  <w:p w:rsidR="00D74C66" w:rsidRDefault="00D74C66" w:rsidP="008E592E">
    <w:pPr>
      <w:pStyle w:val="Header"/>
      <w:ind w:right="360"/>
    </w:pPr>
  </w:p>
  <w:p w:rsidR="00D74C66" w:rsidRDefault="00D74C66" w:rsidP="008E59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27461A7"/>
    <w:multiLevelType w:val="hybridMultilevel"/>
    <w:tmpl w:val="0EFA05F2"/>
    <w:lvl w:ilvl="0" w:tplc="FC8AC00C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A6EBA"/>
    <w:multiLevelType w:val="hybridMultilevel"/>
    <w:tmpl w:val="7B1EA4B0"/>
    <w:lvl w:ilvl="0" w:tplc="B5785536">
      <w:numFmt w:val="bullet"/>
      <w:lvlText w:val="–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B3A60"/>
    <w:multiLevelType w:val="multilevel"/>
    <w:tmpl w:val="ACBE89F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408"/>
        </w:tabs>
        <w:ind w:left="15408" w:hanging="1800"/>
      </w:pPr>
      <w:rPr>
        <w:rFonts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62DA6"/>
    <w:multiLevelType w:val="hybridMultilevel"/>
    <w:tmpl w:val="4D10C156"/>
    <w:lvl w:ilvl="0" w:tplc="45789EAA">
      <w:numFmt w:val="bullet"/>
      <w:lvlText w:val="–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F93314"/>
    <w:multiLevelType w:val="multilevel"/>
    <w:tmpl w:val="ACBE89F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408"/>
        </w:tabs>
        <w:ind w:left="15408" w:hanging="1800"/>
      </w:pPr>
      <w:rPr>
        <w:rFonts w:hint="default"/>
      </w:rPr>
    </w:lvl>
  </w:abstractNum>
  <w:abstractNum w:abstractNumId="11">
    <w:nsid w:val="6CE7331A"/>
    <w:multiLevelType w:val="multilevel"/>
    <w:tmpl w:val="31EC7F3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408"/>
        </w:tabs>
        <w:ind w:left="15408" w:hanging="1800"/>
      </w:pPr>
      <w:rPr>
        <w:rFonts w:hint="default"/>
      </w:rPr>
    </w:lvl>
  </w:abstractNum>
  <w:abstractNum w:abstractNumId="12">
    <w:nsid w:val="6E02017F"/>
    <w:multiLevelType w:val="hybridMultilevel"/>
    <w:tmpl w:val="F912CB9E"/>
    <w:lvl w:ilvl="0" w:tplc="8C74D154">
      <w:start w:val="3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DB"/>
    <w:rsid w:val="00002C66"/>
    <w:rsid w:val="0001044D"/>
    <w:rsid w:val="0006270A"/>
    <w:rsid w:val="00070733"/>
    <w:rsid w:val="00072228"/>
    <w:rsid w:val="000964C0"/>
    <w:rsid w:val="000A3680"/>
    <w:rsid w:val="000B05EE"/>
    <w:rsid w:val="000B4590"/>
    <w:rsid w:val="000C5E8D"/>
    <w:rsid w:val="000D0870"/>
    <w:rsid w:val="000D25FA"/>
    <w:rsid w:val="000D2EA9"/>
    <w:rsid w:val="000D4A85"/>
    <w:rsid w:val="000D521D"/>
    <w:rsid w:val="000E5797"/>
    <w:rsid w:val="000E779B"/>
    <w:rsid w:val="000F1941"/>
    <w:rsid w:val="000F5CBD"/>
    <w:rsid w:val="000F5E56"/>
    <w:rsid w:val="000F655C"/>
    <w:rsid w:val="000F7BCE"/>
    <w:rsid w:val="00103AFE"/>
    <w:rsid w:val="00117D3D"/>
    <w:rsid w:val="00130BB4"/>
    <w:rsid w:val="00137DDC"/>
    <w:rsid w:val="00142360"/>
    <w:rsid w:val="00145B81"/>
    <w:rsid w:val="00154166"/>
    <w:rsid w:val="0016000F"/>
    <w:rsid w:val="00160BB4"/>
    <w:rsid w:val="0016392C"/>
    <w:rsid w:val="0016424D"/>
    <w:rsid w:val="00167FF5"/>
    <w:rsid w:val="001703D8"/>
    <w:rsid w:val="00170495"/>
    <w:rsid w:val="00174170"/>
    <w:rsid w:val="0018211C"/>
    <w:rsid w:val="00185D7B"/>
    <w:rsid w:val="001866EF"/>
    <w:rsid w:val="00187647"/>
    <w:rsid w:val="001A031E"/>
    <w:rsid w:val="001A23AF"/>
    <w:rsid w:val="001A5F85"/>
    <w:rsid w:val="001B0DF8"/>
    <w:rsid w:val="001D0B8A"/>
    <w:rsid w:val="001D598C"/>
    <w:rsid w:val="001E0DAC"/>
    <w:rsid w:val="001E3C47"/>
    <w:rsid w:val="001F1DD6"/>
    <w:rsid w:val="001F5765"/>
    <w:rsid w:val="00207FE2"/>
    <w:rsid w:val="00213FEA"/>
    <w:rsid w:val="00220243"/>
    <w:rsid w:val="00231AA3"/>
    <w:rsid w:val="00231EB9"/>
    <w:rsid w:val="002356E2"/>
    <w:rsid w:val="002445FB"/>
    <w:rsid w:val="0024658B"/>
    <w:rsid w:val="002579F6"/>
    <w:rsid w:val="0026637D"/>
    <w:rsid w:val="00273072"/>
    <w:rsid w:val="00283289"/>
    <w:rsid w:val="00294534"/>
    <w:rsid w:val="002A3FDA"/>
    <w:rsid w:val="002B1141"/>
    <w:rsid w:val="002B1142"/>
    <w:rsid w:val="002B43C6"/>
    <w:rsid w:val="002B4C68"/>
    <w:rsid w:val="002B54BB"/>
    <w:rsid w:val="002B7CF6"/>
    <w:rsid w:val="002C6075"/>
    <w:rsid w:val="002E1168"/>
    <w:rsid w:val="002E7D6B"/>
    <w:rsid w:val="002F2890"/>
    <w:rsid w:val="00314DC2"/>
    <w:rsid w:val="003171DB"/>
    <w:rsid w:val="003205E2"/>
    <w:rsid w:val="00320B66"/>
    <w:rsid w:val="003344AC"/>
    <w:rsid w:val="00334ED2"/>
    <w:rsid w:val="003403F0"/>
    <w:rsid w:val="003405D7"/>
    <w:rsid w:val="0034752A"/>
    <w:rsid w:val="00375EDD"/>
    <w:rsid w:val="00376DE3"/>
    <w:rsid w:val="00377F00"/>
    <w:rsid w:val="00382B6F"/>
    <w:rsid w:val="003859D4"/>
    <w:rsid w:val="00393EE0"/>
    <w:rsid w:val="003A71B1"/>
    <w:rsid w:val="003A7EA1"/>
    <w:rsid w:val="003B3EC4"/>
    <w:rsid w:val="003C334B"/>
    <w:rsid w:val="003C3D99"/>
    <w:rsid w:val="003D04FD"/>
    <w:rsid w:val="003D5617"/>
    <w:rsid w:val="003E5136"/>
    <w:rsid w:val="003E7B13"/>
    <w:rsid w:val="003F0C74"/>
    <w:rsid w:val="00406D4A"/>
    <w:rsid w:val="0044211F"/>
    <w:rsid w:val="00444169"/>
    <w:rsid w:val="004509ED"/>
    <w:rsid w:val="00454680"/>
    <w:rsid w:val="00460993"/>
    <w:rsid w:val="00464217"/>
    <w:rsid w:val="00471B2E"/>
    <w:rsid w:val="00480395"/>
    <w:rsid w:val="00497B11"/>
    <w:rsid w:val="004D6F2D"/>
    <w:rsid w:val="004E42EE"/>
    <w:rsid w:val="004E7EAA"/>
    <w:rsid w:val="005027BB"/>
    <w:rsid w:val="005136BA"/>
    <w:rsid w:val="00521C6C"/>
    <w:rsid w:val="00532DD1"/>
    <w:rsid w:val="00536619"/>
    <w:rsid w:val="005451B8"/>
    <w:rsid w:val="00545392"/>
    <w:rsid w:val="0055046A"/>
    <w:rsid w:val="005534CA"/>
    <w:rsid w:val="00553C2B"/>
    <w:rsid w:val="005627C2"/>
    <w:rsid w:val="005667FD"/>
    <w:rsid w:val="005670DF"/>
    <w:rsid w:val="005721D0"/>
    <w:rsid w:val="00582B32"/>
    <w:rsid w:val="00583C93"/>
    <w:rsid w:val="005935E2"/>
    <w:rsid w:val="00595A96"/>
    <w:rsid w:val="00597651"/>
    <w:rsid w:val="005A0EFE"/>
    <w:rsid w:val="005A7FB4"/>
    <w:rsid w:val="005B1597"/>
    <w:rsid w:val="005B3021"/>
    <w:rsid w:val="005B320B"/>
    <w:rsid w:val="005C201B"/>
    <w:rsid w:val="005C656D"/>
    <w:rsid w:val="005D5B71"/>
    <w:rsid w:val="005D7FBB"/>
    <w:rsid w:val="0060453C"/>
    <w:rsid w:val="006237CC"/>
    <w:rsid w:val="00633629"/>
    <w:rsid w:val="00645ECF"/>
    <w:rsid w:val="00684B37"/>
    <w:rsid w:val="00695F1F"/>
    <w:rsid w:val="006978E4"/>
    <w:rsid w:val="006A46EE"/>
    <w:rsid w:val="006A66E8"/>
    <w:rsid w:val="006E7745"/>
    <w:rsid w:val="006F4A70"/>
    <w:rsid w:val="006F5B51"/>
    <w:rsid w:val="007015C6"/>
    <w:rsid w:val="00702D8B"/>
    <w:rsid w:val="00710F06"/>
    <w:rsid w:val="00712B23"/>
    <w:rsid w:val="00715D12"/>
    <w:rsid w:val="007313A8"/>
    <w:rsid w:val="007542DF"/>
    <w:rsid w:val="00756DF3"/>
    <w:rsid w:val="00787C93"/>
    <w:rsid w:val="007A122E"/>
    <w:rsid w:val="007A5F5B"/>
    <w:rsid w:val="007A7A45"/>
    <w:rsid w:val="007B5CAC"/>
    <w:rsid w:val="007C7289"/>
    <w:rsid w:val="007E4AAD"/>
    <w:rsid w:val="007F099A"/>
    <w:rsid w:val="007F0EFA"/>
    <w:rsid w:val="007F1920"/>
    <w:rsid w:val="00803A9D"/>
    <w:rsid w:val="008158BB"/>
    <w:rsid w:val="00817AE9"/>
    <w:rsid w:val="00830E4D"/>
    <w:rsid w:val="0085149F"/>
    <w:rsid w:val="00862712"/>
    <w:rsid w:val="008647FC"/>
    <w:rsid w:val="008659B6"/>
    <w:rsid w:val="00870EC8"/>
    <w:rsid w:val="00872074"/>
    <w:rsid w:val="00872892"/>
    <w:rsid w:val="00874B0D"/>
    <w:rsid w:val="008831E8"/>
    <w:rsid w:val="008A3F67"/>
    <w:rsid w:val="008A576D"/>
    <w:rsid w:val="008B6E93"/>
    <w:rsid w:val="008B7B9D"/>
    <w:rsid w:val="008C5232"/>
    <w:rsid w:val="008C57D2"/>
    <w:rsid w:val="008D6AEB"/>
    <w:rsid w:val="008E2245"/>
    <w:rsid w:val="008E226D"/>
    <w:rsid w:val="008E592E"/>
    <w:rsid w:val="008F6BCF"/>
    <w:rsid w:val="008F768D"/>
    <w:rsid w:val="0090291C"/>
    <w:rsid w:val="00912977"/>
    <w:rsid w:val="009679AD"/>
    <w:rsid w:val="00992945"/>
    <w:rsid w:val="009A0CAE"/>
    <w:rsid w:val="009B3126"/>
    <w:rsid w:val="009C216E"/>
    <w:rsid w:val="009F4DA6"/>
    <w:rsid w:val="00A011E6"/>
    <w:rsid w:val="00A04BA1"/>
    <w:rsid w:val="00A05190"/>
    <w:rsid w:val="00A110D2"/>
    <w:rsid w:val="00A16459"/>
    <w:rsid w:val="00A252FA"/>
    <w:rsid w:val="00A326CA"/>
    <w:rsid w:val="00A327B2"/>
    <w:rsid w:val="00A5423E"/>
    <w:rsid w:val="00A66512"/>
    <w:rsid w:val="00A73A9D"/>
    <w:rsid w:val="00A849E5"/>
    <w:rsid w:val="00A9100A"/>
    <w:rsid w:val="00A93D9F"/>
    <w:rsid w:val="00A953E1"/>
    <w:rsid w:val="00AC16D5"/>
    <w:rsid w:val="00AC317F"/>
    <w:rsid w:val="00AC4833"/>
    <w:rsid w:val="00AD293D"/>
    <w:rsid w:val="00AD6165"/>
    <w:rsid w:val="00B048AB"/>
    <w:rsid w:val="00B1624A"/>
    <w:rsid w:val="00B20FF9"/>
    <w:rsid w:val="00B23CA0"/>
    <w:rsid w:val="00B26DE4"/>
    <w:rsid w:val="00B319A6"/>
    <w:rsid w:val="00B3384D"/>
    <w:rsid w:val="00B37283"/>
    <w:rsid w:val="00B42227"/>
    <w:rsid w:val="00B43B35"/>
    <w:rsid w:val="00B44CD4"/>
    <w:rsid w:val="00B51CB8"/>
    <w:rsid w:val="00B527C9"/>
    <w:rsid w:val="00B655FC"/>
    <w:rsid w:val="00B717E1"/>
    <w:rsid w:val="00B73162"/>
    <w:rsid w:val="00B74A7B"/>
    <w:rsid w:val="00B81291"/>
    <w:rsid w:val="00B85D9F"/>
    <w:rsid w:val="00B8798B"/>
    <w:rsid w:val="00B97437"/>
    <w:rsid w:val="00BA7277"/>
    <w:rsid w:val="00BA7AFF"/>
    <w:rsid w:val="00BB4E96"/>
    <w:rsid w:val="00BD1006"/>
    <w:rsid w:val="00BD3ADD"/>
    <w:rsid w:val="00BD71D8"/>
    <w:rsid w:val="00BE3269"/>
    <w:rsid w:val="00BF0F81"/>
    <w:rsid w:val="00BF7A41"/>
    <w:rsid w:val="00C025DA"/>
    <w:rsid w:val="00C04F49"/>
    <w:rsid w:val="00C05E25"/>
    <w:rsid w:val="00C1291E"/>
    <w:rsid w:val="00C14624"/>
    <w:rsid w:val="00C149E3"/>
    <w:rsid w:val="00C2028C"/>
    <w:rsid w:val="00C21CDF"/>
    <w:rsid w:val="00C3724F"/>
    <w:rsid w:val="00C411B3"/>
    <w:rsid w:val="00C43490"/>
    <w:rsid w:val="00C44E5A"/>
    <w:rsid w:val="00C457AF"/>
    <w:rsid w:val="00C56728"/>
    <w:rsid w:val="00C66FA3"/>
    <w:rsid w:val="00C72E9B"/>
    <w:rsid w:val="00C73510"/>
    <w:rsid w:val="00C846BC"/>
    <w:rsid w:val="00C90726"/>
    <w:rsid w:val="00C9179A"/>
    <w:rsid w:val="00C9723C"/>
    <w:rsid w:val="00CB2DF7"/>
    <w:rsid w:val="00CC659E"/>
    <w:rsid w:val="00CD0697"/>
    <w:rsid w:val="00CD4221"/>
    <w:rsid w:val="00CF00A8"/>
    <w:rsid w:val="00D07A51"/>
    <w:rsid w:val="00D17A8C"/>
    <w:rsid w:val="00D213DB"/>
    <w:rsid w:val="00D250F2"/>
    <w:rsid w:val="00D376CB"/>
    <w:rsid w:val="00D414E7"/>
    <w:rsid w:val="00D52FBE"/>
    <w:rsid w:val="00D540A8"/>
    <w:rsid w:val="00D6150D"/>
    <w:rsid w:val="00D61C3E"/>
    <w:rsid w:val="00D73528"/>
    <w:rsid w:val="00D74C66"/>
    <w:rsid w:val="00D74EF7"/>
    <w:rsid w:val="00D7625B"/>
    <w:rsid w:val="00D83637"/>
    <w:rsid w:val="00D872E7"/>
    <w:rsid w:val="00DA0453"/>
    <w:rsid w:val="00DB60CA"/>
    <w:rsid w:val="00DC6B23"/>
    <w:rsid w:val="00DC6FC7"/>
    <w:rsid w:val="00DD4C78"/>
    <w:rsid w:val="00DE1564"/>
    <w:rsid w:val="00DE1EBE"/>
    <w:rsid w:val="00DE6474"/>
    <w:rsid w:val="00DE7681"/>
    <w:rsid w:val="00E00C1D"/>
    <w:rsid w:val="00E05682"/>
    <w:rsid w:val="00E11200"/>
    <w:rsid w:val="00E43EB6"/>
    <w:rsid w:val="00E5122F"/>
    <w:rsid w:val="00E80C75"/>
    <w:rsid w:val="00E95787"/>
    <w:rsid w:val="00EA7061"/>
    <w:rsid w:val="00EB0E89"/>
    <w:rsid w:val="00EB6263"/>
    <w:rsid w:val="00EC235E"/>
    <w:rsid w:val="00EC6731"/>
    <w:rsid w:val="00EE6280"/>
    <w:rsid w:val="00EF6802"/>
    <w:rsid w:val="00F0045A"/>
    <w:rsid w:val="00F03015"/>
    <w:rsid w:val="00F1693C"/>
    <w:rsid w:val="00F20445"/>
    <w:rsid w:val="00F2611B"/>
    <w:rsid w:val="00F27BC1"/>
    <w:rsid w:val="00F41296"/>
    <w:rsid w:val="00F5111C"/>
    <w:rsid w:val="00F5236D"/>
    <w:rsid w:val="00F5575D"/>
    <w:rsid w:val="00F66640"/>
    <w:rsid w:val="00F75AF9"/>
    <w:rsid w:val="00F808E7"/>
    <w:rsid w:val="00FB2014"/>
    <w:rsid w:val="00FB5F6D"/>
    <w:rsid w:val="00FC6D7F"/>
    <w:rsid w:val="00FE5D2D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23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character" w:styleId="Hyperlink">
    <w:name w:val="Hyperlink"/>
    <w:rsid w:val="00A110D2"/>
    <w:rPr>
      <w:color w:val="0000FF"/>
      <w:u w:val="single"/>
    </w:rPr>
  </w:style>
  <w:style w:type="paragraph" w:customStyle="1" w:styleId="Char">
    <w:name w:val="Char 字元 字元"/>
    <w:basedOn w:val="Normal"/>
    <w:rsid w:val="00645ECF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8F768D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al"/>
    <w:rsid w:val="00A04BA1"/>
    <w:pPr>
      <w:spacing w:after="120" w:line="260" w:lineRule="atLeast"/>
      <w:ind w:left="1531"/>
      <w:contextualSpacing/>
    </w:pPr>
    <w:rPr>
      <w:rFonts w:eastAsia="Times New Roman" w:cs="Times New Roman"/>
      <w:sz w:val="20"/>
      <w:lang w:eastAsia="en-US"/>
    </w:rPr>
  </w:style>
  <w:style w:type="paragraph" w:styleId="DocumentMap">
    <w:name w:val="Document Map"/>
    <w:basedOn w:val="Normal"/>
    <w:semiHidden/>
    <w:rsid w:val="00B3728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3405D7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405D7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23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character" w:styleId="Hyperlink">
    <w:name w:val="Hyperlink"/>
    <w:rsid w:val="00A110D2"/>
    <w:rPr>
      <w:color w:val="0000FF"/>
      <w:u w:val="single"/>
    </w:rPr>
  </w:style>
  <w:style w:type="paragraph" w:customStyle="1" w:styleId="Char">
    <w:name w:val="Char 字元 字元"/>
    <w:basedOn w:val="Normal"/>
    <w:rsid w:val="00645ECF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8F768D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al"/>
    <w:rsid w:val="00A04BA1"/>
    <w:pPr>
      <w:spacing w:after="120" w:line="260" w:lineRule="atLeast"/>
      <w:ind w:left="1531"/>
      <w:contextualSpacing/>
    </w:pPr>
    <w:rPr>
      <w:rFonts w:eastAsia="Times New Roman" w:cs="Times New Roman"/>
      <w:sz w:val="20"/>
      <w:lang w:eastAsia="en-US"/>
    </w:rPr>
  </w:style>
  <w:style w:type="paragraph" w:styleId="DocumentMap">
    <w:name w:val="Document Map"/>
    <w:basedOn w:val="Normal"/>
    <w:semiHidden/>
    <w:rsid w:val="00B3728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3405D7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405D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madrid/en/servic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ipo.int/mg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9D6A-81E9-427A-A7EB-F12A9AFC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Comunicación relativa al gestor de productos y servicios de Madrid (MGS)</vt:lpstr>
    </vt:vector>
  </TitlesOfParts>
  <Company>WIPO</Company>
  <LinksUpToDate>false</LinksUpToDate>
  <CharactersWithSpaces>3589</CharactersWithSpaces>
  <SharedDoc>false</SharedDoc>
  <HLinks>
    <vt:vector size="12" baseType="variant">
      <vt:variant>
        <vt:i4>8192103</vt:i4>
      </vt:variant>
      <vt:variant>
        <vt:i4>3</vt:i4>
      </vt:variant>
      <vt:variant>
        <vt:i4>0</vt:i4>
      </vt:variant>
      <vt:variant>
        <vt:i4>5</vt:i4>
      </vt:variant>
      <vt:variant>
        <vt:lpwstr>http://www.wipo.int/madrid/en/services/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http://www.wipo.int/mgs/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relativa al gestor de productos y servicios de Madrid (MGS)</dc:title>
  <dc:subject>Aviso Nº 12/2014</dc:subject>
  <dc:creator>CEVALLOS</dc:creator>
  <dc:description>CPV/nc
17/06/2014</dc:description>
  <cp:lastModifiedBy>COUTANTIC Sylvie</cp:lastModifiedBy>
  <cp:revision>3</cp:revision>
  <cp:lastPrinted>2014-06-19T09:18:00Z</cp:lastPrinted>
  <dcterms:created xsi:type="dcterms:W3CDTF">2014-06-26T14:40:00Z</dcterms:created>
  <dcterms:modified xsi:type="dcterms:W3CDTF">2014-06-26T14:41:00Z</dcterms:modified>
</cp:coreProperties>
</file>