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AC0B81" w:rsidRPr="00806DA1" w14:paraId="0254095C" w14:textId="77777777" w:rsidTr="00582BD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11CFFD4" w14:textId="77777777" w:rsidR="00AC0B81" w:rsidRPr="00806DA1" w:rsidRDefault="00AC0B81" w:rsidP="00582BD0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8F24B6" w14:textId="77777777" w:rsidR="00AC0B81" w:rsidRPr="00806DA1" w:rsidRDefault="00AC0B81" w:rsidP="00582BD0">
            <w:pPr>
              <w:rPr>
                <w:b/>
                <w:bCs/>
                <w:sz w:val="28"/>
                <w:szCs w:val="28"/>
                <w:lang w:val="fr-FR"/>
              </w:rPr>
            </w:pPr>
            <w:r w:rsidRPr="00806DA1">
              <w:rPr>
                <w:b/>
                <w:bCs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12C4B025" wp14:editId="1EA63D88">
                  <wp:extent cx="1858645" cy="1325245"/>
                  <wp:effectExtent l="0" t="0" r="8255" b="825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5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80128A" w14:textId="77777777" w:rsidR="00AC0B81" w:rsidRPr="00806DA1" w:rsidRDefault="00AC0B81" w:rsidP="00582BD0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</w:p>
        </w:tc>
      </w:tr>
      <w:tr w:rsidR="00AC0B81" w:rsidRPr="00806DA1" w14:paraId="7740ECF3" w14:textId="77777777" w:rsidTr="00582BD0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CF7BE00" w14:textId="77777777" w:rsidR="00AC0B81" w:rsidRPr="00806DA1" w:rsidRDefault="00AC0B81" w:rsidP="00582BD0">
            <w:pPr>
              <w:jc w:val="right"/>
              <w:rPr>
                <w:b/>
                <w:bCs/>
                <w:sz w:val="28"/>
                <w:szCs w:val="28"/>
                <w:lang w:val="fr-FR"/>
              </w:rPr>
            </w:pPr>
            <w:bookmarkStart w:id="0" w:name="Original"/>
            <w:bookmarkEnd w:id="0"/>
          </w:p>
        </w:tc>
      </w:tr>
      <w:tr w:rsidR="00AC0B81" w:rsidRPr="00881E99" w14:paraId="7706C2CA" w14:textId="77777777" w:rsidTr="00582BD0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10CF2D3A" w14:textId="59E45216" w:rsidR="00AC0B81" w:rsidRPr="008E0D20" w:rsidRDefault="005C1B70" w:rsidP="008E0D20">
            <w:pPr>
              <w:jc w:val="right"/>
              <w:rPr>
                <w:rFonts w:ascii="Arial Black" w:hAnsi="Arial Black"/>
                <w:b/>
                <w:bCs/>
                <w:sz w:val="15"/>
                <w:szCs w:val="15"/>
                <w:lang w:val="fr-FR"/>
              </w:rPr>
            </w:pPr>
            <w:r w:rsidRPr="008E0D20">
              <w:rPr>
                <w:rFonts w:ascii="Arial Black" w:hAnsi="Arial Black"/>
                <w:b/>
                <w:bCs/>
                <w:sz w:val="15"/>
                <w:szCs w:val="15"/>
                <w:lang w:val="fr-FR"/>
              </w:rPr>
              <w:t>AVIS</w:t>
            </w:r>
            <w:r w:rsidR="008E0D20" w:rsidRPr="008E0D20">
              <w:rPr>
                <w:rFonts w:ascii="Arial Black" w:hAnsi="Arial Black"/>
                <w:b/>
                <w:bCs/>
                <w:sz w:val="15"/>
                <w:szCs w:val="15"/>
                <w:lang w:val="fr-FR"/>
              </w:rPr>
              <w:t xml:space="preserve"> N° 54</w:t>
            </w:r>
            <w:r w:rsidR="00AC0B81" w:rsidRPr="008E0D20">
              <w:rPr>
                <w:rFonts w:ascii="Arial Black" w:hAnsi="Arial Black"/>
                <w:b/>
                <w:bCs/>
                <w:sz w:val="15"/>
                <w:szCs w:val="15"/>
                <w:lang w:val="fr-FR"/>
              </w:rPr>
              <w:t xml:space="preserve">/2020  </w:t>
            </w:r>
            <w:bookmarkStart w:id="1" w:name="Date"/>
            <w:bookmarkEnd w:id="1"/>
          </w:p>
        </w:tc>
      </w:tr>
    </w:tbl>
    <w:p w14:paraId="38365487" w14:textId="77777777" w:rsidR="008F7FA5" w:rsidRDefault="00FB504E" w:rsidP="00AC0B81">
      <w:pPr>
        <w:autoSpaceDE w:val="0"/>
        <w:autoSpaceDN w:val="0"/>
        <w:adjustRightInd w:val="0"/>
        <w:spacing w:before="1200"/>
        <w:rPr>
          <w:bCs/>
          <w:szCs w:val="22"/>
          <w:lang w:val="fr-FR"/>
        </w:rPr>
      </w:pPr>
      <w:r w:rsidRPr="00FB504E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15B81C91" w14:textId="4F9955C0" w:rsidR="008F7FA5" w:rsidRDefault="000C70F1" w:rsidP="00881E99">
      <w:pPr>
        <w:spacing w:before="480" w:after="240"/>
        <w:rPr>
          <w:b/>
          <w:bCs/>
          <w:sz w:val="24"/>
          <w:szCs w:val="24"/>
          <w:lang w:val="fr-FR"/>
        </w:rPr>
      </w:pPr>
      <w:r w:rsidRPr="00090DBC">
        <w:rPr>
          <w:b/>
          <w:bCs/>
          <w:sz w:val="24"/>
          <w:szCs w:val="24"/>
          <w:lang w:val="fr-FR"/>
        </w:rPr>
        <w:t>Royaume-Uni</w:t>
      </w:r>
      <w:r>
        <w:rPr>
          <w:b/>
          <w:bCs/>
          <w:sz w:val="24"/>
          <w:szCs w:val="24"/>
          <w:lang w:val="fr-FR"/>
        </w:rPr>
        <w:t> </w:t>
      </w:r>
      <w:r w:rsidRPr="00090DBC">
        <w:rPr>
          <w:b/>
          <w:bCs/>
          <w:sz w:val="24"/>
          <w:szCs w:val="24"/>
          <w:lang w:val="fr-FR"/>
        </w:rPr>
        <w:t xml:space="preserve">: </w:t>
      </w:r>
      <w:r>
        <w:rPr>
          <w:b/>
          <w:bCs/>
          <w:sz w:val="24"/>
          <w:szCs w:val="24"/>
          <w:lang w:val="fr-FR"/>
        </w:rPr>
        <w:t>Conséquences</w:t>
      </w:r>
      <w:r w:rsidRPr="00090DBC">
        <w:rPr>
          <w:b/>
          <w:bCs/>
          <w:sz w:val="24"/>
          <w:szCs w:val="24"/>
          <w:lang w:val="fr-FR"/>
        </w:rPr>
        <w:t xml:space="preserve"> de la fin de la période de transition </w:t>
      </w:r>
      <w:r>
        <w:rPr>
          <w:b/>
          <w:bCs/>
          <w:sz w:val="24"/>
          <w:szCs w:val="24"/>
          <w:lang w:val="fr-FR"/>
        </w:rPr>
        <w:t>pour</w:t>
      </w:r>
      <w:r w:rsidRPr="00090DBC">
        <w:rPr>
          <w:b/>
          <w:bCs/>
          <w:sz w:val="24"/>
          <w:szCs w:val="24"/>
          <w:lang w:val="fr-FR"/>
        </w:rPr>
        <w:t xml:space="preserve"> les demandes internationales et les enregistrements internationaux</w:t>
      </w:r>
    </w:p>
    <w:p w14:paraId="72BF30B5" w14:textId="6839858F" w:rsidR="008F7FA5" w:rsidRPr="00B20A6D" w:rsidRDefault="000C70F1" w:rsidP="00970435">
      <w:pPr>
        <w:pStyle w:val="ONUME"/>
        <w:rPr>
          <w:lang w:val="fr-FR"/>
        </w:rPr>
      </w:pPr>
      <w:r w:rsidRPr="00464BC9">
        <w:rPr>
          <w:lang w:val="fr-FR"/>
        </w:rPr>
        <w:t>L’Accord sur le retrait du Royaume-Uni de Grande-Bretagne et d’Irlande du Nord de</w:t>
      </w:r>
      <w:r w:rsidR="008E0D20">
        <w:rPr>
          <w:lang w:val="fr-FR"/>
        </w:rPr>
        <w:t> </w:t>
      </w:r>
      <w:r w:rsidRPr="00464BC9">
        <w:rPr>
          <w:lang w:val="fr-FR"/>
        </w:rPr>
        <w:t>l’Union européenne et de la Communauté eur</w:t>
      </w:r>
      <w:r w:rsidR="008E0D20">
        <w:rPr>
          <w:lang w:val="fr-FR"/>
        </w:rPr>
        <w:t xml:space="preserve">opéenne de l’énergie atomique </w:t>
      </w:r>
      <w:r w:rsidRPr="00464BC9">
        <w:rPr>
          <w:lang w:val="fr-FR"/>
        </w:rPr>
        <w:t>prévoit une</w:t>
      </w:r>
      <w:r w:rsidR="008E0D20">
        <w:rPr>
          <w:lang w:val="fr-FR"/>
        </w:rPr>
        <w:t> </w:t>
      </w:r>
      <w:bookmarkStart w:id="2" w:name="_GoBack"/>
      <w:bookmarkEnd w:id="2"/>
      <w:r w:rsidRPr="00464BC9">
        <w:rPr>
          <w:lang w:val="fr-FR"/>
        </w:rPr>
        <w:t>période de transition qui prendra fin le 31 décembre 2020 (</w:t>
      </w:r>
      <w:r>
        <w:rPr>
          <w:lang w:val="fr-FR"/>
        </w:rPr>
        <w:t>voir</w:t>
      </w:r>
      <w:r w:rsidRPr="00464BC9">
        <w:rPr>
          <w:lang w:val="fr-FR"/>
        </w:rPr>
        <w:t xml:space="preserve"> l’avis n° </w:t>
      </w:r>
      <w:r w:rsidR="000707AB">
        <w:rPr>
          <w:lang w:val="fr-FR"/>
        </w:rPr>
        <w:t>2/2020)</w:t>
      </w:r>
      <w:r w:rsidR="00970435" w:rsidRPr="000C70F1">
        <w:rPr>
          <w:lang w:val="fr-FR"/>
        </w:rPr>
        <w:t xml:space="preserve">.  </w:t>
      </w:r>
      <w:r w:rsidR="000707AB" w:rsidRPr="00464BC9">
        <w:rPr>
          <w:lang w:val="fr-FR"/>
        </w:rPr>
        <w:t>Le</w:t>
      </w:r>
      <w:r w:rsidR="00881E99">
        <w:rPr>
          <w:lang w:val="fr-FR"/>
        </w:rPr>
        <w:t> </w:t>
      </w:r>
      <w:r w:rsidR="000707AB" w:rsidRPr="00464BC9">
        <w:rPr>
          <w:lang w:val="fr-FR"/>
        </w:rPr>
        <w:t xml:space="preserve">Gouvernement du Royaume-Uni a </w:t>
      </w:r>
      <w:r w:rsidR="000707AB">
        <w:rPr>
          <w:lang w:val="fr-FR"/>
        </w:rPr>
        <w:t>communiqué au</w:t>
      </w:r>
      <w:r w:rsidR="000707AB" w:rsidRPr="00464BC9">
        <w:rPr>
          <w:lang w:val="fr-FR"/>
        </w:rPr>
        <w:t xml:space="preserve"> Bureau international de l’Organisation Mondiale de la Propriété Intellectuelle (OMPI) </w:t>
      </w:r>
      <w:r w:rsidR="000707AB">
        <w:rPr>
          <w:lang w:val="fr-FR"/>
        </w:rPr>
        <w:t>l</w:t>
      </w:r>
      <w:r w:rsidR="000707AB" w:rsidRPr="00464BC9">
        <w:rPr>
          <w:lang w:val="fr-FR"/>
        </w:rPr>
        <w:t xml:space="preserve">es mesures qu’il </w:t>
      </w:r>
      <w:r w:rsidR="000707AB">
        <w:rPr>
          <w:lang w:val="fr-FR"/>
        </w:rPr>
        <w:t>adoptera</w:t>
      </w:r>
      <w:r w:rsidR="000707AB" w:rsidRPr="00464BC9">
        <w:rPr>
          <w:lang w:val="fr-FR"/>
        </w:rPr>
        <w:t xml:space="preserve"> </w:t>
      </w:r>
      <w:r w:rsidR="000707AB">
        <w:rPr>
          <w:lang w:val="fr-FR"/>
        </w:rPr>
        <w:t>à l</w:t>
      </w:r>
      <w:r w:rsidR="003F0103">
        <w:rPr>
          <w:lang w:val="fr-FR"/>
        </w:rPr>
        <w:t>’</w:t>
      </w:r>
      <w:r w:rsidR="000707AB">
        <w:rPr>
          <w:lang w:val="fr-FR"/>
        </w:rPr>
        <w:t>issue de la période de transition</w:t>
      </w:r>
      <w:r w:rsidR="00970435" w:rsidRPr="000707AB">
        <w:rPr>
          <w:lang w:val="fr-FR"/>
        </w:rPr>
        <w:t xml:space="preserve"> </w:t>
      </w:r>
      <w:r w:rsidR="00DA32C9" w:rsidRPr="00464BC9">
        <w:rPr>
          <w:lang w:val="fr-FR"/>
        </w:rPr>
        <w:t xml:space="preserve">pour </w:t>
      </w:r>
      <w:r w:rsidR="00DA32C9">
        <w:rPr>
          <w:lang w:val="fr-FR"/>
        </w:rPr>
        <w:t>maintenir la protection</w:t>
      </w:r>
      <w:r w:rsidR="00DA32C9" w:rsidRPr="00464BC9">
        <w:rPr>
          <w:lang w:val="fr-FR"/>
        </w:rPr>
        <w:t xml:space="preserve"> au Royaume-Uni</w:t>
      </w:r>
      <w:r w:rsidR="00DA32C9">
        <w:rPr>
          <w:lang w:val="fr-FR"/>
        </w:rPr>
        <w:t xml:space="preserve"> d</w:t>
      </w:r>
      <w:r w:rsidR="0090619C">
        <w:rPr>
          <w:lang w:val="fr-FR"/>
        </w:rPr>
        <w:t>’une</w:t>
      </w:r>
      <w:r w:rsidR="00DA32C9">
        <w:rPr>
          <w:lang w:val="fr-FR"/>
        </w:rPr>
        <w:t xml:space="preserve"> marque </w:t>
      </w:r>
      <w:r w:rsidR="00AD3D06">
        <w:rPr>
          <w:lang w:val="fr-FR"/>
        </w:rPr>
        <w:t>faisant</w:t>
      </w:r>
      <w:r w:rsidR="0090619C">
        <w:rPr>
          <w:lang w:val="fr-FR"/>
        </w:rPr>
        <w:t xml:space="preserve"> l’objet</w:t>
      </w:r>
      <w:r w:rsidR="000707AB" w:rsidRPr="00B20A6D">
        <w:rPr>
          <w:lang w:val="fr-FR"/>
        </w:rPr>
        <w:t xml:space="preserve"> </w:t>
      </w:r>
      <w:r w:rsidR="0090619C">
        <w:rPr>
          <w:lang w:val="fr-FR"/>
        </w:rPr>
        <w:t xml:space="preserve">d’un </w:t>
      </w:r>
      <w:r w:rsidR="000707AB" w:rsidRPr="00B20A6D">
        <w:rPr>
          <w:lang w:val="fr-FR"/>
        </w:rPr>
        <w:t>enregistrement internationa</w:t>
      </w:r>
      <w:r w:rsidR="0090619C">
        <w:rPr>
          <w:lang w:val="fr-FR"/>
        </w:rPr>
        <w:t>l</w:t>
      </w:r>
      <w:r w:rsidR="000707AB" w:rsidRPr="00B20A6D">
        <w:rPr>
          <w:lang w:val="fr-FR"/>
        </w:rPr>
        <w:t xml:space="preserve"> produisant </w:t>
      </w:r>
      <w:r w:rsidR="0090619C">
        <w:rPr>
          <w:lang w:val="fr-FR"/>
        </w:rPr>
        <w:t>ses</w:t>
      </w:r>
      <w:r w:rsidR="000707AB" w:rsidRPr="00B20A6D">
        <w:rPr>
          <w:lang w:val="fr-FR"/>
        </w:rPr>
        <w:t xml:space="preserve"> effets dans l</w:t>
      </w:r>
      <w:r w:rsidR="003F0103" w:rsidRPr="00B20A6D">
        <w:rPr>
          <w:lang w:val="fr-FR"/>
        </w:rPr>
        <w:t>’</w:t>
      </w:r>
      <w:r w:rsidR="000707AB" w:rsidRPr="00B20A6D">
        <w:rPr>
          <w:lang w:val="fr-FR"/>
        </w:rPr>
        <w:t>Union européenne</w:t>
      </w:r>
      <w:r w:rsidR="00970435" w:rsidRPr="00B20A6D">
        <w:rPr>
          <w:lang w:val="fr-FR"/>
        </w:rPr>
        <w:t xml:space="preserve"> </w:t>
      </w:r>
      <w:r w:rsidR="000707AB" w:rsidRPr="00B20A6D">
        <w:rPr>
          <w:lang w:val="fr-FR"/>
        </w:rPr>
        <w:t>avant la fin de</w:t>
      </w:r>
      <w:r w:rsidR="00881E99" w:rsidRPr="00B20A6D">
        <w:rPr>
          <w:lang w:val="fr-FR"/>
        </w:rPr>
        <w:t> </w:t>
      </w:r>
      <w:r w:rsidR="000707AB" w:rsidRPr="00B20A6D">
        <w:rPr>
          <w:lang w:val="fr-FR"/>
        </w:rPr>
        <w:t>cette période</w:t>
      </w:r>
      <w:r w:rsidR="00DE4267" w:rsidRPr="00B20A6D">
        <w:rPr>
          <w:lang w:val="fr-FR"/>
        </w:rPr>
        <w:t>.</w:t>
      </w:r>
    </w:p>
    <w:p w14:paraId="7A4D8E5F" w14:textId="1BFE7AEC" w:rsidR="008F7FA5" w:rsidRPr="007A0932" w:rsidRDefault="006268EB" w:rsidP="006B2710">
      <w:pPr>
        <w:pStyle w:val="ONUME"/>
        <w:rPr>
          <w:lang w:val="fr-FR"/>
        </w:rPr>
      </w:pPr>
      <w:r>
        <w:rPr>
          <w:lang w:val="fr-FR"/>
        </w:rPr>
        <w:t>À l</w:t>
      </w:r>
      <w:r w:rsidR="003F0103">
        <w:rPr>
          <w:lang w:val="fr-FR"/>
        </w:rPr>
        <w:t>’</w:t>
      </w:r>
      <w:r>
        <w:rPr>
          <w:lang w:val="fr-FR"/>
        </w:rPr>
        <w:t xml:space="preserve">issue de </w:t>
      </w:r>
      <w:r w:rsidRPr="007A0932">
        <w:rPr>
          <w:lang w:val="fr-FR"/>
        </w:rPr>
        <w:t>la période de transition, une marque comparable</w:t>
      </w:r>
      <w:r w:rsidR="00014795" w:rsidRPr="007A0932">
        <w:rPr>
          <w:lang w:val="fr-FR"/>
        </w:rPr>
        <w:t xml:space="preserve"> </w:t>
      </w:r>
      <w:r w:rsidRPr="007A0932">
        <w:rPr>
          <w:lang w:val="fr-FR"/>
        </w:rPr>
        <w:t xml:space="preserve">sera créée </w:t>
      </w:r>
      <w:r w:rsidR="004A2C7D">
        <w:rPr>
          <w:lang w:val="fr-FR"/>
        </w:rPr>
        <w:t xml:space="preserve">au Royaume-Uni </w:t>
      </w:r>
      <w:r w:rsidR="00014795" w:rsidRPr="007A0932">
        <w:rPr>
          <w:lang w:val="fr-FR"/>
        </w:rPr>
        <w:t xml:space="preserve">et inscrite au registre du Royaume-Uni </w:t>
      </w:r>
      <w:r w:rsidRPr="007A0932">
        <w:rPr>
          <w:lang w:val="fr-FR"/>
        </w:rPr>
        <w:t>pour chaque enregistrement international ayant obtenu une protection dans l</w:t>
      </w:r>
      <w:r w:rsidR="003F0103" w:rsidRPr="007A0932">
        <w:rPr>
          <w:lang w:val="fr-FR"/>
        </w:rPr>
        <w:t>’</w:t>
      </w:r>
      <w:r w:rsidRPr="007A0932">
        <w:rPr>
          <w:lang w:val="fr-FR"/>
        </w:rPr>
        <w:t>Union européenne avant le 1</w:t>
      </w:r>
      <w:r w:rsidRPr="007A0932">
        <w:rPr>
          <w:vertAlign w:val="superscript"/>
          <w:lang w:val="fr-FR"/>
        </w:rPr>
        <w:t>er</w:t>
      </w:r>
      <w:r w:rsidR="003F0103" w:rsidRPr="007A0932">
        <w:rPr>
          <w:lang w:val="fr-FR"/>
        </w:rPr>
        <w:t> </w:t>
      </w:r>
      <w:r w:rsidRPr="007A0932">
        <w:rPr>
          <w:lang w:val="fr-FR"/>
        </w:rPr>
        <w:t>janvier</w:t>
      </w:r>
      <w:r w:rsidR="003F0103" w:rsidRPr="007A0932">
        <w:rPr>
          <w:lang w:val="fr-FR"/>
        </w:rPr>
        <w:t> </w:t>
      </w:r>
      <w:r w:rsidRPr="007A0932">
        <w:rPr>
          <w:lang w:val="fr-FR"/>
        </w:rPr>
        <w:t>2021.</w:t>
      </w:r>
      <w:r w:rsidR="00970435" w:rsidRPr="007A0932">
        <w:rPr>
          <w:lang w:val="fr-FR"/>
        </w:rPr>
        <w:t xml:space="preserve">  </w:t>
      </w:r>
      <w:r w:rsidR="006B2710" w:rsidRPr="007A0932">
        <w:rPr>
          <w:lang w:val="fr-FR"/>
        </w:rPr>
        <w:t xml:space="preserve">Lorsque la protection </w:t>
      </w:r>
      <w:r w:rsidR="00014795" w:rsidRPr="007A0932">
        <w:rPr>
          <w:lang w:val="fr-FR"/>
        </w:rPr>
        <w:t>sera le résultat</w:t>
      </w:r>
      <w:r w:rsidR="006B2710" w:rsidRPr="007A0932">
        <w:rPr>
          <w:lang w:val="fr-FR"/>
        </w:rPr>
        <w:t xml:space="preserve"> de désignations </w:t>
      </w:r>
      <w:r w:rsidR="00014795" w:rsidRPr="007A0932">
        <w:rPr>
          <w:lang w:val="fr-FR"/>
        </w:rPr>
        <w:t xml:space="preserve">multiples </w:t>
      </w:r>
      <w:r w:rsidR="006B2710" w:rsidRPr="007A0932">
        <w:rPr>
          <w:lang w:val="fr-FR"/>
        </w:rPr>
        <w:t>de l</w:t>
      </w:r>
      <w:r w:rsidR="003F0103" w:rsidRPr="007A0932">
        <w:rPr>
          <w:lang w:val="fr-FR"/>
        </w:rPr>
        <w:t>’</w:t>
      </w:r>
      <w:r w:rsidR="006B2710" w:rsidRPr="007A0932">
        <w:rPr>
          <w:lang w:val="fr-FR"/>
        </w:rPr>
        <w:t>Union européenne dans un enregistrement international, par exemple d</w:t>
      </w:r>
      <w:r w:rsidR="003F0103" w:rsidRPr="007A0932">
        <w:rPr>
          <w:lang w:val="fr-FR"/>
        </w:rPr>
        <w:t>’</w:t>
      </w:r>
      <w:r w:rsidR="006B2710" w:rsidRPr="007A0932">
        <w:rPr>
          <w:lang w:val="fr-FR"/>
        </w:rPr>
        <w:t>une désignation faite dans la demande internationale et d</w:t>
      </w:r>
      <w:r w:rsidR="003F0103" w:rsidRPr="007A0932">
        <w:rPr>
          <w:lang w:val="fr-FR"/>
        </w:rPr>
        <w:t>’</w:t>
      </w:r>
      <w:r w:rsidR="006B2710" w:rsidRPr="007A0932">
        <w:rPr>
          <w:lang w:val="fr-FR"/>
        </w:rPr>
        <w:t xml:space="preserve">une désignation postérieure, une marque comparable distincte sera créée </w:t>
      </w:r>
      <w:r w:rsidR="004A2C7D">
        <w:rPr>
          <w:lang w:val="fr-FR"/>
        </w:rPr>
        <w:t xml:space="preserve">au Royaume-Uni </w:t>
      </w:r>
      <w:r w:rsidR="006B2710" w:rsidRPr="007A0932">
        <w:rPr>
          <w:lang w:val="fr-FR"/>
        </w:rPr>
        <w:t>pour chaque désignation.</w:t>
      </w:r>
      <w:r w:rsidR="00970435" w:rsidRPr="007A0932">
        <w:rPr>
          <w:lang w:val="fr-FR"/>
        </w:rPr>
        <w:t xml:space="preserve">  </w:t>
      </w:r>
      <w:r w:rsidR="006B2710" w:rsidRPr="007A0932">
        <w:rPr>
          <w:lang w:val="fr-FR"/>
        </w:rPr>
        <w:t xml:space="preserve">Ces marques comparables nouvellement créées </w:t>
      </w:r>
      <w:r w:rsidR="004A2C7D">
        <w:rPr>
          <w:lang w:val="fr-FR"/>
        </w:rPr>
        <w:t xml:space="preserve">au Royaume-Uni </w:t>
      </w:r>
      <w:r w:rsidR="006B2710" w:rsidRPr="007A0932">
        <w:rPr>
          <w:lang w:val="fr-FR"/>
        </w:rPr>
        <w:t>seront indépendantes de l</w:t>
      </w:r>
      <w:r w:rsidR="003F0103" w:rsidRPr="007A0932">
        <w:rPr>
          <w:lang w:val="fr-FR"/>
        </w:rPr>
        <w:t>’</w:t>
      </w:r>
      <w:r w:rsidR="006B2710" w:rsidRPr="007A0932">
        <w:rPr>
          <w:lang w:val="fr-FR"/>
        </w:rPr>
        <w:t xml:space="preserve">enregistrement international et régies par la législation </w:t>
      </w:r>
      <w:r w:rsidR="004A2C7D">
        <w:rPr>
          <w:lang w:val="fr-FR"/>
        </w:rPr>
        <w:t>du Royaume-Uni</w:t>
      </w:r>
      <w:r w:rsidR="006B2710" w:rsidRPr="007A0932">
        <w:rPr>
          <w:lang w:val="fr-FR"/>
        </w:rPr>
        <w:t>.</w:t>
      </w:r>
      <w:r w:rsidR="00970435" w:rsidRPr="007A0932">
        <w:rPr>
          <w:lang w:val="fr-FR"/>
        </w:rPr>
        <w:t xml:space="preserve">  </w:t>
      </w:r>
      <w:r w:rsidR="006B2710" w:rsidRPr="007A0932">
        <w:rPr>
          <w:lang w:val="fr-FR"/>
        </w:rPr>
        <w:t xml:space="preserve">Par conséquent, </w:t>
      </w:r>
      <w:r w:rsidR="001B20BD" w:rsidRPr="007A0932">
        <w:rPr>
          <w:lang w:val="fr-FR"/>
        </w:rPr>
        <w:t xml:space="preserve">pour la gestion de ces marques, </w:t>
      </w:r>
      <w:r w:rsidR="006B2710" w:rsidRPr="007A0932">
        <w:rPr>
          <w:lang w:val="fr-FR"/>
        </w:rPr>
        <w:t xml:space="preserve">les titulaires devront </w:t>
      </w:r>
      <w:r w:rsidR="00014795" w:rsidRPr="007A0932">
        <w:rPr>
          <w:lang w:val="fr-FR"/>
        </w:rPr>
        <w:t>traiter</w:t>
      </w:r>
      <w:r w:rsidR="006B2710" w:rsidRPr="007A0932">
        <w:rPr>
          <w:lang w:val="fr-FR"/>
        </w:rPr>
        <w:t xml:space="preserve"> directement </w:t>
      </w:r>
      <w:r w:rsidR="00014795" w:rsidRPr="007A0932">
        <w:rPr>
          <w:lang w:val="fr-FR"/>
        </w:rPr>
        <w:t>avec</w:t>
      </w:r>
      <w:r w:rsidR="006B2710" w:rsidRPr="007A0932">
        <w:rPr>
          <w:lang w:val="fr-FR"/>
        </w:rPr>
        <w:t xml:space="preserve"> l</w:t>
      </w:r>
      <w:r w:rsidR="003F0103" w:rsidRPr="007A0932">
        <w:rPr>
          <w:lang w:val="fr-FR"/>
        </w:rPr>
        <w:t>’</w:t>
      </w:r>
      <w:r w:rsidR="006B2710" w:rsidRPr="007A0932">
        <w:rPr>
          <w:lang w:val="fr-FR"/>
        </w:rPr>
        <w:t>Office de la propriété intellectuelle du Royaume-Uni (UK</w:t>
      </w:r>
      <w:r w:rsidR="00881E99" w:rsidRPr="007A0932">
        <w:rPr>
          <w:lang w:val="fr-FR"/>
        </w:rPr>
        <w:t> </w:t>
      </w:r>
      <w:r w:rsidR="006B2710" w:rsidRPr="007A0932">
        <w:rPr>
          <w:lang w:val="fr-FR"/>
        </w:rPr>
        <w:t>IPO).</w:t>
      </w:r>
    </w:p>
    <w:p w14:paraId="379BC03A" w14:textId="33BDB730" w:rsidR="008F7FA5" w:rsidRPr="00CA669C" w:rsidRDefault="00CA669C" w:rsidP="00CA669C">
      <w:pPr>
        <w:pStyle w:val="ONUME"/>
        <w:rPr>
          <w:lang w:val="fr-FR"/>
        </w:rPr>
      </w:pPr>
      <w:r w:rsidRPr="00CA669C">
        <w:rPr>
          <w:lang w:val="fr-FR"/>
        </w:rPr>
        <w:t>Les titulaires dont les enregistrements internationaux seront encore en instance devant l</w:t>
      </w:r>
      <w:r w:rsidR="003F0103">
        <w:rPr>
          <w:lang w:val="fr-FR"/>
        </w:rPr>
        <w:t>’</w:t>
      </w:r>
      <w:r w:rsidRPr="00CA669C">
        <w:rPr>
          <w:lang w:val="fr-FR"/>
        </w:rPr>
        <w:t>Union européenne à l</w:t>
      </w:r>
      <w:r w:rsidR="003F0103">
        <w:rPr>
          <w:lang w:val="fr-FR"/>
        </w:rPr>
        <w:t>’</w:t>
      </w:r>
      <w:r w:rsidRPr="00CA669C">
        <w:rPr>
          <w:lang w:val="fr-FR"/>
        </w:rPr>
        <w:t>is</w:t>
      </w:r>
      <w:r w:rsidR="002C1B3B">
        <w:rPr>
          <w:lang w:val="fr-FR"/>
        </w:rPr>
        <w:t>sue de la période de transition</w:t>
      </w:r>
      <w:r w:rsidRPr="00CA669C">
        <w:rPr>
          <w:lang w:val="fr-FR"/>
        </w:rPr>
        <w:t xml:space="preserve"> pourront déposer une demande d</w:t>
      </w:r>
      <w:r w:rsidR="003F0103">
        <w:rPr>
          <w:lang w:val="fr-FR"/>
        </w:rPr>
        <w:t>’</w:t>
      </w:r>
      <w:r w:rsidRPr="00CA669C">
        <w:rPr>
          <w:lang w:val="fr-FR"/>
        </w:rPr>
        <w:t>enregistrement de marque auprès de l</w:t>
      </w:r>
      <w:r w:rsidR="003F0103">
        <w:rPr>
          <w:lang w:val="fr-FR"/>
        </w:rPr>
        <w:t>’</w:t>
      </w:r>
      <w:r w:rsidRPr="00CA669C">
        <w:rPr>
          <w:lang w:val="fr-FR"/>
        </w:rPr>
        <w:t>UK</w:t>
      </w:r>
      <w:r w:rsidR="00881E99">
        <w:rPr>
          <w:lang w:val="fr-FR"/>
        </w:rPr>
        <w:t> </w:t>
      </w:r>
      <w:r w:rsidRPr="00CA669C">
        <w:rPr>
          <w:lang w:val="fr-FR"/>
        </w:rPr>
        <w:t xml:space="preserve">IPO dans </w:t>
      </w:r>
      <w:r w:rsidR="002C1B3B">
        <w:rPr>
          <w:lang w:val="fr-FR"/>
        </w:rPr>
        <w:t>un délai de</w:t>
      </w:r>
      <w:r w:rsidRPr="00CA669C">
        <w:rPr>
          <w:lang w:val="fr-FR"/>
        </w:rPr>
        <w:t xml:space="preserve"> neuf mois </w:t>
      </w:r>
      <w:r w:rsidR="002C1B3B">
        <w:rPr>
          <w:lang w:val="fr-FR"/>
        </w:rPr>
        <w:t>à compter du</w:t>
      </w:r>
      <w:r w:rsidRPr="00CA669C">
        <w:rPr>
          <w:lang w:val="fr-FR"/>
        </w:rPr>
        <w:t xml:space="preserve"> 1</w:t>
      </w:r>
      <w:r w:rsidRPr="00014795">
        <w:rPr>
          <w:vertAlign w:val="superscript"/>
          <w:lang w:val="fr-FR"/>
        </w:rPr>
        <w:t>er</w:t>
      </w:r>
      <w:r w:rsidR="003F0103">
        <w:rPr>
          <w:lang w:val="fr-FR"/>
        </w:rPr>
        <w:t> </w:t>
      </w:r>
      <w:r w:rsidRPr="00CA669C">
        <w:rPr>
          <w:lang w:val="fr-FR"/>
        </w:rPr>
        <w:t>janvier</w:t>
      </w:r>
      <w:r w:rsidR="003F0103">
        <w:rPr>
          <w:lang w:val="fr-FR"/>
        </w:rPr>
        <w:t> </w:t>
      </w:r>
      <w:r w:rsidRPr="00CA669C">
        <w:rPr>
          <w:lang w:val="fr-FR"/>
        </w:rPr>
        <w:t>2021 e</w:t>
      </w:r>
      <w:r w:rsidR="005C53C7">
        <w:rPr>
          <w:lang w:val="fr-FR"/>
        </w:rPr>
        <w:t>t</w:t>
      </w:r>
      <w:r w:rsidRPr="00CA669C">
        <w:rPr>
          <w:lang w:val="fr-FR"/>
        </w:rPr>
        <w:t xml:space="preserve"> </w:t>
      </w:r>
      <w:r w:rsidR="00014795">
        <w:rPr>
          <w:lang w:val="fr-FR"/>
        </w:rPr>
        <w:t>conserv</w:t>
      </w:r>
      <w:r w:rsidR="005C53C7">
        <w:rPr>
          <w:lang w:val="fr-FR"/>
        </w:rPr>
        <w:t>er</w:t>
      </w:r>
      <w:r w:rsidRPr="00CA669C">
        <w:rPr>
          <w:lang w:val="fr-FR"/>
        </w:rPr>
        <w:t xml:space="preserve"> la date de la désignation de l</w:t>
      </w:r>
      <w:r w:rsidR="003F0103">
        <w:rPr>
          <w:lang w:val="fr-FR"/>
        </w:rPr>
        <w:t>’</w:t>
      </w:r>
      <w:r w:rsidRPr="00CA669C">
        <w:rPr>
          <w:lang w:val="fr-FR"/>
        </w:rPr>
        <w:t>Union européenne.</w:t>
      </w:r>
      <w:r w:rsidR="00970435" w:rsidRPr="00CA669C">
        <w:rPr>
          <w:lang w:val="fr-FR"/>
        </w:rPr>
        <w:t xml:space="preserve">  </w:t>
      </w:r>
      <w:r>
        <w:rPr>
          <w:lang w:val="fr-FR"/>
        </w:rPr>
        <w:t xml:space="preserve">Il en </w:t>
      </w:r>
      <w:r w:rsidR="005C53C7">
        <w:rPr>
          <w:lang w:val="fr-FR"/>
        </w:rPr>
        <w:t>i</w:t>
      </w:r>
      <w:r>
        <w:rPr>
          <w:lang w:val="fr-FR"/>
        </w:rPr>
        <w:t>ra de même pour les titulaires dont l</w:t>
      </w:r>
      <w:r w:rsidR="003F0103">
        <w:rPr>
          <w:lang w:val="fr-FR"/>
        </w:rPr>
        <w:t>’</w:t>
      </w:r>
      <w:r>
        <w:rPr>
          <w:lang w:val="fr-FR"/>
        </w:rPr>
        <w:t>enregistrement international ou la désignation postérieure de l</w:t>
      </w:r>
      <w:r w:rsidR="003F0103">
        <w:rPr>
          <w:lang w:val="fr-FR"/>
        </w:rPr>
        <w:t>’</w:t>
      </w:r>
      <w:r>
        <w:rPr>
          <w:lang w:val="fr-FR"/>
        </w:rPr>
        <w:t xml:space="preserve">Union européenne, selon le cas, </w:t>
      </w:r>
      <w:r w:rsidR="002C1B3B">
        <w:rPr>
          <w:lang w:val="fr-FR"/>
        </w:rPr>
        <w:t>sera</w:t>
      </w:r>
      <w:r>
        <w:rPr>
          <w:lang w:val="fr-FR"/>
        </w:rPr>
        <w:t xml:space="preserve"> inscrit</w:t>
      </w:r>
      <w:r w:rsidR="00A139B8">
        <w:rPr>
          <w:lang w:val="fr-FR"/>
        </w:rPr>
        <w:t xml:space="preserve">(e) </w:t>
      </w:r>
      <w:r>
        <w:rPr>
          <w:lang w:val="fr-FR"/>
        </w:rPr>
        <w:t xml:space="preserve">au registre international </w:t>
      </w:r>
      <w:r w:rsidR="002C1B3B">
        <w:rPr>
          <w:lang w:val="fr-FR"/>
        </w:rPr>
        <w:t>à l</w:t>
      </w:r>
      <w:r w:rsidR="00A139B8">
        <w:rPr>
          <w:lang w:val="fr-FR"/>
        </w:rPr>
        <w:t>’</w:t>
      </w:r>
      <w:r w:rsidR="002C1B3B">
        <w:rPr>
          <w:lang w:val="fr-FR"/>
        </w:rPr>
        <w:t>issue</w:t>
      </w:r>
      <w:r>
        <w:rPr>
          <w:lang w:val="fr-FR"/>
        </w:rPr>
        <w:t xml:space="preserve"> de la période de transition, mais avec une date antérieure au 1</w:t>
      </w:r>
      <w:r w:rsidRPr="002C1B3B">
        <w:rPr>
          <w:vertAlign w:val="superscript"/>
          <w:lang w:val="fr-FR"/>
        </w:rPr>
        <w:t>er</w:t>
      </w:r>
      <w:r w:rsidR="003F0103">
        <w:rPr>
          <w:lang w:val="fr-FR"/>
        </w:rPr>
        <w:t> </w:t>
      </w:r>
      <w:r>
        <w:rPr>
          <w:lang w:val="fr-FR"/>
        </w:rPr>
        <w:t>janvier</w:t>
      </w:r>
      <w:r w:rsidR="003F0103">
        <w:rPr>
          <w:lang w:val="fr-FR"/>
        </w:rPr>
        <w:t> </w:t>
      </w:r>
      <w:r>
        <w:rPr>
          <w:lang w:val="fr-FR"/>
        </w:rPr>
        <w:t>2021.</w:t>
      </w:r>
      <w:r w:rsidR="00970435" w:rsidRPr="00CA669C">
        <w:rPr>
          <w:lang w:val="fr-FR"/>
        </w:rPr>
        <w:t xml:space="preserve">  </w:t>
      </w:r>
      <w:r w:rsidR="00881E99">
        <w:rPr>
          <w:lang w:val="fr-FR"/>
        </w:rPr>
        <w:t>Dans ce cas, le délai de </w:t>
      </w:r>
      <w:r>
        <w:rPr>
          <w:lang w:val="fr-FR"/>
        </w:rPr>
        <w:t>neuf</w:t>
      </w:r>
      <w:r w:rsidR="00881E99">
        <w:rPr>
          <w:lang w:val="fr-FR"/>
        </w:rPr>
        <w:t> </w:t>
      </w:r>
      <w:r>
        <w:rPr>
          <w:lang w:val="fr-FR"/>
        </w:rPr>
        <w:t>mois courra à compter de la date d</w:t>
      </w:r>
      <w:r w:rsidR="003F0103">
        <w:rPr>
          <w:lang w:val="fr-FR"/>
        </w:rPr>
        <w:t>’</w:t>
      </w:r>
      <w:r>
        <w:rPr>
          <w:lang w:val="fr-FR"/>
        </w:rPr>
        <w:t>inscription de l</w:t>
      </w:r>
      <w:r w:rsidR="003F0103">
        <w:rPr>
          <w:lang w:val="fr-FR"/>
        </w:rPr>
        <w:t>’</w:t>
      </w:r>
      <w:r>
        <w:rPr>
          <w:lang w:val="fr-FR"/>
        </w:rPr>
        <w:t>enregistrement international ou de</w:t>
      </w:r>
      <w:r w:rsidR="00881E99">
        <w:rPr>
          <w:lang w:val="fr-FR"/>
        </w:rPr>
        <w:t> </w:t>
      </w:r>
      <w:r>
        <w:rPr>
          <w:lang w:val="fr-FR"/>
        </w:rPr>
        <w:t>la</w:t>
      </w:r>
      <w:r w:rsidR="00881E99">
        <w:rPr>
          <w:lang w:val="fr-FR"/>
        </w:rPr>
        <w:t> </w:t>
      </w:r>
      <w:r>
        <w:rPr>
          <w:lang w:val="fr-FR"/>
        </w:rPr>
        <w:t>désignation postérieure de l</w:t>
      </w:r>
      <w:r w:rsidR="003F0103">
        <w:rPr>
          <w:lang w:val="fr-FR"/>
        </w:rPr>
        <w:t>’</w:t>
      </w:r>
      <w:r>
        <w:rPr>
          <w:lang w:val="fr-FR"/>
        </w:rPr>
        <w:t>Union européenne au registre international.</w:t>
      </w:r>
    </w:p>
    <w:p w14:paraId="0BD32F73" w14:textId="585A8741" w:rsidR="008F7FA5" w:rsidRDefault="000C70F1" w:rsidP="00970435">
      <w:pPr>
        <w:pStyle w:val="ONUME"/>
        <w:rPr>
          <w:lang w:val="fr-FR"/>
        </w:rPr>
      </w:pPr>
      <w:r w:rsidRPr="00464BC9">
        <w:rPr>
          <w:lang w:val="fr-FR"/>
        </w:rPr>
        <w:t xml:space="preserve">Pour de plus amples informations, veuillez </w:t>
      </w:r>
      <w:r>
        <w:rPr>
          <w:lang w:val="fr-FR"/>
        </w:rPr>
        <w:t>consulter les recommandations publiées</w:t>
      </w:r>
      <w:r w:rsidRPr="00464BC9">
        <w:rPr>
          <w:lang w:val="fr-FR"/>
        </w:rPr>
        <w:t xml:space="preserve"> par le Gouvernement du Royaume-Uni à l’adresse suivante </w:t>
      </w:r>
      <w:r>
        <w:rPr>
          <w:lang w:val="fr-FR"/>
        </w:rPr>
        <w:t>:</w:t>
      </w:r>
      <w:r w:rsidR="00970435" w:rsidRPr="000C70F1">
        <w:rPr>
          <w:lang w:val="fr-FR"/>
        </w:rPr>
        <w:t xml:space="preserve"> https://www.gov.uk/guidance/changes-to-international-trade-mark-registrations-after-the-transition-peri</w:t>
      </w:r>
      <w:r w:rsidR="00DE4267">
        <w:rPr>
          <w:lang w:val="fr-FR"/>
        </w:rPr>
        <w:t>od.</w:t>
      </w:r>
    </w:p>
    <w:p w14:paraId="27DCA157" w14:textId="77777777" w:rsidR="008F7FA5" w:rsidRDefault="00970435" w:rsidP="00970435">
      <w:pPr>
        <w:rPr>
          <w:lang w:val="fr-FR"/>
        </w:rPr>
      </w:pPr>
      <w:r w:rsidRPr="000C70F1">
        <w:rPr>
          <w:lang w:val="fr-FR"/>
        </w:rPr>
        <w:br w:type="page"/>
      </w:r>
    </w:p>
    <w:p w14:paraId="1920C928" w14:textId="1128C0F3" w:rsidR="008F7FA5" w:rsidRPr="004F4627" w:rsidRDefault="00CA669C" w:rsidP="004F4627">
      <w:pPr>
        <w:pStyle w:val="ONUME"/>
        <w:rPr>
          <w:lang w:val="fr-FR"/>
        </w:rPr>
      </w:pPr>
      <w:r>
        <w:rPr>
          <w:lang w:val="fr-FR"/>
        </w:rPr>
        <w:lastRenderedPageBreak/>
        <w:t>Enfin, il convient de souligner que la fin de la période de transition ne portera pas atteinte aux droits des titulaires d</w:t>
      </w:r>
      <w:r w:rsidR="003F0103">
        <w:rPr>
          <w:lang w:val="fr-FR"/>
        </w:rPr>
        <w:t>’</w:t>
      </w:r>
      <w:r>
        <w:rPr>
          <w:lang w:val="fr-FR"/>
        </w:rPr>
        <w:t>enregistrements internationaux existants pour lesquels l</w:t>
      </w:r>
      <w:r w:rsidR="003F0103">
        <w:rPr>
          <w:lang w:val="fr-FR"/>
        </w:rPr>
        <w:t>’</w:t>
      </w:r>
      <w:r>
        <w:rPr>
          <w:lang w:val="fr-FR"/>
        </w:rPr>
        <w:t xml:space="preserve">Union européenne est la partie contractante </w:t>
      </w:r>
      <w:r w:rsidR="001E2308">
        <w:rPr>
          <w:lang w:val="fr-FR"/>
        </w:rPr>
        <w:t xml:space="preserve">du titulaire </w:t>
      </w:r>
      <w:r>
        <w:rPr>
          <w:lang w:val="fr-FR"/>
        </w:rPr>
        <w:t xml:space="preserve">et qui sont ressortissants du Royaume-Uni ou qui sont domiciliés ou </w:t>
      </w:r>
      <w:r w:rsidR="00A1676A">
        <w:rPr>
          <w:lang w:val="fr-FR"/>
        </w:rPr>
        <w:t xml:space="preserve">ont </w:t>
      </w:r>
      <w:r>
        <w:rPr>
          <w:lang w:val="fr-FR"/>
        </w:rPr>
        <w:t>un établissement industriel ou commercial effectif et sérieux dans ce pays.</w:t>
      </w:r>
      <w:r w:rsidR="00970435" w:rsidRPr="00CA669C">
        <w:rPr>
          <w:lang w:val="fr-FR"/>
        </w:rPr>
        <w:t xml:space="preserve">  </w:t>
      </w:r>
      <w:r>
        <w:rPr>
          <w:lang w:val="fr-FR"/>
        </w:rPr>
        <w:t xml:space="preserve">Néanmoins, à l’issue de la période de transition, ils ne pourront plus </w:t>
      </w:r>
      <w:r w:rsidRPr="00A1676A">
        <w:rPr>
          <w:lang w:val="fr-FR"/>
        </w:rPr>
        <w:t>revendiquer un droit par l’intermédiaire de l’Union européenne dans une demande internationale ou, en qualité de nouveau titulaire, dans une demande d’inscription d’un changement de titulaire.</w:t>
      </w:r>
      <w:r w:rsidR="00970435" w:rsidRPr="00A1676A">
        <w:rPr>
          <w:lang w:val="fr-FR"/>
        </w:rPr>
        <w:t xml:space="preserve">  </w:t>
      </w:r>
      <w:r w:rsidR="004F4627" w:rsidRPr="00A1676A">
        <w:rPr>
          <w:lang w:val="fr-FR"/>
        </w:rPr>
        <w:t>Au lieu de cela, puisque le Royaume-Uni est une partie contractante du Protocole relatif à l</w:t>
      </w:r>
      <w:r w:rsidR="003F0103" w:rsidRPr="00A1676A">
        <w:rPr>
          <w:lang w:val="fr-FR"/>
        </w:rPr>
        <w:t>’</w:t>
      </w:r>
      <w:r w:rsidR="004F4627" w:rsidRPr="00A1676A">
        <w:rPr>
          <w:lang w:val="fr-FR"/>
        </w:rPr>
        <w:t>Arrangement de Madrid concernant l</w:t>
      </w:r>
      <w:r w:rsidR="003F0103" w:rsidRPr="00A1676A">
        <w:rPr>
          <w:lang w:val="fr-FR"/>
        </w:rPr>
        <w:t>’</w:t>
      </w:r>
      <w:r w:rsidR="004F4627" w:rsidRPr="00A1676A">
        <w:rPr>
          <w:lang w:val="fr-FR"/>
        </w:rPr>
        <w:t xml:space="preserve">enregistrement international des marques, ils </w:t>
      </w:r>
      <w:r w:rsidR="002C1B3B" w:rsidRPr="00A1676A">
        <w:rPr>
          <w:lang w:val="fr-FR"/>
        </w:rPr>
        <w:t>pourront</w:t>
      </w:r>
      <w:r w:rsidR="004F4627" w:rsidRPr="00A1676A">
        <w:rPr>
          <w:lang w:val="fr-FR"/>
        </w:rPr>
        <w:t xml:space="preserve"> continuer </w:t>
      </w:r>
      <w:r w:rsidR="002C1B3B" w:rsidRPr="00A1676A">
        <w:rPr>
          <w:lang w:val="fr-FR"/>
        </w:rPr>
        <w:t>de</w:t>
      </w:r>
      <w:r w:rsidR="004F4627" w:rsidRPr="00A1676A">
        <w:rPr>
          <w:lang w:val="fr-FR"/>
        </w:rPr>
        <w:t xml:space="preserve"> revendiquer des droits par l</w:t>
      </w:r>
      <w:r w:rsidR="003F0103" w:rsidRPr="00A1676A">
        <w:rPr>
          <w:lang w:val="fr-FR"/>
        </w:rPr>
        <w:t>’</w:t>
      </w:r>
      <w:r w:rsidR="004F4627" w:rsidRPr="00A1676A">
        <w:rPr>
          <w:lang w:val="fr-FR"/>
        </w:rPr>
        <w:t>intermédiaire du Royaume-Uni et, par exemple, déposer une demande internationale auprès</w:t>
      </w:r>
      <w:r w:rsidR="004F4627">
        <w:rPr>
          <w:lang w:val="fr-FR"/>
        </w:rPr>
        <w:t xml:space="preserve"> de l</w:t>
      </w:r>
      <w:r w:rsidR="003F0103">
        <w:rPr>
          <w:lang w:val="fr-FR"/>
        </w:rPr>
        <w:t>’</w:t>
      </w:r>
      <w:r w:rsidR="004F4627">
        <w:rPr>
          <w:lang w:val="fr-FR"/>
        </w:rPr>
        <w:t>UK</w:t>
      </w:r>
      <w:r w:rsidR="00881E99">
        <w:rPr>
          <w:lang w:val="fr-FR"/>
        </w:rPr>
        <w:t> </w:t>
      </w:r>
      <w:r w:rsidR="004F4627">
        <w:rPr>
          <w:lang w:val="fr-FR"/>
        </w:rPr>
        <w:t>IPO en qualité d</w:t>
      </w:r>
      <w:r w:rsidR="003F0103">
        <w:rPr>
          <w:lang w:val="fr-FR"/>
        </w:rPr>
        <w:t>’</w:t>
      </w:r>
      <w:r w:rsidR="004F4627">
        <w:rPr>
          <w:lang w:val="fr-FR"/>
        </w:rPr>
        <w:t>office d</w:t>
      </w:r>
      <w:r w:rsidR="003F0103">
        <w:rPr>
          <w:lang w:val="fr-FR"/>
        </w:rPr>
        <w:t>’</w:t>
      </w:r>
      <w:r w:rsidR="004F4627">
        <w:rPr>
          <w:lang w:val="fr-FR"/>
        </w:rPr>
        <w:t>origine.</w:t>
      </w:r>
    </w:p>
    <w:p w14:paraId="6E9EF64C" w14:textId="1D34878E" w:rsidR="00AA0B1A" w:rsidRPr="004F4627" w:rsidRDefault="004F4627" w:rsidP="00AA0B1A">
      <w:pPr>
        <w:pStyle w:val="ONUME"/>
        <w:rPr>
          <w:lang w:val="fr-FR"/>
        </w:rPr>
      </w:pPr>
      <w:r w:rsidRPr="004F4627">
        <w:rPr>
          <w:lang w:val="fr-FR"/>
        </w:rPr>
        <w:t>Pour de plus amples informations, veuillez</w:t>
      </w:r>
      <w:r w:rsidR="00AA0B1A">
        <w:rPr>
          <w:lang w:val="fr-FR"/>
        </w:rPr>
        <w:t xml:space="preserve"> </w:t>
      </w:r>
      <w:r w:rsidRPr="004F4627">
        <w:rPr>
          <w:lang w:val="fr-FR"/>
        </w:rPr>
        <w:t>vous reporter aux questions fréquemment posées sur les conséquences de la fin de la période de transition pour les demandes internationales et les enregistrements internationaux, à l</w:t>
      </w:r>
      <w:r w:rsidR="003F0103">
        <w:rPr>
          <w:lang w:val="fr-FR"/>
        </w:rPr>
        <w:t>’</w:t>
      </w:r>
      <w:r w:rsidRPr="004F4627">
        <w:rPr>
          <w:lang w:val="fr-FR"/>
        </w:rPr>
        <w:t>adresse suivante</w:t>
      </w:r>
      <w:r w:rsidR="003F0103">
        <w:rPr>
          <w:lang w:val="fr-FR"/>
        </w:rPr>
        <w:t> </w:t>
      </w:r>
      <w:r w:rsidRPr="004F4627">
        <w:rPr>
          <w:lang w:val="fr-FR"/>
        </w:rPr>
        <w:t xml:space="preserve">: </w:t>
      </w:r>
      <w:r w:rsidR="00AA0B1A" w:rsidRPr="00A55564">
        <w:rPr>
          <w:lang w:val="fr-FR"/>
        </w:rPr>
        <w:t>https://www.wipo.int/madrid/fr/faq/</w:t>
      </w:r>
      <w:r w:rsidR="00AA0B1A" w:rsidRPr="004F4627">
        <w:rPr>
          <w:lang w:val="fr-FR"/>
        </w:rPr>
        <w:t>.</w:t>
      </w:r>
    </w:p>
    <w:p w14:paraId="26FF8EA4" w14:textId="511D7BE0" w:rsidR="004936FC" w:rsidRPr="00FB7408" w:rsidRDefault="00F23D15" w:rsidP="00881E99">
      <w:pPr>
        <w:pStyle w:val="Endofdocument-Annex"/>
        <w:spacing w:before="480"/>
        <w:rPr>
          <w:lang w:val="fr-FR"/>
        </w:rPr>
      </w:pPr>
      <w:r w:rsidRPr="008E0D20">
        <w:rPr>
          <w:lang w:val="fr-FR"/>
        </w:rPr>
        <w:t>Le</w:t>
      </w:r>
      <w:r w:rsidR="00970435" w:rsidRPr="008E0D20">
        <w:rPr>
          <w:lang w:val="fr-FR"/>
        </w:rPr>
        <w:t xml:space="preserve"> </w:t>
      </w:r>
      <w:r w:rsidR="008E0D20">
        <w:rPr>
          <w:lang w:val="fr-FR"/>
        </w:rPr>
        <w:t>23</w:t>
      </w:r>
      <w:r w:rsidRPr="008E0D20">
        <w:rPr>
          <w:lang w:val="fr-FR"/>
        </w:rPr>
        <w:t xml:space="preserve"> juillet</w:t>
      </w:r>
      <w:r w:rsidR="00D2448A" w:rsidRPr="008E0D20">
        <w:rPr>
          <w:lang w:val="fr-FR"/>
        </w:rPr>
        <w:t> </w:t>
      </w:r>
      <w:r w:rsidRPr="008E0D20">
        <w:rPr>
          <w:lang w:val="fr-FR"/>
        </w:rPr>
        <w:t>2020</w:t>
      </w:r>
    </w:p>
    <w:sectPr w:rsidR="004936FC" w:rsidRPr="00FB7408" w:rsidSect="00881E99">
      <w:headerReference w:type="even" r:id="rId9"/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8A46E" w14:textId="77777777" w:rsidR="002D6BDB" w:rsidRDefault="002D6BDB">
      <w:r>
        <w:separator/>
      </w:r>
    </w:p>
    <w:p w14:paraId="3098F20B" w14:textId="77777777" w:rsidR="002D6BDB" w:rsidRDefault="002D6BDB"/>
  </w:endnote>
  <w:endnote w:type="continuationSeparator" w:id="0">
    <w:p w14:paraId="35B4F7CE" w14:textId="77777777" w:rsidR="002D6BDB" w:rsidRDefault="002D6BDB" w:rsidP="003B38C1">
      <w:r>
        <w:separator/>
      </w:r>
    </w:p>
    <w:p w14:paraId="7A936AFB" w14:textId="77777777" w:rsidR="002D6BDB" w:rsidRPr="003B38C1" w:rsidRDefault="002D6B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047C1486" w14:textId="77777777" w:rsidR="002D6BDB" w:rsidRDefault="002D6BDB"/>
  </w:endnote>
  <w:endnote w:type="continuationNotice" w:id="1">
    <w:p w14:paraId="62760E33" w14:textId="77777777" w:rsidR="002D6BDB" w:rsidRPr="003B38C1" w:rsidRDefault="002D6B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660B96E9" w14:textId="77777777" w:rsidR="002D6BDB" w:rsidRDefault="002D6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F480D" w14:textId="77777777" w:rsidR="002D6BDB" w:rsidRDefault="002D6BDB">
      <w:r>
        <w:separator/>
      </w:r>
    </w:p>
    <w:p w14:paraId="3B6BC582" w14:textId="77777777" w:rsidR="002D6BDB" w:rsidRDefault="002D6BDB"/>
  </w:footnote>
  <w:footnote w:type="continuationSeparator" w:id="0">
    <w:p w14:paraId="73DA1E99" w14:textId="77777777" w:rsidR="002D6BDB" w:rsidRDefault="002D6BDB" w:rsidP="008B60B2">
      <w:r>
        <w:separator/>
      </w:r>
    </w:p>
    <w:p w14:paraId="11D4C314" w14:textId="77777777" w:rsidR="002D6BDB" w:rsidRPr="00ED77FB" w:rsidRDefault="002D6B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2A4C9488" w14:textId="77777777" w:rsidR="002D6BDB" w:rsidRDefault="002D6BDB"/>
  </w:footnote>
  <w:footnote w:type="continuationNotice" w:id="1">
    <w:p w14:paraId="0FFB8950" w14:textId="77777777" w:rsidR="002D6BDB" w:rsidRPr="00ED77FB" w:rsidRDefault="002D6B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3FCF7983" w14:textId="77777777" w:rsidR="002D6BDB" w:rsidRDefault="002D6B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468DF" w14:textId="77777777" w:rsidR="006B2214" w:rsidRDefault="006B2214" w:rsidP="006B2214">
    <w:pPr>
      <w:jc w:val="right"/>
    </w:pPr>
  </w:p>
  <w:p w14:paraId="64D813F8" w14:textId="7E1784E4" w:rsidR="006B2214" w:rsidRDefault="006B2214" w:rsidP="006B2214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81E99">
      <w:rPr>
        <w:noProof/>
      </w:rPr>
      <w:t>2</w:t>
    </w:r>
    <w:r>
      <w:fldChar w:fldCharType="end"/>
    </w:r>
  </w:p>
  <w:p w14:paraId="5082EC95" w14:textId="77777777" w:rsidR="006B2214" w:rsidRDefault="006B2214" w:rsidP="006B2214">
    <w:pPr>
      <w:jc w:val="right"/>
    </w:pPr>
  </w:p>
  <w:p w14:paraId="49BAE1A7" w14:textId="77777777" w:rsidR="006B2214" w:rsidRDefault="006B2214" w:rsidP="006B2214">
    <w:pPr>
      <w:jc w:val="right"/>
    </w:pPr>
  </w:p>
  <w:p w14:paraId="2630A95E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EC6F0" w14:textId="2C7A28CA" w:rsidR="002A513E" w:rsidRDefault="002A513E" w:rsidP="00881E99">
    <w:pPr>
      <w:spacing w:after="48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5280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530ED1F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Madrid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098F"/>
    <w:rsid w:val="00005CFF"/>
    <w:rsid w:val="000077C7"/>
    <w:rsid w:val="000123A6"/>
    <w:rsid w:val="00012C9D"/>
    <w:rsid w:val="00014795"/>
    <w:rsid w:val="0002095F"/>
    <w:rsid w:val="00023028"/>
    <w:rsid w:val="00033B87"/>
    <w:rsid w:val="00037C1A"/>
    <w:rsid w:val="0004020B"/>
    <w:rsid w:val="000407F4"/>
    <w:rsid w:val="00043313"/>
    <w:rsid w:val="00043CAA"/>
    <w:rsid w:val="00050D24"/>
    <w:rsid w:val="000531C5"/>
    <w:rsid w:val="00056D74"/>
    <w:rsid w:val="0006559F"/>
    <w:rsid w:val="000707AB"/>
    <w:rsid w:val="000728FF"/>
    <w:rsid w:val="00075432"/>
    <w:rsid w:val="00090DBC"/>
    <w:rsid w:val="000968ED"/>
    <w:rsid w:val="000A039F"/>
    <w:rsid w:val="000A4488"/>
    <w:rsid w:val="000A525D"/>
    <w:rsid w:val="000B4320"/>
    <w:rsid w:val="000B4DE1"/>
    <w:rsid w:val="000C70F1"/>
    <w:rsid w:val="000D3921"/>
    <w:rsid w:val="000F5E56"/>
    <w:rsid w:val="000F604D"/>
    <w:rsid w:val="00103518"/>
    <w:rsid w:val="0011103E"/>
    <w:rsid w:val="00115B3C"/>
    <w:rsid w:val="00122387"/>
    <w:rsid w:val="0012304E"/>
    <w:rsid w:val="001272E3"/>
    <w:rsid w:val="001273E0"/>
    <w:rsid w:val="00131BD8"/>
    <w:rsid w:val="00133A90"/>
    <w:rsid w:val="00133F53"/>
    <w:rsid w:val="001362EE"/>
    <w:rsid w:val="001371C1"/>
    <w:rsid w:val="0014531F"/>
    <w:rsid w:val="0015037D"/>
    <w:rsid w:val="001615AB"/>
    <w:rsid w:val="00165217"/>
    <w:rsid w:val="00166299"/>
    <w:rsid w:val="00166D8E"/>
    <w:rsid w:val="0017212A"/>
    <w:rsid w:val="00173E4A"/>
    <w:rsid w:val="001832A6"/>
    <w:rsid w:val="00184E22"/>
    <w:rsid w:val="00185E31"/>
    <w:rsid w:val="00186DE1"/>
    <w:rsid w:val="00190F37"/>
    <w:rsid w:val="00192127"/>
    <w:rsid w:val="001B20BD"/>
    <w:rsid w:val="001B6916"/>
    <w:rsid w:val="001C2D7E"/>
    <w:rsid w:val="001C7A91"/>
    <w:rsid w:val="001D4F09"/>
    <w:rsid w:val="001E2308"/>
    <w:rsid w:val="001E2AF9"/>
    <w:rsid w:val="001E3850"/>
    <w:rsid w:val="001F1B95"/>
    <w:rsid w:val="001F717F"/>
    <w:rsid w:val="0020341D"/>
    <w:rsid w:val="0020551F"/>
    <w:rsid w:val="0022493E"/>
    <w:rsid w:val="00225AFC"/>
    <w:rsid w:val="0023362D"/>
    <w:rsid w:val="00233D9C"/>
    <w:rsid w:val="002356BD"/>
    <w:rsid w:val="00236439"/>
    <w:rsid w:val="0024440B"/>
    <w:rsid w:val="00251890"/>
    <w:rsid w:val="0025278E"/>
    <w:rsid w:val="00261777"/>
    <w:rsid w:val="002634C4"/>
    <w:rsid w:val="0026381C"/>
    <w:rsid w:val="00270516"/>
    <w:rsid w:val="00271DC7"/>
    <w:rsid w:val="002928D3"/>
    <w:rsid w:val="002A2E4F"/>
    <w:rsid w:val="002A513E"/>
    <w:rsid w:val="002A7687"/>
    <w:rsid w:val="002B0492"/>
    <w:rsid w:val="002B4B48"/>
    <w:rsid w:val="002B6C6E"/>
    <w:rsid w:val="002C11FA"/>
    <w:rsid w:val="002C1554"/>
    <w:rsid w:val="002C1B3B"/>
    <w:rsid w:val="002C38D8"/>
    <w:rsid w:val="002D2B8E"/>
    <w:rsid w:val="002D322E"/>
    <w:rsid w:val="002D4DE6"/>
    <w:rsid w:val="002D6BDB"/>
    <w:rsid w:val="002E18A9"/>
    <w:rsid w:val="002E39E7"/>
    <w:rsid w:val="002F1FE6"/>
    <w:rsid w:val="002F4E68"/>
    <w:rsid w:val="00304163"/>
    <w:rsid w:val="00312F7F"/>
    <w:rsid w:val="00317670"/>
    <w:rsid w:val="00321F2B"/>
    <w:rsid w:val="00325BD3"/>
    <w:rsid w:val="00335EC1"/>
    <w:rsid w:val="00347330"/>
    <w:rsid w:val="00355525"/>
    <w:rsid w:val="00357434"/>
    <w:rsid w:val="00357985"/>
    <w:rsid w:val="00361450"/>
    <w:rsid w:val="00364EE9"/>
    <w:rsid w:val="003673CF"/>
    <w:rsid w:val="0037412A"/>
    <w:rsid w:val="0037442D"/>
    <w:rsid w:val="00375EB6"/>
    <w:rsid w:val="00383EC2"/>
    <w:rsid w:val="003845C1"/>
    <w:rsid w:val="003A25D7"/>
    <w:rsid w:val="003A274E"/>
    <w:rsid w:val="003A6F89"/>
    <w:rsid w:val="003B38C1"/>
    <w:rsid w:val="003C6433"/>
    <w:rsid w:val="003D2E5E"/>
    <w:rsid w:val="003E0D9F"/>
    <w:rsid w:val="003E2652"/>
    <w:rsid w:val="003F0103"/>
    <w:rsid w:val="003F2C5C"/>
    <w:rsid w:val="004052E1"/>
    <w:rsid w:val="00411FB2"/>
    <w:rsid w:val="004160A7"/>
    <w:rsid w:val="00423386"/>
    <w:rsid w:val="00423E3E"/>
    <w:rsid w:val="00426F59"/>
    <w:rsid w:val="00427AF4"/>
    <w:rsid w:val="00430CC6"/>
    <w:rsid w:val="004333B5"/>
    <w:rsid w:val="00433E5C"/>
    <w:rsid w:val="00436DDD"/>
    <w:rsid w:val="00437230"/>
    <w:rsid w:val="004442D0"/>
    <w:rsid w:val="00451667"/>
    <w:rsid w:val="0045757F"/>
    <w:rsid w:val="004630B4"/>
    <w:rsid w:val="0046348A"/>
    <w:rsid w:val="004647DA"/>
    <w:rsid w:val="00464BC9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2C7D"/>
    <w:rsid w:val="004A485C"/>
    <w:rsid w:val="004B0093"/>
    <w:rsid w:val="004B336C"/>
    <w:rsid w:val="004B43E4"/>
    <w:rsid w:val="004B4E32"/>
    <w:rsid w:val="004B7696"/>
    <w:rsid w:val="004F4627"/>
    <w:rsid w:val="004F5A30"/>
    <w:rsid w:val="004F62F4"/>
    <w:rsid w:val="005019FF"/>
    <w:rsid w:val="00507723"/>
    <w:rsid w:val="00507AA0"/>
    <w:rsid w:val="005243B1"/>
    <w:rsid w:val="005248AF"/>
    <w:rsid w:val="00524CCE"/>
    <w:rsid w:val="0053057A"/>
    <w:rsid w:val="00530CB0"/>
    <w:rsid w:val="00542DD9"/>
    <w:rsid w:val="00545E21"/>
    <w:rsid w:val="00546473"/>
    <w:rsid w:val="00546A94"/>
    <w:rsid w:val="005544E3"/>
    <w:rsid w:val="00560A29"/>
    <w:rsid w:val="005611A9"/>
    <w:rsid w:val="00562D5F"/>
    <w:rsid w:val="0058451E"/>
    <w:rsid w:val="005868B8"/>
    <w:rsid w:val="005A78E1"/>
    <w:rsid w:val="005B0E32"/>
    <w:rsid w:val="005C1B70"/>
    <w:rsid w:val="005C53C7"/>
    <w:rsid w:val="005C6649"/>
    <w:rsid w:val="005D33CB"/>
    <w:rsid w:val="005D3717"/>
    <w:rsid w:val="005E1CF0"/>
    <w:rsid w:val="005F2F3B"/>
    <w:rsid w:val="005F4AAF"/>
    <w:rsid w:val="006008FC"/>
    <w:rsid w:val="006017A8"/>
    <w:rsid w:val="00602890"/>
    <w:rsid w:val="00602CC7"/>
    <w:rsid w:val="00605827"/>
    <w:rsid w:val="006223DB"/>
    <w:rsid w:val="00624E74"/>
    <w:rsid w:val="006268EB"/>
    <w:rsid w:val="00631CF1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566C"/>
    <w:rsid w:val="00676C5C"/>
    <w:rsid w:val="0067755E"/>
    <w:rsid w:val="006835CB"/>
    <w:rsid w:val="006955FA"/>
    <w:rsid w:val="0069624D"/>
    <w:rsid w:val="006A7E92"/>
    <w:rsid w:val="006B2214"/>
    <w:rsid w:val="006B2710"/>
    <w:rsid w:val="006B405C"/>
    <w:rsid w:val="006C1E1F"/>
    <w:rsid w:val="006C2010"/>
    <w:rsid w:val="006D7919"/>
    <w:rsid w:val="006D7BD8"/>
    <w:rsid w:val="006E1A60"/>
    <w:rsid w:val="006E23DC"/>
    <w:rsid w:val="006E3324"/>
    <w:rsid w:val="006F29F6"/>
    <w:rsid w:val="00706C73"/>
    <w:rsid w:val="00717538"/>
    <w:rsid w:val="00722094"/>
    <w:rsid w:val="0072728A"/>
    <w:rsid w:val="00740620"/>
    <w:rsid w:val="00745E77"/>
    <w:rsid w:val="00747B48"/>
    <w:rsid w:val="0075327B"/>
    <w:rsid w:val="00761B8F"/>
    <w:rsid w:val="0076210D"/>
    <w:rsid w:val="007633FD"/>
    <w:rsid w:val="00767C4D"/>
    <w:rsid w:val="00773CE3"/>
    <w:rsid w:val="0077451E"/>
    <w:rsid w:val="00775EBD"/>
    <w:rsid w:val="00784B13"/>
    <w:rsid w:val="00786684"/>
    <w:rsid w:val="00790A94"/>
    <w:rsid w:val="007A0932"/>
    <w:rsid w:val="007A5956"/>
    <w:rsid w:val="007B5323"/>
    <w:rsid w:val="007B7F73"/>
    <w:rsid w:val="007C13A2"/>
    <w:rsid w:val="007C1968"/>
    <w:rsid w:val="007C3E9B"/>
    <w:rsid w:val="007C79C3"/>
    <w:rsid w:val="007D0AF8"/>
    <w:rsid w:val="007D1613"/>
    <w:rsid w:val="007D1B59"/>
    <w:rsid w:val="007D250A"/>
    <w:rsid w:val="007D290D"/>
    <w:rsid w:val="007D2C89"/>
    <w:rsid w:val="007E4651"/>
    <w:rsid w:val="007F1DB4"/>
    <w:rsid w:val="007F45DD"/>
    <w:rsid w:val="007F4D09"/>
    <w:rsid w:val="00801EC1"/>
    <w:rsid w:val="00804EC4"/>
    <w:rsid w:val="00812CFA"/>
    <w:rsid w:val="00815E06"/>
    <w:rsid w:val="00815E3A"/>
    <w:rsid w:val="00824E57"/>
    <w:rsid w:val="00830450"/>
    <w:rsid w:val="00833747"/>
    <w:rsid w:val="0083552C"/>
    <w:rsid w:val="00843679"/>
    <w:rsid w:val="0084460D"/>
    <w:rsid w:val="00854071"/>
    <w:rsid w:val="008608CB"/>
    <w:rsid w:val="00862599"/>
    <w:rsid w:val="00864A35"/>
    <w:rsid w:val="00876A3C"/>
    <w:rsid w:val="00881E99"/>
    <w:rsid w:val="00882CA4"/>
    <w:rsid w:val="0088405C"/>
    <w:rsid w:val="00885618"/>
    <w:rsid w:val="00890E0C"/>
    <w:rsid w:val="008948BE"/>
    <w:rsid w:val="00895C02"/>
    <w:rsid w:val="008977D0"/>
    <w:rsid w:val="008A3B91"/>
    <w:rsid w:val="008A4C88"/>
    <w:rsid w:val="008A6724"/>
    <w:rsid w:val="008A6825"/>
    <w:rsid w:val="008A6ACB"/>
    <w:rsid w:val="008B13D6"/>
    <w:rsid w:val="008B2841"/>
    <w:rsid w:val="008B2CC1"/>
    <w:rsid w:val="008B60B2"/>
    <w:rsid w:val="008C0094"/>
    <w:rsid w:val="008C24C1"/>
    <w:rsid w:val="008C2D2F"/>
    <w:rsid w:val="008C2FE6"/>
    <w:rsid w:val="008C67A6"/>
    <w:rsid w:val="008C7B9D"/>
    <w:rsid w:val="008D4833"/>
    <w:rsid w:val="008E0D20"/>
    <w:rsid w:val="008E37D0"/>
    <w:rsid w:val="008F1F70"/>
    <w:rsid w:val="008F7FA5"/>
    <w:rsid w:val="00901B55"/>
    <w:rsid w:val="0090619C"/>
    <w:rsid w:val="0090731E"/>
    <w:rsid w:val="0091126B"/>
    <w:rsid w:val="009134B8"/>
    <w:rsid w:val="00916EE2"/>
    <w:rsid w:val="00922789"/>
    <w:rsid w:val="00922AE9"/>
    <w:rsid w:val="0092461D"/>
    <w:rsid w:val="0093216E"/>
    <w:rsid w:val="009378BE"/>
    <w:rsid w:val="00940793"/>
    <w:rsid w:val="00952373"/>
    <w:rsid w:val="00952807"/>
    <w:rsid w:val="009621CA"/>
    <w:rsid w:val="0096426B"/>
    <w:rsid w:val="00964994"/>
    <w:rsid w:val="00966A22"/>
    <w:rsid w:val="0096722F"/>
    <w:rsid w:val="00970435"/>
    <w:rsid w:val="00980843"/>
    <w:rsid w:val="00991FC3"/>
    <w:rsid w:val="00997AAD"/>
    <w:rsid w:val="009A01DD"/>
    <w:rsid w:val="009A591F"/>
    <w:rsid w:val="009B2582"/>
    <w:rsid w:val="009B7FD4"/>
    <w:rsid w:val="009C0C04"/>
    <w:rsid w:val="009E0B98"/>
    <w:rsid w:val="009E2791"/>
    <w:rsid w:val="009E3F6F"/>
    <w:rsid w:val="009E5F9F"/>
    <w:rsid w:val="009F2A14"/>
    <w:rsid w:val="009F499F"/>
    <w:rsid w:val="009F510F"/>
    <w:rsid w:val="009F6841"/>
    <w:rsid w:val="009F7208"/>
    <w:rsid w:val="00A01060"/>
    <w:rsid w:val="00A139B8"/>
    <w:rsid w:val="00A1504E"/>
    <w:rsid w:val="00A1676A"/>
    <w:rsid w:val="00A21684"/>
    <w:rsid w:val="00A25430"/>
    <w:rsid w:val="00A26A24"/>
    <w:rsid w:val="00A2714C"/>
    <w:rsid w:val="00A332BA"/>
    <w:rsid w:val="00A353ED"/>
    <w:rsid w:val="00A42DAF"/>
    <w:rsid w:val="00A45BD8"/>
    <w:rsid w:val="00A46013"/>
    <w:rsid w:val="00A468E2"/>
    <w:rsid w:val="00A520A1"/>
    <w:rsid w:val="00A55376"/>
    <w:rsid w:val="00A6014F"/>
    <w:rsid w:val="00A620DD"/>
    <w:rsid w:val="00A70878"/>
    <w:rsid w:val="00A75B82"/>
    <w:rsid w:val="00A869B7"/>
    <w:rsid w:val="00A961AC"/>
    <w:rsid w:val="00AA0B1A"/>
    <w:rsid w:val="00AA0B1D"/>
    <w:rsid w:val="00AA1EEF"/>
    <w:rsid w:val="00AA217B"/>
    <w:rsid w:val="00AA2EB5"/>
    <w:rsid w:val="00AA60C1"/>
    <w:rsid w:val="00AA7273"/>
    <w:rsid w:val="00AC0B81"/>
    <w:rsid w:val="00AC205C"/>
    <w:rsid w:val="00AC793E"/>
    <w:rsid w:val="00AD38EE"/>
    <w:rsid w:val="00AD3D06"/>
    <w:rsid w:val="00AE4349"/>
    <w:rsid w:val="00AF0A6B"/>
    <w:rsid w:val="00AF4A42"/>
    <w:rsid w:val="00AF5108"/>
    <w:rsid w:val="00B03589"/>
    <w:rsid w:val="00B05A69"/>
    <w:rsid w:val="00B20A6D"/>
    <w:rsid w:val="00B21387"/>
    <w:rsid w:val="00B2247B"/>
    <w:rsid w:val="00B240CB"/>
    <w:rsid w:val="00B253E4"/>
    <w:rsid w:val="00B30E90"/>
    <w:rsid w:val="00B35DF1"/>
    <w:rsid w:val="00B43FDF"/>
    <w:rsid w:val="00B46D7E"/>
    <w:rsid w:val="00B54D7D"/>
    <w:rsid w:val="00B74A10"/>
    <w:rsid w:val="00B83157"/>
    <w:rsid w:val="00B8701D"/>
    <w:rsid w:val="00B93AC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B7FC6"/>
    <w:rsid w:val="00BC339D"/>
    <w:rsid w:val="00BC3767"/>
    <w:rsid w:val="00BC4EF3"/>
    <w:rsid w:val="00BC5D10"/>
    <w:rsid w:val="00BE55D6"/>
    <w:rsid w:val="00BE5857"/>
    <w:rsid w:val="00BF01CE"/>
    <w:rsid w:val="00BF1FAF"/>
    <w:rsid w:val="00C10FFF"/>
    <w:rsid w:val="00C11BFE"/>
    <w:rsid w:val="00C12FB3"/>
    <w:rsid w:val="00C17EA3"/>
    <w:rsid w:val="00C322FB"/>
    <w:rsid w:val="00C41113"/>
    <w:rsid w:val="00C45642"/>
    <w:rsid w:val="00C47421"/>
    <w:rsid w:val="00C556FE"/>
    <w:rsid w:val="00C56258"/>
    <w:rsid w:val="00C71922"/>
    <w:rsid w:val="00C744FF"/>
    <w:rsid w:val="00C74FFE"/>
    <w:rsid w:val="00C80362"/>
    <w:rsid w:val="00C86888"/>
    <w:rsid w:val="00C86AFA"/>
    <w:rsid w:val="00C95C9E"/>
    <w:rsid w:val="00C977DB"/>
    <w:rsid w:val="00CA669C"/>
    <w:rsid w:val="00CB132F"/>
    <w:rsid w:val="00CC30A2"/>
    <w:rsid w:val="00CC5016"/>
    <w:rsid w:val="00CC66AD"/>
    <w:rsid w:val="00CD023E"/>
    <w:rsid w:val="00CD7002"/>
    <w:rsid w:val="00CE0A51"/>
    <w:rsid w:val="00CE0F4D"/>
    <w:rsid w:val="00CE4302"/>
    <w:rsid w:val="00CE6390"/>
    <w:rsid w:val="00CF4536"/>
    <w:rsid w:val="00CF4A86"/>
    <w:rsid w:val="00D022A2"/>
    <w:rsid w:val="00D06597"/>
    <w:rsid w:val="00D07198"/>
    <w:rsid w:val="00D211A4"/>
    <w:rsid w:val="00D22BD4"/>
    <w:rsid w:val="00D2448A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F87"/>
    <w:rsid w:val="00D57F90"/>
    <w:rsid w:val="00D60BE8"/>
    <w:rsid w:val="00D6276D"/>
    <w:rsid w:val="00D70F71"/>
    <w:rsid w:val="00D71B4D"/>
    <w:rsid w:val="00D76F38"/>
    <w:rsid w:val="00D80262"/>
    <w:rsid w:val="00D805FA"/>
    <w:rsid w:val="00D847BE"/>
    <w:rsid w:val="00D90EE5"/>
    <w:rsid w:val="00D93D55"/>
    <w:rsid w:val="00D97E26"/>
    <w:rsid w:val="00DA32C9"/>
    <w:rsid w:val="00DB42CB"/>
    <w:rsid w:val="00DC11D8"/>
    <w:rsid w:val="00DC3E50"/>
    <w:rsid w:val="00DD254E"/>
    <w:rsid w:val="00DD6947"/>
    <w:rsid w:val="00DE1AF1"/>
    <w:rsid w:val="00DE4267"/>
    <w:rsid w:val="00DF1179"/>
    <w:rsid w:val="00DF30E4"/>
    <w:rsid w:val="00E1115B"/>
    <w:rsid w:val="00E16750"/>
    <w:rsid w:val="00E16F72"/>
    <w:rsid w:val="00E2431A"/>
    <w:rsid w:val="00E24971"/>
    <w:rsid w:val="00E313B2"/>
    <w:rsid w:val="00E335FE"/>
    <w:rsid w:val="00E348AA"/>
    <w:rsid w:val="00E36B5A"/>
    <w:rsid w:val="00E42B9A"/>
    <w:rsid w:val="00E50EE4"/>
    <w:rsid w:val="00E532DC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B2D91"/>
    <w:rsid w:val="00EC13D0"/>
    <w:rsid w:val="00EC23FC"/>
    <w:rsid w:val="00EC4E49"/>
    <w:rsid w:val="00ED38E9"/>
    <w:rsid w:val="00ED4C4F"/>
    <w:rsid w:val="00ED5DBC"/>
    <w:rsid w:val="00ED77FB"/>
    <w:rsid w:val="00EE45FA"/>
    <w:rsid w:val="00EE5748"/>
    <w:rsid w:val="00EE7CE5"/>
    <w:rsid w:val="00EF0146"/>
    <w:rsid w:val="00EF7464"/>
    <w:rsid w:val="00F00E5C"/>
    <w:rsid w:val="00F0720F"/>
    <w:rsid w:val="00F13A8B"/>
    <w:rsid w:val="00F201C4"/>
    <w:rsid w:val="00F23D15"/>
    <w:rsid w:val="00F37362"/>
    <w:rsid w:val="00F52217"/>
    <w:rsid w:val="00F52365"/>
    <w:rsid w:val="00F568AA"/>
    <w:rsid w:val="00F66152"/>
    <w:rsid w:val="00F766C3"/>
    <w:rsid w:val="00F7721F"/>
    <w:rsid w:val="00F927CE"/>
    <w:rsid w:val="00F958AA"/>
    <w:rsid w:val="00FA156A"/>
    <w:rsid w:val="00FA661F"/>
    <w:rsid w:val="00FB504E"/>
    <w:rsid w:val="00FB7408"/>
    <w:rsid w:val="00FC28F0"/>
    <w:rsid w:val="00FC3D36"/>
    <w:rsid w:val="00FC48AC"/>
    <w:rsid w:val="00FC4C8A"/>
    <w:rsid w:val="00FD5E70"/>
    <w:rsid w:val="00FE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934FDC8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BC5D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7EF4F-3E87-4243-A834-00C00CD4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DIAZ Natacha</cp:lastModifiedBy>
  <cp:revision>5</cp:revision>
  <cp:lastPrinted>2020-07-23T12:23:00Z</cp:lastPrinted>
  <dcterms:created xsi:type="dcterms:W3CDTF">2020-07-22T14:40:00Z</dcterms:created>
  <dcterms:modified xsi:type="dcterms:W3CDTF">2020-07-23T12:23:00Z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894d3104-f35d-4685-b471-07006054b157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