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D8" w:rsidRPr="0018679F" w:rsidRDefault="008C32D8" w:rsidP="008C32D8">
      <w:pPr>
        <w:pStyle w:val="Heading1"/>
        <w:rPr>
          <w:noProof w:val="0"/>
          <w:lang w:eastAsia="en-GB"/>
        </w:rPr>
      </w:pPr>
      <w:r w:rsidRPr="0018679F">
        <w:rPr>
          <w:noProof w:val="0"/>
          <w:lang w:eastAsia="en-GB"/>
        </w:rPr>
        <w:t>Questionnaire</w:t>
      </w:r>
    </w:p>
    <w:p w:rsidR="008C32D8" w:rsidRPr="0018679F" w:rsidRDefault="008C32D8" w:rsidP="008C32D8">
      <w:pPr>
        <w:suppressAutoHyphens/>
        <w:rPr>
          <w:rFonts w:eastAsia="Times New Roman"/>
          <w:b/>
          <w:bCs/>
          <w:noProof w:val="0"/>
          <w:lang w:eastAsia="en-GB"/>
        </w:rPr>
      </w:pPr>
    </w:p>
    <w:p w:rsidR="008C32D8" w:rsidRDefault="008C32D8" w:rsidP="008C32D8">
      <w:pPr>
        <w:jc w:val="both"/>
        <w:rPr>
          <w:bCs/>
          <w:noProof w:val="0"/>
        </w:rPr>
      </w:pPr>
      <w:r w:rsidRPr="0018679F">
        <w:rPr>
          <w:bCs/>
          <w:noProof w:val="0"/>
        </w:rPr>
        <w:t xml:space="preserve">Votre office est </w:t>
      </w:r>
      <w:r>
        <w:rPr>
          <w:bCs/>
          <w:noProof w:val="0"/>
        </w:rPr>
        <w:t>prié</w:t>
      </w:r>
      <w:r w:rsidRPr="0018679F">
        <w:rPr>
          <w:bCs/>
          <w:noProof w:val="0"/>
        </w:rPr>
        <w:t xml:space="preserve"> </w:t>
      </w:r>
      <w:r>
        <w:rPr>
          <w:bCs/>
          <w:noProof w:val="0"/>
        </w:rPr>
        <w:t>de</w:t>
      </w:r>
      <w:r w:rsidRPr="0018679F">
        <w:rPr>
          <w:bCs/>
          <w:noProof w:val="0"/>
        </w:rPr>
        <w:t xml:space="preserve"> remplir le présent questionnaire.  </w:t>
      </w:r>
      <w:r>
        <w:rPr>
          <w:bCs/>
          <w:noProof w:val="0"/>
        </w:rPr>
        <w:t>Merci de</w:t>
      </w:r>
      <w:r w:rsidRPr="0018679F">
        <w:rPr>
          <w:bCs/>
          <w:noProof w:val="0"/>
        </w:rPr>
        <w:t xml:space="preserve"> prendre note des informations supplémentaires ci</w:t>
      </w:r>
      <w:r>
        <w:rPr>
          <w:bCs/>
          <w:noProof w:val="0"/>
        </w:rPr>
        <w:noBreakHyphen/>
      </w:r>
      <w:r w:rsidRPr="0018679F">
        <w:rPr>
          <w:bCs/>
          <w:noProof w:val="0"/>
        </w:rPr>
        <w:t>après :</w:t>
      </w:r>
    </w:p>
    <w:p w:rsidR="008C32D8" w:rsidRPr="0018679F" w:rsidRDefault="008C32D8" w:rsidP="008C32D8">
      <w:pPr>
        <w:jc w:val="both"/>
        <w:rPr>
          <w:bCs/>
          <w:noProof w:val="0"/>
        </w:rPr>
      </w:pPr>
    </w:p>
    <w:p w:rsidR="008C32D8" w:rsidRPr="0018679F" w:rsidRDefault="008C32D8" w:rsidP="008C32D8">
      <w:pPr>
        <w:numPr>
          <w:ilvl w:val="0"/>
          <w:numId w:val="1"/>
        </w:numPr>
        <w:spacing w:after="240"/>
        <w:jc w:val="both"/>
        <w:rPr>
          <w:bCs/>
          <w:i/>
          <w:noProof w:val="0"/>
        </w:rPr>
      </w:pPr>
      <w:r w:rsidRPr="0018679F">
        <w:rPr>
          <w:bCs/>
          <w:i/>
          <w:noProof w:val="0"/>
        </w:rPr>
        <w:t>Informations générales : document PCT/WG/6/20, figurant à l</w:t>
      </w:r>
      <w:r>
        <w:rPr>
          <w:bCs/>
          <w:i/>
          <w:noProof w:val="0"/>
        </w:rPr>
        <w:t>’</w:t>
      </w:r>
      <w:r w:rsidRPr="0018679F">
        <w:rPr>
          <w:bCs/>
          <w:i/>
          <w:noProof w:val="0"/>
        </w:rPr>
        <w:t>annexe</w:t>
      </w:r>
      <w:r>
        <w:rPr>
          <w:bCs/>
          <w:i/>
          <w:noProof w:val="0"/>
        </w:rPr>
        <w:t> </w:t>
      </w:r>
      <w:r w:rsidRPr="0018679F">
        <w:rPr>
          <w:bCs/>
          <w:i/>
          <w:noProof w:val="0"/>
        </w:rPr>
        <w:t>II de la présente circulaire.</w:t>
      </w:r>
    </w:p>
    <w:p w:rsidR="008C32D8" w:rsidRDefault="008C32D8" w:rsidP="008C32D8">
      <w:pPr>
        <w:numPr>
          <w:ilvl w:val="0"/>
          <w:numId w:val="1"/>
        </w:numPr>
        <w:spacing w:after="240"/>
        <w:jc w:val="both"/>
        <w:rPr>
          <w:bCs/>
          <w:i/>
          <w:noProof w:val="0"/>
        </w:rPr>
      </w:pPr>
      <w:r w:rsidRPr="0018679F">
        <w:rPr>
          <w:bCs/>
          <w:i/>
          <w:noProof w:val="0"/>
        </w:rPr>
        <w:t>Date limite de réponse</w:t>
      </w:r>
      <w:r>
        <w:rPr>
          <w:bCs/>
          <w:i/>
          <w:noProof w:val="0"/>
        </w:rPr>
        <w:t> </w:t>
      </w:r>
      <w:r w:rsidRPr="0018679F">
        <w:rPr>
          <w:bCs/>
          <w:i/>
          <w:noProof w:val="0"/>
        </w:rPr>
        <w:t xml:space="preserve">: </w:t>
      </w:r>
      <w:r w:rsidRPr="0018679F">
        <w:rPr>
          <w:b/>
          <w:bCs/>
          <w:i/>
          <w:noProof w:val="0"/>
          <w:u w:val="single"/>
        </w:rPr>
        <w:t>4</w:t>
      </w:r>
      <w:r>
        <w:rPr>
          <w:b/>
          <w:bCs/>
          <w:i/>
          <w:noProof w:val="0"/>
          <w:u w:val="single"/>
        </w:rPr>
        <w:t> </w:t>
      </w:r>
      <w:r w:rsidRPr="0018679F">
        <w:rPr>
          <w:b/>
          <w:bCs/>
          <w:i/>
          <w:noProof w:val="0"/>
          <w:u w:val="single"/>
        </w:rPr>
        <w:t>avril</w:t>
      </w:r>
      <w:r>
        <w:rPr>
          <w:b/>
          <w:bCs/>
          <w:i/>
          <w:noProof w:val="0"/>
          <w:u w:val="single"/>
        </w:rPr>
        <w:t> </w:t>
      </w:r>
      <w:r w:rsidRPr="0018679F">
        <w:rPr>
          <w:b/>
          <w:bCs/>
          <w:i/>
          <w:noProof w:val="0"/>
          <w:u w:val="single"/>
        </w:rPr>
        <w:t>2014</w:t>
      </w:r>
    </w:p>
    <w:p w:rsidR="008C32D8" w:rsidRPr="0018679F" w:rsidRDefault="008C32D8" w:rsidP="008C32D8">
      <w:pPr>
        <w:numPr>
          <w:ilvl w:val="0"/>
          <w:numId w:val="1"/>
        </w:numPr>
        <w:spacing w:after="240"/>
        <w:jc w:val="both"/>
        <w:rPr>
          <w:bCs/>
          <w:i/>
          <w:noProof w:val="0"/>
        </w:rPr>
      </w:pPr>
      <w:r w:rsidRPr="0018679F">
        <w:rPr>
          <w:bCs/>
          <w:i/>
          <w:noProof w:val="0"/>
        </w:rPr>
        <w:t>Veuillez fournir dans vos réponses un raisonnement détaillé</w:t>
      </w:r>
      <w:r>
        <w:rPr>
          <w:bCs/>
          <w:i/>
          <w:noProof w:val="0"/>
        </w:rPr>
        <w:t>, ainsi que des exemples, si </w:t>
      </w:r>
      <w:r w:rsidRPr="0018679F">
        <w:rPr>
          <w:bCs/>
          <w:i/>
          <w:noProof w:val="0"/>
        </w:rPr>
        <w:t>possible.</w:t>
      </w:r>
    </w:p>
    <w:p w:rsidR="008C32D8" w:rsidRDefault="008C32D8" w:rsidP="008C32D8">
      <w:pPr>
        <w:rPr>
          <w:b/>
          <w:bCs/>
          <w:noProof w:val="0"/>
        </w:rPr>
      </w:pPr>
      <w:r>
        <w:rPr>
          <w:b/>
          <w:bCs/>
          <w:noProof w:val="0"/>
        </w:rPr>
        <w:pict>
          <v:rect id="_x0000_i1025" style="width:0;height:1.5pt" o:hralign="center" o:hrstd="t" o:hr="t" fillcolor="gray" stroked="f"/>
        </w:pict>
      </w:r>
    </w:p>
    <w:p w:rsidR="0057669F" w:rsidRDefault="0057669F" w:rsidP="008C32D8">
      <w:pPr>
        <w:rPr>
          <w:b/>
          <w:bCs/>
          <w:noProof w:val="0"/>
        </w:rPr>
      </w:pPr>
    </w:p>
    <w:p w:rsidR="0057669F" w:rsidRPr="00A324A4" w:rsidRDefault="0057669F" w:rsidP="0057669F">
      <w:pPr>
        <w:rPr>
          <w:rFonts w:eastAsia="Times New Roman"/>
          <w:szCs w:val="26"/>
          <w:lang w:eastAsia="en-US"/>
        </w:rPr>
      </w:pPr>
      <w:r>
        <w:rPr>
          <w:rFonts w:eastAsia="Times New Roman"/>
          <w:szCs w:val="26"/>
          <w:lang w:eastAsia="en-US"/>
        </w:rPr>
        <w:t xml:space="preserve">RÉPONSE ÉMANANT </w:t>
      </w:r>
      <w:r w:rsidRPr="00A324A4">
        <w:rPr>
          <w:rFonts w:eastAsia="Times New Roman"/>
          <w:szCs w:val="26"/>
          <w:lang w:eastAsia="en-US"/>
        </w:rPr>
        <w:t>DE</w:t>
      </w:r>
      <w:r>
        <w:rPr>
          <w:rFonts w:eastAsia="Times New Roman"/>
          <w:szCs w:val="26"/>
          <w:lang w:eastAsia="en-US"/>
        </w:rPr>
        <w:t> :</w:t>
      </w:r>
    </w:p>
    <w:p w:rsidR="0057669F" w:rsidRPr="00A324A4" w:rsidRDefault="0057669F" w:rsidP="0057669F">
      <w:pPr>
        <w:rPr>
          <w:rFonts w:eastAsia="Times New Roman"/>
          <w:szCs w:val="26"/>
          <w:lang w:eastAsia="en-US"/>
        </w:rPr>
      </w:pPr>
    </w:p>
    <w:p w:rsidR="0057669F" w:rsidRPr="00A324A4" w:rsidRDefault="0057669F" w:rsidP="0057669F">
      <w:pPr>
        <w:tabs>
          <w:tab w:val="right" w:leader="dot" w:pos="9072"/>
        </w:tabs>
        <w:rPr>
          <w:rFonts w:eastAsia="Times New Roman"/>
          <w:szCs w:val="26"/>
          <w:lang w:eastAsia="en-US"/>
        </w:rPr>
      </w:pPr>
      <w:r w:rsidRPr="00A324A4">
        <w:rPr>
          <w:rFonts w:eastAsia="Times New Roman"/>
          <w:szCs w:val="26"/>
          <w:lang w:eastAsia="en-US"/>
        </w:rPr>
        <w:t>Nom du fonctionnaire responsable</w:t>
      </w:r>
      <w:r>
        <w:rPr>
          <w:rFonts w:eastAsia="Times New Roman"/>
          <w:szCs w:val="26"/>
          <w:lang w:eastAsia="en-US"/>
        </w:rPr>
        <w:t xml:space="preserve"> : </w:t>
      </w:r>
      <w:r>
        <w:rPr>
          <w:rFonts w:eastAsia="Times New Roman"/>
          <w:szCs w:val="26"/>
          <w:lang w:eastAsia="en-US"/>
        </w:rPr>
        <w:tab/>
      </w:r>
      <w:r w:rsidRPr="00A324A4">
        <w:rPr>
          <w:rFonts w:eastAsia="Times New Roman"/>
          <w:szCs w:val="26"/>
          <w:lang w:eastAsia="en-US"/>
        </w:rPr>
        <w:tab/>
      </w:r>
    </w:p>
    <w:p w:rsidR="0057669F" w:rsidRPr="00A324A4" w:rsidRDefault="0057669F" w:rsidP="0057669F">
      <w:pPr>
        <w:tabs>
          <w:tab w:val="right" w:leader="dot" w:pos="9072"/>
        </w:tabs>
        <w:rPr>
          <w:rFonts w:eastAsia="Times New Roman"/>
          <w:szCs w:val="26"/>
          <w:lang w:eastAsia="en-US"/>
        </w:rPr>
      </w:pPr>
    </w:p>
    <w:p w:rsidR="0057669F" w:rsidRPr="00A324A4" w:rsidRDefault="0057669F" w:rsidP="0057669F">
      <w:pPr>
        <w:tabs>
          <w:tab w:val="right" w:leader="dot" w:pos="9072"/>
        </w:tabs>
        <w:rPr>
          <w:rFonts w:eastAsia="Times New Roman"/>
          <w:szCs w:val="26"/>
          <w:lang w:eastAsia="en-US"/>
        </w:rPr>
      </w:pPr>
      <w:r w:rsidRPr="00A324A4">
        <w:rPr>
          <w:rFonts w:eastAsia="Times New Roman"/>
          <w:szCs w:val="26"/>
          <w:lang w:eastAsia="en-US"/>
        </w:rPr>
        <w:t xml:space="preserve">Au nom de </w:t>
      </w:r>
      <w:r w:rsidRPr="00A324A4">
        <w:rPr>
          <w:rFonts w:eastAsia="Times New Roman"/>
          <w:i/>
          <w:szCs w:val="26"/>
          <w:lang w:eastAsia="en-US"/>
        </w:rPr>
        <w:t>[État, office ou organisme]</w:t>
      </w:r>
      <w:r>
        <w:rPr>
          <w:rFonts w:eastAsia="Times New Roman"/>
          <w:szCs w:val="26"/>
          <w:lang w:eastAsia="en-US"/>
        </w:rPr>
        <w:t xml:space="preserve"> : </w:t>
      </w:r>
      <w:r>
        <w:rPr>
          <w:rFonts w:eastAsia="Times New Roman"/>
          <w:szCs w:val="26"/>
          <w:lang w:eastAsia="en-US"/>
        </w:rPr>
        <w:tab/>
      </w:r>
    </w:p>
    <w:p w:rsidR="0057669F" w:rsidRDefault="0057669F" w:rsidP="008C32D8"/>
    <w:p w:rsidR="0057669F" w:rsidRPr="0018679F" w:rsidRDefault="0057669F" w:rsidP="008C32D8">
      <w:pPr>
        <w:rPr>
          <w:b/>
          <w:bCs/>
          <w:noProof w:val="0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Q1.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>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par renvoi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 xml:space="preserve">un mémoire descriptif complet (série de revendications </w:t>
      </w:r>
      <w:r w:rsidRPr="0018679F">
        <w:rPr>
          <w:noProof w:val="0"/>
          <w:sz w:val="22"/>
          <w:szCs w:val="22"/>
          <w:u w:val="single"/>
          <w:lang w:val="fr-FR"/>
        </w:rPr>
        <w:t>et</w:t>
      </w:r>
      <w:r w:rsidRPr="0018679F">
        <w:rPr>
          <w:noProof w:val="0"/>
          <w:sz w:val="22"/>
          <w:szCs w:val="22"/>
          <w:lang w:val="fr-FR"/>
        </w:rPr>
        <w:t xml:space="preserve"> description) considéré comme une partie manquante en vertu de la règle 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PCT est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elle autorisée dans votre office?</w:t>
      </w:r>
    </w:p>
    <w:p w:rsidR="008C32D8" w:rsidRPr="0018679F" w:rsidRDefault="008C32D8" w:rsidP="008C32D8">
      <w:pPr>
        <w:pStyle w:val="EPONormal"/>
        <w:rPr>
          <w:b/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 xml:space="preserve">Q2. </w:t>
      </w:r>
      <w:r w:rsidRPr="0018679F">
        <w:rPr>
          <w:noProof w:val="0"/>
          <w:sz w:val="22"/>
          <w:szCs w:val="22"/>
          <w:lang w:val="fr-FR"/>
        </w:rPr>
        <w:t>Votre office autorise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par renvoi de parties manquantes en vertu de la règle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PCT lorsque des priorités multiples sont revendiquées, p.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ex. lorsque le déposant incorpore par renvoi certaines revendications à partir de deux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documents de priorité et une série de dessins à partir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un troisième document de priorité?  Le cas échéant, comment votre office procède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</w:t>
      </w:r>
      <w:r>
        <w:rPr>
          <w:noProof w:val="0"/>
          <w:sz w:val="22"/>
          <w:szCs w:val="22"/>
          <w:lang w:val="fr-FR"/>
        </w:rPr>
        <w:t xml:space="preserve"> concrètement</w:t>
      </w:r>
      <w:r w:rsidRPr="0018679F">
        <w:rPr>
          <w:noProof w:val="0"/>
          <w:sz w:val="22"/>
          <w:szCs w:val="22"/>
          <w:lang w:val="fr-FR"/>
        </w:rPr>
        <w:t>?</w:t>
      </w:r>
    </w:p>
    <w:p w:rsidR="008C32D8" w:rsidRPr="0018679F" w:rsidRDefault="008C32D8" w:rsidP="008C32D8">
      <w:pPr>
        <w:pStyle w:val="EPONormal"/>
        <w:rPr>
          <w:b/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Q3.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>Qu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il applique ou non les dispositions relatives aux parties manquantes prévues à la règle 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 xml:space="preserve">PCT, votre office </w:t>
      </w:r>
      <w:r>
        <w:rPr>
          <w:noProof w:val="0"/>
          <w:sz w:val="22"/>
          <w:szCs w:val="22"/>
          <w:lang w:val="fr-FR"/>
        </w:rPr>
        <w:t>considère</w:t>
      </w:r>
      <w:r>
        <w:rPr>
          <w:noProof w:val="0"/>
          <w:sz w:val="22"/>
          <w:szCs w:val="22"/>
          <w:lang w:val="fr-FR"/>
        </w:rPr>
        <w:noBreakHyphen/>
        <w:t>t</w:t>
      </w:r>
      <w:r>
        <w:rPr>
          <w:noProof w:val="0"/>
          <w:sz w:val="22"/>
          <w:szCs w:val="22"/>
          <w:lang w:val="fr-FR"/>
        </w:rPr>
        <w:noBreakHyphen/>
        <w:t>il</w:t>
      </w:r>
      <w:r w:rsidRPr="0018679F">
        <w:rPr>
          <w:noProof w:val="0"/>
          <w:sz w:val="22"/>
          <w:szCs w:val="22"/>
          <w:lang w:val="fr-FR"/>
        </w:rPr>
        <w:t xml:space="preserve"> qu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 xml:space="preserve">un mémoire descriptif complet (série de revendications </w:t>
      </w:r>
      <w:r w:rsidRPr="0018679F">
        <w:rPr>
          <w:noProof w:val="0"/>
          <w:sz w:val="22"/>
          <w:szCs w:val="22"/>
          <w:u w:val="single"/>
          <w:lang w:val="fr-FR"/>
        </w:rPr>
        <w:t>et</w:t>
      </w:r>
      <w:r w:rsidRPr="0018679F">
        <w:rPr>
          <w:noProof w:val="0"/>
          <w:sz w:val="22"/>
          <w:szCs w:val="22"/>
          <w:lang w:val="fr-FR"/>
        </w:rPr>
        <w:t xml:space="preserve"> description) </w:t>
      </w:r>
      <w:r>
        <w:rPr>
          <w:noProof w:val="0"/>
          <w:sz w:val="22"/>
          <w:szCs w:val="22"/>
          <w:lang w:val="fr-FR"/>
        </w:rPr>
        <w:t>puisse</w:t>
      </w:r>
      <w:r w:rsidRPr="0018679F">
        <w:rPr>
          <w:noProof w:val="0"/>
          <w:sz w:val="22"/>
          <w:szCs w:val="22"/>
          <w:lang w:val="fr-FR"/>
        </w:rPr>
        <w:t xml:space="preserve"> être considéré comme une partie manquante </w:t>
      </w:r>
      <w:r>
        <w:rPr>
          <w:noProof w:val="0"/>
          <w:sz w:val="22"/>
          <w:szCs w:val="22"/>
          <w:lang w:val="fr-FR"/>
        </w:rPr>
        <w:t>en vertu de la</w:t>
      </w:r>
      <w:r w:rsidRPr="0018679F">
        <w:rPr>
          <w:noProof w:val="0"/>
          <w:sz w:val="22"/>
          <w:szCs w:val="22"/>
          <w:lang w:val="fr-FR"/>
        </w:rPr>
        <w:t xml:space="preserve"> règle 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PCT et se voir ainsi attribuer comme date d</w:t>
      </w:r>
      <w:r>
        <w:rPr>
          <w:noProof w:val="0"/>
          <w:sz w:val="22"/>
          <w:szCs w:val="22"/>
          <w:lang w:val="fr-FR"/>
        </w:rPr>
        <w:t>e</w:t>
      </w:r>
      <w:r w:rsidRPr="0018679F">
        <w:rPr>
          <w:noProof w:val="0"/>
          <w:sz w:val="22"/>
          <w:szCs w:val="22"/>
          <w:lang w:val="fr-FR"/>
        </w:rPr>
        <w:t xml:space="preserve"> dépôt international la date de réception des documents erronés déposés initialement (dépôt erroné)?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Q4.</w:t>
      </w:r>
      <w:r w:rsidRPr="000B2D7A">
        <w:rPr>
          <w:noProof w:val="0"/>
          <w:sz w:val="22"/>
          <w:szCs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 xml:space="preserve">Votre office </w:t>
      </w:r>
      <w:r>
        <w:rPr>
          <w:noProof w:val="0"/>
          <w:sz w:val="22"/>
          <w:szCs w:val="22"/>
          <w:lang w:val="fr-FR"/>
        </w:rPr>
        <w:t>considère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 que la règle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PCT n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est pas claire en ce qui concerne la question de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par renvoi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 xml:space="preserve">un mémoire descriptif complet (série de revendications </w:t>
      </w:r>
      <w:r w:rsidRPr="0018679F">
        <w:rPr>
          <w:noProof w:val="0"/>
          <w:sz w:val="22"/>
          <w:szCs w:val="22"/>
          <w:u w:val="single"/>
          <w:lang w:val="fr-FR"/>
        </w:rPr>
        <w:t>et</w:t>
      </w:r>
      <w:r w:rsidRPr="0018679F">
        <w:rPr>
          <w:noProof w:val="0"/>
          <w:sz w:val="22"/>
          <w:szCs w:val="22"/>
          <w:lang w:val="fr-FR"/>
        </w:rPr>
        <w:t xml:space="preserve"> description) et qu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elle devrait par conséquent être réexaminée afin de réduire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incertitude juridique (voir le paragraphe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6 du document PCT/WG/6/20 qui figure à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annexe II de la présente circulaire)?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8C32D8" w:rsidRPr="0018679F" w:rsidRDefault="008C32D8" w:rsidP="0057669F">
      <w:pPr>
        <w:pStyle w:val="EPONormal"/>
        <w:keepLines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lastRenderedPageBreak/>
        <w:t>Q5.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>Si la règle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20 du</w:t>
      </w:r>
      <w:r>
        <w:rPr>
          <w:noProof w:val="0"/>
          <w:sz w:val="22"/>
          <w:szCs w:val="22"/>
          <w:lang w:val="fr-FR"/>
        </w:rPr>
        <w:t> </w:t>
      </w:r>
      <w:bookmarkStart w:id="0" w:name="_GoBack"/>
      <w:bookmarkEnd w:id="0"/>
      <w:r w:rsidRPr="0018679F">
        <w:rPr>
          <w:noProof w:val="0"/>
          <w:sz w:val="22"/>
          <w:szCs w:val="22"/>
          <w:lang w:val="fr-FR"/>
        </w:rPr>
        <w:t>PCT était réexaminée, votre office serait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 xml:space="preserve">il </w:t>
      </w:r>
      <w:r>
        <w:rPr>
          <w:noProof w:val="0"/>
          <w:sz w:val="22"/>
          <w:szCs w:val="22"/>
          <w:lang w:val="fr-FR"/>
        </w:rPr>
        <w:t xml:space="preserve">favorable à une modification de cette règle </w:t>
      </w:r>
      <w:r w:rsidRPr="0018679F">
        <w:rPr>
          <w:noProof w:val="0"/>
          <w:sz w:val="22"/>
          <w:szCs w:val="22"/>
          <w:lang w:val="fr-FR"/>
        </w:rPr>
        <w:t>afin de couvrir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 xml:space="preserve">un mémoire descriptif complet (série de revendications </w:t>
      </w:r>
      <w:r w:rsidRPr="0018679F">
        <w:rPr>
          <w:noProof w:val="0"/>
          <w:sz w:val="22"/>
          <w:szCs w:val="22"/>
          <w:u w:val="single"/>
          <w:lang w:val="fr-FR"/>
        </w:rPr>
        <w:t>et</w:t>
      </w:r>
      <w:r w:rsidRPr="0018679F">
        <w:rPr>
          <w:noProof w:val="0"/>
          <w:sz w:val="22"/>
          <w:szCs w:val="22"/>
          <w:lang w:val="fr-FR"/>
        </w:rPr>
        <w:t xml:space="preserve"> description) dans les dépôts erronés ou, au contraire, afin de préciser que cette pratique </w:t>
      </w:r>
      <w:r>
        <w:rPr>
          <w:noProof w:val="0"/>
          <w:sz w:val="22"/>
          <w:szCs w:val="22"/>
          <w:lang w:val="fr-FR"/>
        </w:rPr>
        <w:t>ne devrait pas être</w:t>
      </w:r>
      <w:r w:rsidRPr="0018679F">
        <w:rPr>
          <w:noProof w:val="0"/>
          <w:sz w:val="22"/>
          <w:szCs w:val="22"/>
          <w:lang w:val="fr-FR"/>
        </w:rPr>
        <w:t xml:space="preserve"> acceptable?</w:t>
      </w:r>
    </w:p>
    <w:p w:rsidR="008C32D8" w:rsidRDefault="008C32D8" w:rsidP="008C32D8">
      <w:pPr>
        <w:rPr>
          <w:b/>
          <w:noProof w:val="0"/>
          <w:szCs w:val="22"/>
          <w:lang w:eastAsia="en-GB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Q6.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>Si la règle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PCT couvrait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 xml:space="preserve">un mémoire descriptif complet (série de revendications </w:t>
      </w:r>
      <w:r w:rsidRPr="0018679F">
        <w:rPr>
          <w:noProof w:val="0"/>
          <w:sz w:val="22"/>
          <w:szCs w:val="22"/>
          <w:u w:val="single"/>
          <w:lang w:val="fr-FR"/>
        </w:rPr>
        <w:t>et</w:t>
      </w:r>
      <w:r w:rsidRPr="0018679F">
        <w:rPr>
          <w:noProof w:val="0"/>
          <w:sz w:val="22"/>
          <w:szCs w:val="22"/>
          <w:lang w:val="fr-FR"/>
        </w:rPr>
        <w:t xml:space="preserve"> description) dans les dépôts erronés, votre office serait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 xml:space="preserve">accord que les administrations chargées de la recherche internationale soient autorisées à percevoir une taxe de recherche additionnelle lorsque la copie de recherche a déjà été </w:t>
      </w:r>
      <w:proofErr w:type="gramStart"/>
      <w:r w:rsidRPr="0018679F">
        <w:rPr>
          <w:noProof w:val="0"/>
          <w:sz w:val="22"/>
          <w:szCs w:val="22"/>
          <w:lang w:val="fr-FR"/>
        </w:rPr>
        <w:t>envoyée</w:t>
      </w:r>
      <w:proofErr w:type="gramEnd"/>
      <w:r w:rsidRPr="0018679F">
        <w:rPr>
          <w:noProof w:val="0"/>
          <w:sz w:val="22"/>
          <w:szCs w:val="22"/>
          <w:lang w:val="fr-FR"/>
        </w:rPr>
        <w:t xml:space="preserve"> à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administration chargée de la recherche internationale?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Q7.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>Votre office serait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accord que les offices récepteurs soient autorisés à percevoir une taxe pour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par renvoi de parties manquantes afin de couvrir les frais administratifs supplémentaires?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Q8.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 xml:space="preserve">Votre office </w:t>
      </w:r>
      <w:r>
        <w:rPr>
          <w:noProof w:val="0"/>
          <w:sz w:val="22"/>
          <w:szCs w:val="22"/>
          <w:lang w:val="fr-FR"/>
        </w:rPr>
        <w:t>considère</w:t>
      </w:r>
      <w:r>
        <w:rPr>
          <w:noProof w:val="0"/>
          <w:sz w:val="22"/>
          <w:szCs w:val="22"/>
          <w:lang w:val="fr-FR"/>
        </w:rPr>
        <w:noBreakHyphen/>
        <w:t>t</w:t>
      </w:r>
      <w:r>
        <w:rPr>
          <w:noProof w:val="0"/>
          <w:sz w:val="22"/>
          <w:szCs w:val="22"/>
          <w:lang w:val="fr-FR"/>
        </w:rPr>
        <w:noBreakHyphen/>
        <w:t>il</w:t>
      </w:r>
      <w:r w:rsidRPr="0018679F">
        <w:rPr>
          <w:noProof w:val="0"/>
          <w:sz w:val="22"/>
          <w:szCs w:val="22"/>
          <w:lang w:val="fr-FR"/>
        </w:rPr>
        <w:t xml:space="preserve"> que le remplacement de parties ou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éléments erronés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une demande internationale par de nouvelles parties incorporées par renvoi (comme proposé aux paragraphes 8 et 9 de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annexe du document PCT/WG/6/15 intitulé “Discussion des propositions plus détaillées concernant le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 xml:space="preserve">PCT 20/20”) </w:t>
      </w:r>
      <w:r>
        <w:rPr>
          <w:noProof w:val="0"/>
          <w:sz w:val="22"/>
          <w:szCs w:val="22"/>
          <w:lang w:val="fr-FR"/>
        </w:rPr>
        <w:t>puisse</w:t>
      </w:r>
      <w:r w:rsidRPr="0018679F">
        <w:rPr>
          <w:noProof w:val="0"/>
          <w:sz w:val="22"/>
          <w:szCs w:val="22"/>
          <w:lang w:val="fr-FR"/>
        </w:rPr>
        <w:t xml:space="preserve"> </w:t>
      </w:r>
      <w:r>
        <w:rPr>
          <w:noProof w:val="0"/>
          <w:sz w:val="22"/>
          <w:szCs w:val="22"/>
          <w:lang w:val="fr-FR"/>
        </w:rPr>
        <w:t>affecter</w:t>
      </w:r>
      <w:r w:rsidRPr="0018679F">
        <w:rPr>
          <w:noProof w:val="0"/>
          <w:sz w:val="22"/>
          <w:szCs w:val="22"/>
          <w:lang w:val="fr-FR"/>
        </w:rPr>
        <w:t xml:space="preserve"> la divulgation de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invention et que</w:t>
      </w:r>
      <w:r>
        <w:rPr>
          <w:noProof w:val="0"/>
          <w:sz w:val="22"/>
          <w:szCs w:val="22"/>
          <w:lang w:val="fr-FR"/>
        </w:rPr>
        <w:t>,</w:t>
      </w:r>
      <w:r w:rsidRPr="0018679F">
        <w:rPr>
          <w:noProof w:val="0"/>
          <w:sz w:val="22"/>
          <w:szCs w:val="22"/>
          <w:lang w:val="fr-FR"/>
        </w:rPr>
        <w:t xml:space="preserve"> par conséquent</w:t>
      </w:r>
      <w:r>
        <w:rPr>
          <w:noProof w:val="0"/>
          <w:sz w:val="22"/>
          <w:szCs w:val="22"/>
          <w:lang w:val="fr-FR"/>
        </w:rPr>
        <w:t>,</w:t>
      </w:r>
      <w:r w:rsidRPr="0018679F">
        <w:rPr>
          <w:noProof w:val="0"/>
          <w:sz w:val="22"/>
          <w:szCs w:val="22"/>
          <w:lang w:val="fr-FR"/>
        </w:rPr>
        <w:t xml:space="preserve"> il </w:t>
      </w:r>
      <w:r>
        <w:rPr>
          <w:noProof w:val="0"/>
          <w:sz w:val="22"/>
          <w:szCs w:val="22"/>
          <w:lang w:val="fr-FR"/>
        </w:rPr>
        <w:t>doive</w:t>
      </w:r>
      <w:r w:rsidRPr="0018679F">
        <w:rPr>
          <w:noProof w:val="0"/>
          <w:sz w:val="22"/>
          <w:szCs w:val="22"/>
          <w:lang w:val="fr-FR"/>
        </w:rPr>
        <w:t xml:space="preserve"> plutôt être traité au moyen d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une modification de la procédure prévue au chapitre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II?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Q9.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>Aux fins de l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incorporation par renvoi de parties manquantes en vertu de la règle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>20 du</w:t>
      </w:r>
      <w:r>
        <w:rPr>
          <w:noProof w:val="0"/>
          <w:sz w:val="22"/>
          <w:szCs w:val="22"/>
          <w:lang w:val="fr-FR"/>
        </w:rPr>
        <w:t> </w:t>
      </w:r>
      <w:r w:rsidRPr="0018679F">
        <w:rPr>
          <w:noProof w:val="0"/>
          <w:sz w:val="22"/>
          <w:szCs w:val="22"/>
          <w:lang w:val="fr-FR"/>
        </w:rPr>
        <w:t xml:space="preserve">PCT, certains offices récepteurs acceptent que les déposants indiquent des revendications de priorité </w:t>
      </w:r>
      <w:r>
        <w:rPr>
          <w:noProof w:val="0"/>
          <w:sz w:val="22"/>
          <w:szCs w:val="22"/>
          <w:lang w:val="fr-FR"/>
        </w:rPr>
        <w:t>portant</w:t>
      </w:r>
      <w:r w:rsidRPr="0018679F">
        <w:rPr>
          <w:noProof w:val="0"/>
          <w:sz w:val="22"/>
          <w:szCs w:val="22"/>
          <w:lang w:val="fr-FR"/>
        </w:rPr>
        <w:t xml:space="preserve"> la même date que celle du dépôt international.  Votre office </w:t>
      </w:r>
      <w:proofErr w:type="spellStart"/>
      <w:r w:rsidRPr="0018679F">
        <w:rPr>
          <w:noProof w:val="0"/>
          <w:sz w:val="22"/>
          <w:szCs w:val="22"/>
          <w:lang w:val="fr-FR"/>
        </w:rPr>
        <w:t>suit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</w:t>
      </w:r>
      <w:proofErr w:type="spellEnd"/>
      <w:r w:rsidRPr="0018679F">
        <w:rPr>
          <w:noProof w:val="0"/>
          <w:sz w:val="22"/>
          <w:szCs w:val="22"/>
          <w:lang w:val="fr-FR"/>
        </w:rPr>
        <w:t xml:space="preserve"> ou encourage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t</w:t>
      </w:r>
      <w:r>
        <w:rPr>
          <w:noProof w:val="0"/>
          <w:sz w:val="22"/>
          <w:szCs w:val="22"/>
          <w:lang w:val="fr-FR"/>
        </w:rPr>
        <w:noBreakHyphen/>
      </w:r>
      <w:r w:rsidRPr="0018679F">
        <w:rPr>
          <w:noProof w:val="0"/>
          <w:sz w:val="22"/>
          <w:szCs w:val="22"/>
          <w:lang w:val="fr-FR"/>
        </w:rPr>
        <w:t>il cette pratique (également dans le cadre de la législation nationale applicable)?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  <w:r w:rsidRPr="0018679F">
        <w:rPr>
          <w:b/>
          <w:noProof w:val="0"/>
          <w:sz w:val="22"/>
          <w:szCs w:val="22"/>
          <w:lang w:val="fr-FR"/>
        </w:rPr>
        <w:t>Q10.</w:t>
      </w:r>
      <w:r w:rsidRPr="000B2D7A">
        <w:rPr>
          <w:b/>
          <w:sz w:val="22"/>
          <w:lang w:val="fr-FR"/>
        </w:rPr>
        <w:t xml:space="preserve"> </w:t>
      </w:r>
      <w:r w:rsidRPr="0018679F">
        <w:rPr>
          <w:noProof w:val="0"/>
          <w:sz w:val="22"/>
          <w:szCs w:val="22"/>
          <w:lang w:val="fr-FR"/>
        </w:rPr>
        <w:t xml:space="preserve">Votre office </w:t>
      </w:r>
      <w:r>
        <w:rPr>
          <w:noProof w:val="0"/>
          <w:sz w:val="22"/>
          <w:szCs w:val="22"/>
          <w:lang w:val="fr-FR"/>
        </w:rPr>
        <w:t>considère</w:t>
      </w:r>
      <w:r>
        <w:rPr>
          <w:noProof w:val="0"/>
          <w:sz w:val="22"/>
          <w:szCs w:val="22"/>
          <w:lang w:val="fr-FR"/>
        </w:rPr>
        <w:noBreakHyphen/>
        <w:t>t</w:t>
      </w:r>
      <w:r>
        <w:rPr>
          <w:noProof w:val="0"/>
          <w:sz w:val="22"/>
          <w:szCs w:val="22"/>
          <w:lang w:val="fr-FR"/>
        </w:rPr>
        <w:noBreakHyphen/>
        <w:t>il</w:t>
      </w:r>
      <w:r w:rsidRPr="0018679F">
        <w:rPr>
          <w:noProof w:val="0"/>
          <w:sz w:val="22"/>
          <w:szCs w:val="22"/>
          <w:lang w:val="fr-FR"/>
        </w:rPr>
        <w:t xml:space="preserve"> que les pratiques de certains offices récepteurs qui acceptent les revendications de priorité portant la même date que celle du dépôt international soient conformes à la Convention de Paris s</w:t>
      </w:r>
      <w:r>
        <w:rPr>
          <w:noProof w:val="0"/>
          <w:sz w:val="22"/>
          <w:szCs w:val="22"/>
          <w:lang w:val="fr-FR"/>
        </w:rPr>
        <w:t>’</w:t>
      </w:r>
      <w:r w:rsidRPr="0018679F">
        <w:rPr>
          <w:noProof w:val="0"/>
          <w:sz w:val="22"/>
          <w:szCs w:val="22"/>
          <w:lang w:val="fr-FR"/>
        </w:rPr>
        <w:t>agissant de la validité de la revendication de priorité?</w:t>
      </w:r>
    </w:p>
    <w:p w:rsidR="008C32D8" w:rsidRPr="0018679F" w:rsidRDefault="008C32D8" w:rsidP="008C32D8">
      <w:pPr>
        <w:pStyle w:val="EPONormal"/>
        <w:rPr>
          <w:noProof w:val="0"/>
          <w:sz w:val="22"/>
          <w:szCs w:val="22"/>
          <w:lang w:val="fr-FR"/>
        </w:rPr>
      </w:pPr>
    </w:p>
    <w:p w:rsidR="003C7A95" w:rsidRDefault="008C32D8" w:rsidP="008C32D8">
      <w:r w:rsidRPr="0018679F">
        <w:rPr>
          <w:b/>
          <w:noProof w:val="0"/>
          <w:szCs w:val="22"/>
        </w:rPr>
        <w:t>Q11.</w:t>
      </w:r>
      <w:r w:rsidRPr="000B2D7A">
        <w:rPr>
          <w:b/>
        </w:rPr>
        <w:t xml:space="preserve"> </w:t>
      </w:r>
      <w:r w:rsidRPr="0018679F">
        <w:rPr>
          <w:noProof w:val="0"/>
          <w:szCs w:val="22"/>
        </w:rPr>
        <w:t xml:space="preserve">Votre office </w:t>
      </w:r>
      <w:r>
        <w:rPr>
          <w:noProof w:val="0"/>
          <w:szCs w:val="22"/>
        </w:rPr>
        <w:t>considère</w:t>
      </w:r>
      <w:r>
        <w:rPr>
          <w:noProof w:val="0"/>
          <w:szCs w:val="22"/>
        </w:rPr>
        <w:noBreakHyphen/>
        <w:t>t</w:t>
      </w:r>
      <w:r>
        <w:rPr>
          <w:noProof w:val="0"/>
          <w:szCs w:val="22"/>
        </w:rPr>
        <w:noBreakHyphen/>
        <w:t>il</w:t>
      </w:r>
      <w:r w:rsidRPr="0018679F">
        <w:rPr>
          <w:noProof w:val="0"/>
          <w:szCs w:val="22"/>
        </w:rPr>
        <w:t xml:space="preserve"> que les pratiques de certains offices récepteurs qui acceptent des revendications de priorité portant la même date que celle du dépôt international soient conformes au</w:t>
      </w:r>
      <w:r>
        <w:rPr>
          <w:noProof w:val="0"/>
          <w:szCs w:val="22"/>
        </w:rPr>
        <w:t> </w:t>
      </w:r>
      <w:r w:rsidRPr="0018679F">
        <w:rPr>
          <w:noProof w:val="0"/>
          <w:szCs w:val="22"/>
        </w:rPr>
        <w:t>PCT?  Si tel n</w:t>
      </w:r>
      <w:r>
        <w:rPr>
          <w:noProof w:val="0"/>
          <w:szCs w:val="22"/>
        </w:rPr>
        <w:t>’</w:t>
      </w:r>
      <w:r w:rsidRPr="0018679F">
        <w:rPr>
          <w:noProof w:val="0"/>
          <w:szCs w:val="22"/>
        </w:rPr>
        <w:t xml:space="preserve">est pas le cas, votre office </w:t>
      </w:r>
      <w:r>
        <w:rPr>
          <w:noProof w:val="0"/>
          <w:szCs w:val="22"/>
        </w:rPr>
        <w:t>considère</w:t>
      </w:r>
      <w:r>
        <w:rPr>
          <w:noProof w:val="0"/>
          <w:szCs w:val="22"/>
        </w:rPr>
        <w:noBreakHyphen/>
        <w:t>t</w:t>
      </w:r>
      <w:r>
        <w:rPr>
          <w:noProof w:val="0"/>
          <w:szCs w:val="22"/>
        </w:rPr>
        <w:noBreakHyphen/>
        <w:t>il</w:t>
      </w:r>
      <w:r w:rsidRPr="0018679F">
        <w:rPr>
          <w:noProof w:val="0"/>
          <w:szCs w:val="22"/>
        </w:rPr>
        <w:t xml:space="preserve"> que les dispositions du</w:t>
      </w:r>
      <w:r>
        <w:rPr>
          <w:noProof w:val="0"/>
          <w:szCs w:val="22"/>
        </w:rPr>
        <w:t> </w:t>
      </w:r>
      <w:r w:rsidRPr="0018679F">
        <w:rPr>
          <w:noProof w:val="0"/>
          <w:szCs w:val="22"/>
        </w:rPr>
        <w:t>PCT (règles, directives à l</w:t>
      </w:r>
      <w:r>
        <w:rPr>
          <w:noProof w:val="0"/>
          <w:szCs w:val="22"/>
        </w:rPr>
        <w:t>’</w:t>
      </w:r>
      <w:r w:rsidRPr="0018679F">
        <w:rPr>
          <w:noProof w:val="0"/>
          <w:szCs w:val="22"/>
        </w:rPr>
        <w:t xml:space="preserve">usage des offices récepteurs) </w:t>
      </w:r>
      <w:r>
        <w:rPr>
          <w:noProof w:val="0"/>
          <w:szCs w:val="22"/>
        </w:rPr>
        <w:t>doivent</w:t>
      </w:r>
      <w:r w:rsidRPr="0018679F">
        <w:rPr>
          <w:noProof w:val="0"/>
          <w:szCs w:val="22"/>
        </w:rPr>
        <w:t xml:space="preserve"> être modifiées afin d</w:t>
      </w:r>
      <w:r>
        <w:rPr>
          <w:noProof w:val="0"/>
          <w:szCs w:val="22"/>
        </w:rPr>
        <w:t>’</w:t>
      </w:r>
      <w:r w:rsidRPr="0018679F">
        <w:rPr>
          <w:noProof w:val="0"/>
          <w:szCs w:val="22"/>
        </w:rPr>
        <w:t xml:space="preserve">autoriser </w:t>
      </w:r>
      <w:r>
        <w:rPr>
          <w:noProof w:val="0"/>
          <w:szCs w:val="22"/>
        </w:rPr>
        <w:t>les</w:t>
      </w:r>
      <w:r w:rsidRPr="0018679F">
        <w:rPr>
          <w:noProof w:val="0"/>
          <w:szCs w:val="22"/>
        </w:rPr>
        <w:t xml:space="preserve"> offices récepteurs à accepter les revendications de priorité portant la même date que celle du dépôt international?</w:t>
      </w:r>
    </w:p>
    <w:sectPr w:rsidR="003C7A95" w:rsidSect="000D417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C3A"/>
    <w:multiLevelType w:val="hybridMultilevel"/>
    <w:tmpl w:val="48C05708"/>
    <w:lvl w:ilvl="0" w:tplc="8926FF2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D8"/>
    <w:rsid w:val="000D4171"/>
    <w:rsid w:val="003C7A95"/>
    <w:rsid w:val="0057669F"/>
    <w:rsid w:val="008C32D8"/>
    <w:rsid w:val="00C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8"/>
    <w:pPr>
      <w:spacing w:after="0" w:line="240" w:lineRule="auto"/>
    </w:pPr>
    <w:rPr>
      <w:rFonts w:ascii="Arial" w:eastAsia="SimSun" w:hAnsi="Arial" w:cs="Arial"/>
      <w:noProof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8C32D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deletedtext">
    <w:name w:val="Leg deleted text"/>
    <w:basedOn w:val="Normal"/>
    <w:link w:val="LegdeletedtextChar"/>
    <w:qFormat/>
    <w:rsid w:val="00CE546C"/>
    <w:rPr>
      <w:strike/>
      <w:color w:val="FF0000"/>
    </w:rPr>
  </w:style>
  <w:style w:type="character" w:customStyle="1" w:styleId="LegdeletedtextChar">
    <w:name w:val="Leg deleted text Char"/>
    <w:basedOn w:val="DefaultParagraphFont"/>
    <w:link w:val="Legdeletedtext"/>
    <w:rsid w:val="00CE546C"/>
    <w:rPr>
      <w:rFonts w:ascii="Arial" w:hAnsi="Arial" w:cs="Arial"/>
      <w:strike/>
      <w:color w:val="FF0000"/>
    </w:rPr>
  </w:style>
  <w:style w:type="character" w:customStyle="1" w:styleId="Heading1Char">
    <w:name w:val="Heading 1 Char"/>
    <w:basedOn w:val="DefaultParagraphFont"/>
    <w:link w:val="Heading1"/>
    <w:rsid w:val="008C32D8"/>
    <w:rPr>
      <w:rFonts w:ascii="Arial" w:eastAsia="SimSun" w:hAnsi="Arial" w:cs="Arial"/>
      <w:b/>
      <w:bCs/>
      <w:caps/>
      <w:noProof/>
      <w:kern w:val="32"/>
      <w:szCs w:val="32"/>
      <w:lang w:val="fr-FR" w:eastAsia="zh-CN"/>
    </w:rPr>
  </w:style>
  <w:style w:type="paragraph" w:customStyle="1" w:styleId="EPONormal">
    <w:name w:val="EPONormal"/>
    <w:basedOn w:val="Normal"/>
    <w:qFormat/>
    <w:rsid w:val="008C32D8"/>
    <w:pPr>
      <w:suppressAutoHyphens/>
      <w:spacing w:after="240"/>
      <w:jc w:val="both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8"/>
    <w:pPr>
      <w:spacing w:after="0" w:line="240" w:lineRule="auto"/>
    </w:pPr>
    <w:rPr>
      <w:rFonts w:ascii="Arial" w:eastAsia="SimSun" w:hAnsi="Arial" w:cs="Arial"/>
      <w:noProof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8C32D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deletedtext">
    <w:name w:val="Leg deleted text"/>
    <w:basedOn w:val="Normal"/>
    <w:link w:val="LegdeletedtextChar"/>
    <w:qFormat/>
    <w:rsid w:val="00CE546C"/>
    <w:rPr>
      <w:strike/>
      <w:color w:val="FF0000"/>
    </w:rPr>
  </w:style>
  <w:style w:type="character" w:customStyle="1" w:styleId="LegdeletedtextChar">
    <w:name w:val="Leg deleted text Char"/>
    <w:basedOn w:val="DefaultParagraphFont"/>
    <w:link w:val="Legdeletedtext"/>
    <w:rsid w:val="00CE546C"/>
    <w:rPr>
      <w:rFonts w:ascii="Arial" w:hAnsi="Arial" w:cs="Arial"/>
      <w:strike/>
      <w:color w:val="FF0000"/>
    </w:rPr>
  </w:style>
  <w:style w:type="character" w:customStyle="1" w:styleId="Heading1Char">
    <w:name w:val="Heading 1 Char"/>
    <w:basedOn w:val="DefaultParagraphFont"/>
    <w:link w:val="Heading1"/>
    <w:rsid w:val="008C32D8"/>
    <w:rPr>
      <w:rFonts w:ascii="Arial" w:eastAsia="SimSun" w:hAnsi="Arial" w:cs="Arial"/>
      <w:b/>
      <w:bCs/>
      <w:caps/>
      <w:noProof/>
      <w:kern w:val="32"/>
      <w:szCs w:val="32"/>
      <w:lang w:val="fr-FR" w:eastAsia="zh-CN"/>
    </w:rPr>
  </w:style>
  <w:style w:type="paragraph" w:customStyle="1" w:styleId="EPONormal">
    <w:name w:val="EPONormal"/>
    <w:basedOn w:val="Normal"/>
    <w:qFormat/>
    <w:rsid w:val="008C32D8"/>
    <w:pPr>
      <w:suppressAutoHyphens/>
      <w:spacing w:after="240"/>
      <w:jc w:val="both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MARLOW Thomas</dc:creator>
  <cp:lastModifiedBy>MARLOW Thomas</cp:lastModifiedBy>
  <cp:revision>2</cp:revision>
  <dcterms:created xsi:type="dcterms:W3CDTF">2014-03-07T11:18:00Z</dcterms:created>
  <dcterms:modified xsi:type="dcterms:W3CDTF">2014-03-07T11:32:00Z</dcterms:modified>
</cp:coreProperties>
</file>