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03AF0FF" w14:textId="77777777" w:rsidTr="00CC5016">
        <w:tc>
          <w:tcPr>
            <w:tcW w:w="4513" w:type="dxa"/>
            <w:tcBorders>
              <w:bottom w:val="single" w:sz="4" w:space="0" w:color="auto"/>
            </w:tcBorders>
            <w:tcMar>
              <w:bottom w:w="170" w:type="dxa"/>
            </w:tcMar>
          </w:tcPr>
          <w:p w14:paraId="2623CFC8" w14:textId="77777777" w:rsidR="00EC4E49" w:rsidRPr="00CD1182" w:rsidRDefault="00EC4E49" w:rsidP="00916EE2">
            <w:pPr>
              <w:rPr>
                <w:rFonts w:eastAsiaTheme="minorEastAsia"/>
                <w:lang w:val="fr-CH" w:eastAsia="ja-JP"/>
              </w:rPr>
            </w:pPr>
          </w:p>
        </w:tc>
        <w:tc>
          <w:tcPr>
            <w:tcW w:w="4337" w:type="dxa"/>
            <w:tcBorders>
              <w:bottom w:val="single" w:sz="4" w:space="0" w:color="auto"/>
            </w:tcBorders>
            <w:tcMar>
              <w:left w:w="0" w:type="dxa"/>
              <w:right w:w="0" w:type="dxa"/>
            </w:tcMar>
          </w:tcPr>
          <w:p w14:paraId="46E6E2F4" w14:textId="77777777" w:rsidR="00EC4E49" w:rsidRPr="008B2CC1" w:rsidRDefault="002E4A68" w:rsidP="00916EE2">
            <w:r>
              <w:rPr>
                <w:noProof/>
                <w:lang w:eastAsia="en-US"/>
              </w:rPr>
              <w:drawing>
                <wp:inline distT="0" distB="0" distL="0" distR="0" wp14:anchorId="47CD87A6" wp14:editId="32D9BDCD">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29D866E" w14:textId="77777777" w:rsidR="00EC4E49" w:rsidRPr="008B2CC1" w:rsidRDefault="00EC4E49" w:rsidP="00916EE2">
            <w:pPr>
              <w:jc w:val="right"/>
            </w:pPr>
          </w:p>
        </w:tc>
      </w:tr>
      <w:tr w:rsidR="008B2CC1" w:rsidRPr="001832A6" w14:paraId="5DE20F46" w14:textId="77777777" w:rsidTr="00916EE2">
        <w:trPr>
          <w:trHeight w:hRule="exact" w:val="170"/>
        </w:trPr>
        <w:tc>
          <w:tcPr>
            <w:tcW w:w="9356" w:type="dxa"/>
            <w:gridSpan w:val="3"/>
            <w:noWrap/>
            <w:tcMar>
              <w:left w:w="0" w:type="dxa"/>
              <w:right w:w="0" w:type="dxa"/>
            </w:tcMar>
            <w:vAlign w:val="bottom"/>
          </w:tcPr>
          <w:p w14:paraId="403C219B" w14:textId="77777777" w:rsidR="008B2CC1" w:rsidRPr="0090731E" w:rsidRDefault="008B2CC1" w:rsidP="00916EE2">
            <w:pPr>
              <w:jc w:val="right"/>
              <w:rPr>
                <w:rFonts w:ascii="Arial Black" w:hAnsi="Arial Black"/>
                <w:caps/>
                <w:sz w:val="15"/>
              </w:rPr>
            </w:pPr>
            <w:bookmarkStart w:id="0" w:name="Original"/>
            <w:bookmarkEnd w:id="0"/>
          </w:p>
        </w:tc>
      </w:tr>
      <w:tr w:rsidR="008B2CC1" w:rsidRPr="005857F2" w14:paraId="60DB6C46" w14:textId="77777777" w:rsidTr="00916EE2">
        <w:trPr>
          <w:trHeight w:hRule="exact" w:val="198"/>
        </w:trPr>
        <w:tc>
          <w:tcPr>
            <w:tcW w:w="9356" w:type="dxa"/>
            <w:gridSpan w:val="3"/>
            <w:tcMar>
              <w:left w:w="0" w:type="dxa"/>
              <w:right w:w="0" w:type="dxa"/>
            </w:tcMar>
            <w:vAlign w:val="bottom"/>
          </w:tcPr>
          <w:p w14:paraId="4470D3B6" w14:textId="77777777" w:rsidR="002303FA" w:rsidRPr="005857F2" w:rsidRDefault="00CC5016" w:rsidP="007D75ED">
            <w:pPr>
              <w:jc w:val="right"/>
              <w:rPr>
                <w:rFonts w:ascii="Arial Black" w:hAnsi="Arial Black"/>
                <w:caps/>
                <w:sz w:val="15"/>
              </w:rPr>
            </w:pPr>
            <w:r w:rsidRPr="005857F2">
              <w:rPr>
                <w:rFonts w:ascii="Arial Black" w:hAnsi="Arial Black"/>
                <w:caps/>
                <w:sz w:val="15"/>
              </w:rPr>
              <w:t xml:space="preserve">INFORMATION NOTICE NO. </w:t>
            </w:r>
            <w:r w:rsidR="00F84A3A" w:rsidRPr="006F3FAC">
              <w:rPr>
                <w:rFonts w:ascii="Arial Black" w:hAnsi="Arial Black"/>
                <w:caps/>
                <w:sz w:val="15"/>
              </w:rPr>
              <w:t>9</w:t>
            </w:r>
            <w:r w:rsidRPr="006F3FAC">
              <w:rPr>
                <w:rFonts w:ascii="Arial Black" w:hAnsi="Arial Black"/>
                <w:caps/>
                <w:sz w:val="15"/>
              </w:rPr>
              <w:t>/20</w:t>
            </w:r>
            <w:r w:rsidR="00502C99" w:rsidRPr="006F3FAC">
              <w:rPr>
                <w:rFonts w:ascii="Arial Black" w:hAnsi="Arial Black"/>
                <w:caps/>
                <w:sz w:val="15"/>
              </w:rPr>
              <w:t>2</w:t>
            </w:r>
            <w:r w:rsidR="00BD1CCE" w:rsidRPr="006F3FAC">
              <w:rPr>
                <w:rFonts w:ascii="Arial Black" w:hAnsi="Arial Black"/>
                <w:caps/>
                <w:sz w:val="15"/>
              </w:rPr>
              <w:t>2</w:t>
            </w:r>
          </w:p>
          <w:p w14:paraId="3776BA72" w14:textId="77777777" w:rsidR="008B2CC1" w:rsidRPr="005857F2" w:rsidRDefault="00A42DAF" w:rsidP="002303FA">
            <w:pPr>
              <w:ind w:right="75"/>
              <w:jc w:val="right"/>
              <w:rPr>
                <w:rFonts w:ascii="Arial Black" w:hAnsi="Arial Black"/>
                <w:caps/>
                <w:sz w:val="15"/>
              </w:rPr>
            </w:pPr>
            <w:r w:rsidRPr="005857F2">
              <w:rPr>
                <w:rFonts w:ascii="Arial Black" w:hAnsi="Arial Black"/>
                <w:caps/>
                <w:sz w:val="15"/>
              </w:rPr>
              <w:t xml:space="preserve"> </w:t>
            </w:r>
            <w:r w:rsidR="008B2CC1" w:rsidRPr="005857F2">
              <w:rPr>
                <w:rFonts w:ascii="Arial Black" w:hAnsi="Arial Black"/>
                <w:caps/>
                <w:sz w:val="15"/>
              </w:rPr>
              <w:t xml:space="preserve"> </w:t>
            </w:r>
            <w:bookmarkStart w:id="1" w:name="Date"/>
            <w:bookmarkEnd w:id="1"/>
          </w:p>
        </w:tc>
      </w:tr>
    </w:tbl>
    <w:p w14:paraId="5CD5907F" w14:textId="77777777" w:rsidR="00CC5016" w:rsidRDefault="006223DB" w:rsidP="00F10E66">
      <w:pPr>
        <w:autoSpaceDE w:val="0"/>
        <w:autoSpaceDN w:val="0"/>
        <w:adjustRightInd w:val="0"/>
        <w:spacing w:before="1200"/>
        <w:rPr>
          <w:b/>
          <w:bCs/>
          <w:sz w:val="28"/>
          <w:szCs w:val="28"/>
        </w:rPr>
      </w:pPr>
      <w:r w:rsidRPr="005857F2">
        <w:rPr>
          <w:b/>
          <w:bCs/>
          <w:sz w:val="28"/>
          <w:szCs w:val="28"/>
        </w:rPr>
        <w:t>Hague</w:t>
      </w:r>
      <w:r w:rsidR="00CC5016" w:rsidRPr="005857F2">
        <w:rPr>
          <w:b/>
          <w:bCs/>
          <w:sz w:val="28"/>
          <w:szCs w:val="28"/>
        </w:rPr>
        <w:t xml:space="preserve"> </w:t>
      </w:r>
      <w:r w:rsidR="00EF0146" w:rsidRPr="005857F2">
        <w:rPr>
          <w:b/>
          <w:bCs/>
          <w:sz w:val="28"/>
          <w:szCs w:val="28"/>
        </w:rPr>
        <w:t xml:space="preserve">Agreement </w:t>
      </w:r>
      <w:r w:rsidR="00CC5016" w:rsidRPr="005857F2">
        <w:rPr>
          <w:b/>
          <w:bCs/>
          <w:sz w:val="28"/>
          <w:szCs w:val="28"/>
        </w:rPr>
        <w:t xml:space="preserve">Concerning the International Registration of </w:t>
      </w:r>
      <w:r w:rsidRPr="005857F2">
        <w:rPr>
          <w:b/>
          <w:bCs/>
          <w:sz w:val="28"/>
          <w:szCs w:val="28"/>
        </w:rPr>
        <w:t>Industrial Designs</w:t>
      </w:r>
    </w:p>
    <w:p w14:paraId="08153487" w14:textId="77777777" w:rsidR="009F0611" w:rsidRPr="00C6430D" w:rsidRDefault="00997550" w:rsidP="00F10E66">
      <w:pPr>
        <w:spacing w:before="720" w:after="240"/>
        <w:outlineLvl w:val="0"/>
        <w:rPr>
          <w:b/>
          <w:bCs/>
          <w:iCs/>
          <w:caps/>
          <w:sz w:val="24"/>
          <w:szCs w:val="24"/>
        </w:rPr>
      </w:pPr>
      <w:r w:rsidRPr="00EE0E83">
        <w:rPr>
          <w:b/>
          <w:bCs/>
          <w:iCs/>
          <w:sz w:val="24"/>
          <w:szCs w:val="24"/>
        </w:rPr>
        <w:t xml:space="preserve">Accession to </w:t>
      </w:r>
      <w:r w:rsidR="00BD03E2" w:rsidRPr="00EE0E83">
        <w:rPr>
          <w:b/>
          <w:bCs/>
          <w:iCs/>
          <w:sz w:val="24"/>
          <w:szCs w:val="24"/>
        </w:rPr>
        <w:t>the 1999 Act:</w:t>
      </w:r>
      <w:r w:rsidR="00696EF6">
        <w:rPr>
          <w:b/>
          <w:bCs/>
          <w:iCs/>
          <w:sz w:val="24"/>
          <w:szCs w:val="24"/>
        </w:rPr>
        <w:t xml:space="preserve"> </w:t>
      </w:r>
      <w:r w:rsidR="00786C49">
        <w:rPr>
          <w:b/>
          <w:bCs/>
          <w:iCs/>
          <w:sz w:val="24"/>
          <w:szCs w:val="24"/>
        </w:rPr>
        <w:t xml:space="preserve"> </w:t>
      </w:r>
      <w:r w:rsidR="00F84A3A">
        <w:rPr>
          <w:b/>
          <w:bCs/>
          <w:iCs/>
          <w:sz w:val="24"/>
          <w:szCs w:val="24"/>
        </w:rPr>
        <w:t>Morocco</w:t>
      </w:r>
    </w:p>
    <w:p w14:paraId="308CD119" w14:textId="666FA222" w:rsidR="00BD03E2" w:rsidRDefault="00BD03E2" w:rsidP="002757E2">
      <w:pPr>
        <w:pStyle w:val="ListParagraph"/>
        <w:numPr>
          <w:ilvl w:val="0"/>
          <w:numId w:val="7"/>
        </w:numPr>
        <w:spacing w:after="220"/>
        <w:ind w:left="0" w:firstLine="0"/>
        <w:contextualSpacing w:val="0"/>
      </w:pPr>
      <w:r>
        <w:t xml:space="preserve">On </w:t>
      </w:r>
      <w:r w:rsidR="00F84A3A">
        <w:t>April</w:t>
      </w:r>
      <w:r w:rsidR="00935C8E">
        <w:t xml:space="preserve"> </w:t>
      </w:r>
      <w:r w:rsidR="00F84A3A">
        <w:t>22</w:t>
      </w:r>
      <w:r w:rsidR="004A2DEE">
        <w:t>, 20</w:t>
      </w:r>
      <w:r w:rsidR="00BD1CCE">
        <w:t>22</w:t>
      </w:r>
      <w:r w:rsidRPr="00EE0E83">
        <w:t>,</w:t>
      </w:r>
      <w:r>
        <w:t xml:space="preserve"> the </w:t>
      </w:r>
      <w:r w:rsidR="00CF6182">
        <w:t>Government</w:t>
      </w:r>
      <w:r w:rsidR="00F84A3A" w:rsidRPr="00A91889">
        <w:t xml:space="preserve"> of </w:t>
      </w:r>
      <w:r w:rsidR="00F84A3A">
        <w:t xml:space="preserve">Morocco </w:t>
      </w:r>
      <w:r>
        <w:t>deposited with the Director</w:t>
      </w:r>
      <w:r w:rsidR="000D19B9">
        <w:t> </w:t>
      </w:r>
      <w:r>
        <w:t>General of the</w:t>
      </w:r>
      <w:r w:rsidR="005857F2">
        <w:t> </w:t>
      </w:r>
      <w:r>
        <w:t xml:space="preserve">World Intellectual Property Organization (WIPO) its </w:t>
      </w:r>
      <w:r w:rsidRPr="00EE0E83">
        <w:t xml:space="preserve">instrument of </w:t>
      </w:r>
      <w:r w:rsidR="00997550" w:rsidRPr="00EE0E83">
        <w:t>accession to</w:t>
      </w:r>
      <w:r w:rsidRPr="00EE0E83">
        <w:t xml:space="preserve"> the </w:t>
      </w:r>
      <w:r w:rsidR="002757E2" w:rsidRPr="002757E2">
        <w:t xml:space="preserve">Geneva Act of the Hague Agreement Concerning the International Registration of Industrial </w:t>
      </w:r>
      <w:r w:rsidR="005857F2">
        <w:t>D</w:t>
      </w:r>
      <w:r w:rsidR="002757E2" w:rsidRPr="002757E2">
        <w:t>esigns</w:t>
      </w:r>
      <w:r w:rsidR="002757E2">
        <w:t> </w:t>
      </w:r>
      <w:r w:rsidR="002757E2" w:rsidRPr="002757E2">
        <w:t>(“1999</w:t>
      </w:r>
      <w:r w:rsidR="002757E2">
        <w:t> </w:t>
      </w:r>
      <w:r w:rsidR="002757E2" w:rsidRPr="002757E2">
        <w:t>Act”)</w:t>
      </w:r>
      <w:r w:rsidR="00962597">
        <w:t>.</w:t>
      </w:r>
    </w:p>
    <w:p w14:paraId="4064AD25" w14:textId="0D829A8C" w:rsidR="00412161" w:rsidRDefault="00110EB6" w:rsidP="00412161">
      <w:pPr>
        <w:pStyle w:val="ListParagraph"/>
        <w:numPr>
          <w:ilvl w:val="0"/>
          <w:numId w:val="7"/>
        </w:numPr>
        <w:spacing w:after="220"/>
        <w:ind w:left="0" w:firstLine="0"/>
      </w:pPr>
      <w:r>
        <w:t xml:space="preserve">It is recalled that </w:t>
      </w:r>
      <w:r w:rsidR="003B02F6">
        <w:t>Morocco</w:t>
      </w:r>
      <w:r>
        <w:t xml:space="preserve"> has been a Contracting Party to the </w:t>
      </w:r>
      <w:r w:rsidR="002D1DE6">
        <w:t>1960 Act of the Hague Agreement Concerning the International Registration of Industrial Designs (“</w:t>
      </w:r>
      <w:r>
        <w:t>1960 Act</w:t>
      </w:r>
      <w:r w:rsidR="002D1DE6">
        <w:t>”)</w:t>
      </w:r>
      <w:r>
        <w:t xml:space="preserve"> since October 13, 1999</w:t>
      </w:r>
      <w:r w:rsidR="00BB7F31">
        <w:rPr>
          <w:rStyle w:val="FootnoteReference"/>
        </w:rPr>
        <w:footnoteReference w:id="2"/>
      </w:r>
      <w:r>
        <w:t xml:space="preserve">.  In this regard, Morocco </w:t>
      </w:r>
      <w:r w:rsidR="003B02F6">
        <w:t>made a declaration in accordance with Rule 36(2) of the Common Regulations under the</w:t>
      </w:r>
      <w:r w:rsidR="00412161">
        <w:t xml:space="preserve"> </w:t>
      </w:r>
      <w:r w:rsidR="003B02F6">
        <w:t>1999 Act and the 1960 Act of the Hague Agreement (“Common Regulations”), specifying that the maximum duration of protection provided for by the legislation of Morocco in respect of industrial designs is 25 years</w:t>
      </w:r>
      <w:r w:rsidR="00182DC7">
        <w:rPr>
          <w:rStyle w:val="FootnoteReference"/>
        </w:rPr>
        <w:footnoteReference w:id="3"/>
      </w:r>
      <w:r w:rsidR="003B02F6">
        <w:t xml:space="preserve">. </w:t>
      </w:r>
      <w:r w:rsidR="00182DC7">
        <w:t xml:space="preserve"> In addition, </w:t>
      </w:r>
      <w:r w:rsidR="003B02F6">
        <w:t xml:space="preserve">Morocco made a declaration under Rule </w:t>
      </w:r>
      <w:r w:rsidR="003B02F6" w:rsidRPr="0000634B">
        <w:t>12(1</w:t>
      </w:r>
      <w:proofErr w:type="gramStart"/>
      <w:r w:rsidR="003B02F6" w:rsidRPr="0000634B">
        <w:t>)(</w:t>
      </w:r>
      <w:proofErr w:type="gramEnd"/>
      <w:r w:rsidR="003B02F6" w:rsidRPr="0000634B">
        <w:t>c)(</w:t>
      </w:r>
      <w:proofErr w:type="spellStart"/>
      <w:r w:rsidR="003B02F6" w:rsidRPr="0000634B">
        <w:t>i</w:t>
      </w:r>
      <w:proofErr w:type="spellEnd"/>
      <w:r w:rsidR="003B02F6" w:rsidRPr="0000634B">
        <w:t>)</w:t>
      </w:r>
      <w:r w:rsidR="003B02F6">
        <w:t xml:space="preserve"> of the</w:t>
      </w:r>
      <w:r w:rsidR="003B02F6" w:rsidRPr="0000634B">
        <w:t xml:space="preserve"> </w:t>
      </w:r>
      <w:r w:rsidR="003B02F6" w:rsidRPr="008165E0">
        <w:t>Common Regulations</w:t>
      </w:r>
      <w:r w:rsidR="003B02F6">
        <w:t xml:space="preserve"> </w:t>
      </w:r>
      <w:r w:rsidR="000D5982">
        <w:t>for the application of</w:t>
      </w:r>
      <w:r w:rsidR="003B02F6">
        <w:t xml:space="preserve"> level two of the standard designation fee to international applications designating Morocco</w:t>
      </w:r>
      <w:r w:rsidR="00182DC7">
        <w:rPr>
          <w:rStyle w:val="FootnoteReference"/>
        </w:rPr>
        <w:footnoteReference w:id="4"/>
      </w:r>
      <w:r w:rsidR="003B02F6">
        <w:t>.</w:t>
      </w:r>
      <w:r w:rsidR="00412161">
        <w:t xml:space="preserve">  </w:t>
      </w:r>
      <w:proofErr w:type="gramStart"/>
      <w:r w:rsidR="004176C3">
        <w:t>Accordingly, t</w:t>
      </w:r>
      <w:r w:rsidR="00412161">
        <w:t>he maximum dura</w:t>
      </w:r>
      <w:r w:rsidR="006F24F0">
        <w:t xml:space="preserve">tion of protection of 25 years </w:t>
      </w:r>
      <w:r w:rsidR="00412161">
        <w:t>as well as level two of the standard designation</w:t>
      </w:r>
      <w:r w:rsidR="00DF1E0F">
        <w:t xml:space="preserve"> fee</w:t>
      </w:r>
      <w:r w:rsidR="00412161">
        <w:t xml:space="preserve"> will continue to apply </w:t>
      </w:r>
      <w:r w:rsidR="00D705ED">
        <w:t>in respect of a</w:t>
      </w:r>
      <w:r w:rsidR="00B77798">
        <w:t xml:space="preserve"> designation of </w:t>
      </w:r>
      <w:r w:rsidR="006F24F0">
        <w:t>Morocco</w:t>
      </w:r>
      <w:r w:rsidR="00B77798">
        <w:t xml:space="preserve"> </w:t>
      </w:r>
      <w:r w:rsidR="00CF2971">
        <w:t xml:space="preserve">irrespective of </w:t>
      </w:r>
      <w:r w:rsidR="00762A96">
        <w:t>the applicable</w:t>
      </w:r>
      <w:r w:rsidR="00B77798">
        <w:t xml:space="preserve"> Act</w:t>
      </w:r>
      <w:r w:rsidR="00CF2971">
        <w:t>,</w:t>
      </w:r>
      <w:r w:rsidR="006F24F0">
        <w:t xml:space="preserve"> </w:t>
      </w:r>
      <w:r w:rsidR="00CF2971">
        <w:t>pursuant to Article 11(2) of the 1960 Act,</w:t>
      </w:r>
      <w:r w:rsidR="006F24F0">
        <w:t xml:space="preserve"> Article 17(3)(b) of the 1999 Act and Rule</w:t>
      </w:r>
      <w:r w:rsidR="00C6248E">
        <w:t> </w:t>
      </w:r>
      <w:r w:rsidR="006F24F0" w:rsidRPr="0000634B">
        <w:t>12(1)</w:t>
      </w:r>
      <w:r w:rsidR="00CF2971">
        <w:t xml:space="preserve">(b)(ii) and </w:t>
      </w:r>
      <w:r w:rsidR="006F24F0" w:rsidRPr="0000634B">
        <w:t>(c)</w:t>
      </w:r>
      <w:r w:rsidR="006F24F0">
        <w:t xml:space="preserve"> of the</w:t>
      </w:r>
      <w:r w:rsidR="006F24F0" w:rsidRPr="0000634B">
        <w:t xml:space="preserve"> </w:t>
      </w:r>
      <w:r w:rsidR="006F24F0" w:rsidRPr="008165E0">
        <w:t>Common Regulations</w:t>
      </w:r>
      <w:r w:rsidR="006F24F0">
        <w:t>, respectively</w:t>
      </w:r>
      <w:r w:rsidR="00412161">
        <w:t>.</w:t>
      </w:r>
      <w:proofErr w:type="gramEnd"/>
    </w:p>
    <w:p w14:paraId="07EFC34B" w14:textId="386A8789" w:rsidR="005D354E" w:rsidRDefault="005D354E" w:rsidP="005D354E">
      <w:pPr>
        <w:pStyle w:val="ListParagraph"/>
        <w:spacing w:after="220"/>
        <w:ind w:left="0"/>
      </w:pPr>
    </w:p>
    <w:p w14:paraId="6566765E" w14:textId="774B701A" w:rsidR="005D354E" w:rsidRDefault="005D354E" w:rsidP="00412161">
      <w:pPr>
        <w:pStyle w:val="ListParagraph"/>
        <w:numPr>
          <w:ilvl w:val="0"/>
          <w:numId w:val="7"/>
        </w:numPr>
        <w:spacing w:after="220"/>
        <w:ind w:left="0" w:firstLine="0"/>
      </w:pPr>
      <w:r>
        <w:t xml:space="preserve">On the other hand, </w:t>
      </w:r>
      <w:r w:rsidRPr="00AB4803">
        <w:t>the maximum</w:t>
      </w:r>
      <w:r>
        <w:t xml:space="preserve"> 30-month</w:t>
      </w:r>
      <w:r w:rsidRPr="00AB4803">
        <w:t xml:space="preserve"> period for </w:t>
      </w:r>
      <w:r>
        <w:t>d</w:t>
      </w:r>
      <w:r w:rsidRPr="00AB4803">
        <w:t xml:space="preserve">eferment of publication </w:t>
      </w:r>
      <w:r>
        <w:t>counted from the filing date or, where priority is claimed, from the priority date shall apply where Morocco is designated under the 1999 Act, pursuant to Rule 16(1</w:t>
      </w:r>
      <w:proofErr w:type="gramStart"/>
      <w:r>
        <w:t>)(</w:t>
      </w:r>
      <w:proofErr w:type="gramEnd"/>
      <w:r>
        <w:t>a) of the Common Regulations.</w:t>
      </w:r>
      <w:r w:rsidR="00252000">
        <w:t xml:space="preserve">  In this regard, it is to </w:t>
      </w:r>
      <w:proofErr w:type="gramStart"/>
      <w:r w:rsidR="00252000">
        <w:t>be noted</w:t>
      </w:r>
      <w:proofErr w:type="gramEnd"/>
      <w:r w:rsidR="00252000">
        <w:t xml:space="preserve"> that the 1999 Act shall be applicable as regards the mutual relations of States party to both the 1999 Act and the 1960 Act, in accordance with Article 31(1) of the</w:t>
      </w:r>
      <w:r w:rsidR="00C6248E">
        <w:t> </w:t>
      </w:r>
      <w:r w:rsidR="00252000">
        <w:t>1999 Act.</w:t>
      </w:r>
      <w:r w:rsidRPr="00AB4803">
        <w:t xml:space="preserve"> </w:t>
      </w:r>
      <w:r>
        <w:t xml:space="preserve"> </w:t>
      </w:r>
    </w:p>
    <w:p w14:paraId="175B40C0" w14:textId="77777777" w:rsidR="003D647A" w:rsidRDefault="003D647A" w:rsidP="003D647A">
      <w:pPr>
        <w:pStyle w:val="ListParagraph"/>
        <w:spacing w:after="220"/>
        <w:ind w:left="0"/>
      </w:pPr>
    </w:p>
    <w:p w14:paraId="6CFCB9F5" w14:textId="222DDB3A" w:rsidR="00E74680" w:rsidRDefault="001B2E6B" w:rsidP="00E74680">
      <w:pPr>
        <w:pStyle w:val="ListParagraph"/>
        <w:numPr>
          <w:ilvl w:val="0"/>
          <w:numId w:val="7"/>
        </w:numPr>
        <w:ind w:left="0" w:firstLine="0"/>
        <w:contextualSpacing w:val="0"/>
      </w:pPr>
      <w:r>
        <w:rPr>
          <w:szCs w:val="22"/>
          <w:lang w:val="en"/>
        </w:rPr>
        <w:t>I</w:t>
      </w:r>
      <w:proofErr w:type="spellStart"/>
      <w:r w:rsidR="00BD03E2">
        <w:rPr>
          <w:szCs w:val="22"/>
        </w:rPr>
        <w:t>n</w:t>
      </w:r>
      <w:proofErr w:type="spellEnd"/>
      <w:r w:rsidR="00BD03E2">
        <w:rPr>
          <w:szCs w:val="22"/>
        </w:rPr>
        <w:t xml:space="preserve"> accordance with Article 28(3</w:t>
      </w:r>
      <w:proofErr w:type="gramStart"/>
      <w:r w:rsidR="00BD03E2">
        <w:rPr>
          <w:szCs w:val="22"/>
        </w:rPr>
        <w:t>)(</w:t>
      </w:r>
      <w:proofErr w:type="gramEnd"/>
      <w:r w:rsidR="00BD03E2">
        <w:rPr>
          <w:szCs w:val="22"/>
        </w:rPr>
        <w:t>b)</w:t>
      </w:r>
      <w:r w:rsidR="00E62E7A">
        <w:rPr>
          <w:szCs w:val="22"/>
        </w:rPr>
        <w:t xml:space="preserve"> </w:t>
      </w:r>
      <w:r w:rsidR="00BD03E2">
        <w:rPr>
          <w:szCs w:val="22"/>
        </w:rPr>
        <w:t>of the</w:t>
      </w:r>
      <w:r w:rsidR="00A63F6A">
        <w:rPr>
          <w:szCs w:val="22"/>
        </w:rPr>
        <w:t> </w:t>
      </w:r>
      <w:r w:rsidR="00BD03E2">
        <w:rPr>
          <w:szCs w:val="22"/>
        </w:rPr>
        <w:t>1999</w:t>
      </w:r>
      <w:r w:rsidR="002F4F73">
        <w:rPr>
          <w:szCs w:val="22"/>
        </w:rPr>
        <w:t> </w:t>
      </w:r>
      <w:r w:rsidR="00531A96">
        <w:rPr>
          <w:szCs w:val="22"/>
        </w:rPr>
        <w:t>Act</w:t>
      </w:r>
      <w:r w:rsidR="00696EF6">
        <w:rPr>
          <w:szCs w:val="22"/>
        </w:rPr>
        <w:t>,</w:t>
      </w:r>
      <w:r w:rsidR="00BD03E2">
        <w:t xml:space="preserve"> the 1999 Act</w:t>
      </w:r>
      <w:r w:rsidR="00696EF6">
        <w:t xml:space="preserve"> </w:t>
      </w:r>
      <w:r w:rsidR="00BD03E2">
        <w:t xml:space="preserve">will enter into force </w:t>
      </w:r>
      <w:r w:rsidR="00A2667E">
        <w:t>with</w:t>
      </w:r>
      <w:r w:rsidR="00BD03E2">
        <w:t xml:space="preserve"> respect </w:t>
      </w:r>
      <w:r w:rsidR="00A2667E">
        <w:t>to</w:t>
      </w:r>
      <w:r w:rsidR="00BD03E2">
        <w:t xml:space="preserve"> </w:t>
      </w:r>
      <w:r w:rsidR="004F3146">
        <w:t xml:space="preserve">Morocco </w:t>
      </w:r>
      <w:r w:rsidR="00BD03E2" w:rsidRPr="00EE0E83">
        <w:t xml:space="preserve">on </w:t>
      </w:r>
      <w:r w:rsidR="00F84A3A">
        <w:t>July 22</w:t>
      </w:r>
      <w:r w:rsidR="00C82BD8">
        <w:t>, 2022</w:t>
      </w:r>
      <w:r w:rsidR="00BD03E2">
        <w:t>.</w:t>
      </w:r>
    </w:p>
    <w:p w14:paraId="1FC3D0F4" w14:textId="3AF771CB" w:rsidR="00E74680" w:rsidRDefault="00E74680" w:rsidP="00E74680">
      <w:pPr>
        <w:pStyle w:val="ListParagraph"/>
        <w:ind w:left="0"/>
        <w:contextualSpacing w:val="0"/>
        <w:jc w:val="right"/>
      </w:pPr>
    </w:p>
    <w:p w14:paraId="0FCCFFC5" w14:textId="77777777" w:rsidR="00C6248E" w:rsidRDefault="00C6248E">
      <w:pPr>
        <w:rPr>
          <w:rFonts w:eastAsia="Times New Roman"/>
          <w:lang w:eastAsia="en-US"/>
        </w:rPr>
      </w:pPr>
      <w:r>
        <w:br w:type="page"/>
      </w:r>
    </w:p>
    <w:p w14:paraId="36238EE9" w14:textId="77777777" w:rsidR="00BD03E2" w:rsidRPr="0026235C" w:rsidRDefault="00BD03E2" w:rsidP="004871B4">
      <w:pPr>
        <w:pStyle w:val="ListParagraph"/>
        <w:numPr>
          <w:ilvl w:val="0"/>
          <w:numId w:val="7"/>
        </w:numPr>
        <w:spacing w:after="220"/>
        <w:ind w:left="0" w:firstLine="0"/>
        <w:contextualSpacing w:val="0"/>
      </w:pPr>
      <w:r w:rsidRPr="0070117B">
        <w:lastRenderedPageBreak/>
        <w:t xml:space="preserve">The </w:t>
      </w:r>
      <w:r w:rsidR="00531A96">
        <w:t>accession of</w:t>
      </w:r>
      <w:bookmarkStart w:id="2" w:name="_GoBack"/>
      <w:bookmarkEnd w:id="2"/>
      <w:r w:rsidR="00997550" w:rsidRPr="0070117B">
        <w:t xml:space="preserve"> </w:t>
      </w:r>
      <w:r w:rsidR="00F84A3A">
        <w:t>Morocco</w:t>
      </w:r>
      <w:r w:rsidR="00997550" w:rsidRPr="0070117B">
        <w:t xml:space="preserve"> to </w:t>
      </w:r>
      <w:r w:rsidR="00A2667E" w:rsidRPr="0070117B">
        <w:t>the 1999 Act</w:t>
      </w:r>
      <w:r w:rsidR="00997550" w:rsidRPr="0070117B">
        <w:t xml:space="preserve"> </w:t>
      </w:r>
      <w:r w:rsidRPr="0070117B">
        <w:t xml:space="preserve">brings the number of Contracting </w:t>
      </w:r>
      <w:r w:rsidRPr="007D7393">
        <w:t>Parties to this</w:t>
      </w:r>
      <w:r w:rsidR="00450901">
        <w:t> </w:t>
      </w:r>
      <w:r w:rsidRPr="007D7393">
        <w:t xml:space="preserve">Act to </w:t>
      </w:r>
      <w:r w:rsidR="00F84A3A">
        <w:t>69;</w:t>
      </w:r>
      <w:r w:rsidR="002F4F73">
        <w:t xml:space="preserve"> </w:t>
      </w:r>
      <w:r w:rsidR="00F84A3A">
        <w:t xml:space="preserve"> </w:t>
      </w:r>
      <w:r w:rsidR="00997550" w:rsidRPr="007D7393">
        <w:t>th</w:t>
      </w:r>
      <w:r w:rsidR="00A2667E" w:rsidRPr="007D7393">
        <w:t>e</w:t>
      </w:r>
      <w:r w:rsidRPr="007D7393">
        <w:t xml:space="preserve"> total number of Contracting Parties to the Hague Agreement </w:t>
      </w:r>
      <w:r w:rsidR="00F84A3A">
        <w:t>remains at</w:t>
      </w:r>
      <w:r w:rsidRPr="007D7393">
        <w:t xml:space="preserve"> </w:t>
      </w:r>
      <w:r w:rsidR="00BD1CCE">
        <w:t>77</w:t>
      </w:r>
      <w:r w:rsidRPr="007D7393">
        <w:t xml:space="preserve">.  </w:t>
      </w:r>
      <w:r w:rsidR="00070C46">
        <w:br/>
      </w:r>
      <w:r w:rsidRPr="00F5468C">
        <w:t>A</w:t>
      </w:r>
      <w:r w:rsidR="004715E0" w:rsidRPr="00F5468C">
        <w:t xml:space="preserve"> </w:t>
      </w:r>
      <w:hyperlink r:id="rId9" w:history="1">
        <w:r w:rsidRPr="00CA66C3">
          <w:t>list of the Contracting Parties to the Hague Agreement</w:t>
        </w:r>
      </w:hyperlink>
      <w:r w:rsidRPr="00F5468C">
        <w:t xml:space="preserve"> is available </w:t>
      </w:r>
      <w:r w:rsidR="002757E2" w:rsidRPr="00F5468C">
        <w:t xml:space="preserve">on the </w:t>
      </w:r>
      <w:r w:rsidR="001F0A96" w:rsidRPr="00A628DB">
        <w:t>WIPO website</w:t>
      </w:r>
      <w:r w:rsidR="00CA66C3">
        <w:t xml:space="preserve"> at </w:t>
      </w:r>
      <w:hyperlink r:id="rId10" w:history="1">
        <w:r w:rsidR="00A5696B" w:rsidRPr="00A5696B">
          <w:rPr>
            <w:rStyle w:val="Hyperlink"/>
          </w:rPr>
          <w:t>https://www.wipo.int/export/sites/www/treaties/en/documents/pdf/hague.pdf</w:t>
        </w:r>
      </w:hyperlink>
      <w:r w:rsidR="00904B5B">
        <w:t>.</w:t>
      </w:r>
    </w:p>
    <w:p w14:paraId="0D2E6461" w14:textId="19754B4C" w:rsidR="00022521" w:rsidRPr="006F0A44" w:rsidRDefault="00F84A3A" w:rsidP="00E74680">
      <w:pPr>
        <w:pStyle w:val="Endofdocument-Annex"/>
        <w:spacing w:before="480"/>
      </w:pPr>
      <w:r w:rsidRPr="00C6248E">
        <w:t xml:space="preserve">May </w:t>
      </w:r>
      <w:r w:rsidR="00C6248E" w:rsidRPr="00C6248E">
        <w:t>25</w:t>
      </w:r>
      <w:r w:rsidR="004A2DEE" w:rsidRPr="00C6248E">
        <w:t>,</w:t>
      </w:r>
      <w:r w:rsidR="004A2DEE" w:rsidRPr="00786C49">
        <w:t xml:space="preserve"> 20</w:t>
      </w:r>
      <w:r w:rsidR="00BD1CCE" w:rsidRPr="00786C49">
        <w:t>22</w:t>
      </w:r>
    </w:p>
    <w:sectPr w:rsidR="00022521" w:rsidRPr="006F0A44" w:rsidSect="00E74680">
      <w:headerReference w:type="even" r:id="rId11"/>
      <w:headerReference w:type="default" r:id="rId12"/>
      <w:endnotePr>
        <w:numFmt w:val="decimal"/>
      </w:endnotePr>
      <w:type w:val="continuous"/>
      <w:pgSz w:w="11907" w:h="16840" w:code="9"/>
      <w:pgMar w:top="720" w:right="1134" w:bottom="1350" w:left="1418" w:header="510" w:footer="3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4661A" w14:textId="77777777" w:rsidR="00AA2B09" w:rsidRDefault="00AA2B09">
      <w:r>
        <w:separator/>
      </w:r>
    </w:p>
  </w:endnote>
  <w:endnote w:type="continuationSeparator" w:id="0">
    <w:p w14:paraId="655448B2" w14:textId="77777777" w:rsidR="00AA2B09" w:rsidRDefault="00AA2B09" w:rsidP="003B38C1">
      <w:r>
        <w:separator/>
      </w:r>
    </w:p>
    <w:p w14:paraId="6D75C68D" w14:textId="77777777" w:rsidR="00AA2B09" w:rsidRPr="003B38C1" w:rsidRDefault="00AA2B09" w:rsidP="003B38C1">
      <w:pPr>
        <w:spacing w:after="60"/>
        <w:rPr>
          <w:sz w:val="17"/>
        </w:rPr>
      </w:pPr>
      <w:r>
        <w:rPr>
          <w:sz w:val="17"/>
        </w:rPr>
        <w:t>[Endnote continued from previous page]</w:t>
      </w:r>
    </w:p>
  </w:endnote>
  <w:endnote w:type="continuationNotice" w:id="1">
    <w:p w14:paraId="26999423" w14:textId="77777777" w:rsidR="00AA2B09" w:rsidRPr="003B38C1" w:rsidRDefault="00AA2B0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0BC18" w14:textId="77777777" w:rsidR="00AA2B09" w:rsidRDefault="00AA2B09">
      <w:r>
        <w:separator/>
      </w:r>
    </w:p>
  </w:footnote>
  <w:footnote w:type="continuationSeparator" w:id="0">
    <w:p w14:paraId="149BCC4B" w14:textId="77777777" w:rsidR="00AA2B09" w:rsidRDefault="00AA2B09" w:rsidP="008B60B2">
      <w:r>
        <w:separator/>
      </w:r>
    </w:p>
    <w:p w14:paraId="37F910D8" w14:textId="77777777" w:rsidR="00AA2B09" w:rsidRPr="00ED77FB" w:rsidRDefault="00AA2B09" w:rsidP="008B60B2">
      <w:pPr>
        <w:spacing w:after="60"/>
        <w:rPr>
          <w:sz w:val="17"/>
          <w:szCs w:val="17"/>
        </w:rPr>
      </w:pPr>
      <w:r w:rsidRPr="00ED77FB">
        <w:rPr>
          <w:sz w:val="17"/>
          <w:szCs w:val="17"/>
        </w:rPr>
        <w:t>[Footnote continued from previous page]</w:t>
      </w:r>
    </w:p>
  </w:footnote>
  <w:footnote w:type="continuationNotice" w:id="1">
    <w:p w14:paraId="72EBDF1D" w14:textId="77777777" w:rsidR="00AA2B09" w:rsidRPr="00ED77FB" w:rsidRDefault="00AA2B09" w:rsidP="008B60B2">
      <w:pPr>
        <w:spacing w:before="60"/>
        <w:jc w:val="right"/>
        <w:rPr>
          <w:sz w:val="17"/>
          <w:szCs w:val="17"/>
        </w:rPr>
      </w:pPr>
      <w:r w:rsidRPr="00ED77FB">
        <w:rPr>
          <w:sz w:val="17"/>
          <w:szCs w:val="17"/>
        </w:rPr>
        <w:t>[Footnote continued on next page]</w:t>
      </w:r>
    </w:p>
  </w:footnote>
  <w:footnote w:id="2">
    <w:p w14:paraId="5109F2A1" w14:textId="0A888DB8" w:rsidR="00BB7F31" w:rsidRPr="00BB7F31" w:rsidRDefault="00BB7F31">
      <w:pPr>
        <w:pStyle w:val="FootnoteText"/>
      </w:pPr>
      <w:r>
        <w:rPr>
          <w:rStyle w:val="FootnoteReference"/>
        </w:rPr>
        <w:footnoteRef/>
      </w:r>
      <w:r>
        <w:t xml:space="preserve"> </w:t>
      </w:r>
      <w:r w:rsidR="006E7B2D">
        <w:tab/>
      </w:r>
      <w:r>
        <w:t xml:space="preserve">Refer to </w:t>
      </w:r>
      <w:r w:rsidR="00AB24C0">
        <w:t>Information Notice No. 1/1999.</w:t>
      </w:r>
    </w:p>
  </w:footnote>
  <w:footnote w:id="3">
    <w:p w14:paraId="44878BA0" w14:textId="051BC03D" w:rsidR="00182DC7" w:rsidRPr="00182DC7" w:rsidRDefault="00182DC7">
      <w:pPr>
        <w:pStyle w:val="FootnoteText"/>
      </w:pPr>
      <w:r>
        <w:rPr>
          <w:rStyle w:val="FootnoteReference"/>
        </w:rPr>
        <w:footnoteRef/>
      </w:r>
      <w:r>
        <w:t xml:space="preserve"> </w:t>
      </w:r>
      <w:r w:rsidR="006E7B2D">
        <w:tab/>
      </w:r>
      <w:r>
        <w:t>Refer to Information Notice No. 10/</w:t>
      </w:r>
      <w:r>
        <w:rPr>
          <w:color w:val="3B3B3B"/>
          <w:shd w:val="clear" w:color="auto" w:fill="FAFAFA"/>
        </w:rPr>
        <w:t>2018.</w:t>
      </w:r>
    </w:p>
  </w:footnote>
  <w:footnote w:id="4">
    <w:p w14:paraId="2E2E3DF6" w14:textId="59B5B530" w:rsidR="00182DC7" w:rsidRPr="00182DC7" w:rsidRDefault="00182DC7" w:rsidP="006E7B2D">
      <w:pPr>
        <w:pStyle w:val="FootnoteText"/>
        <w:tabs>
          <w:tab w:val="left" w:pos="2266"/>
        </w:tabs>
      </w:pPr>
      <w:r>
        <w:rPr>
          <w:rStyle w:val="FootnoteReference"/>
        </w:rPr>
        <w:footnoteRef/>
      </w:r>
      <w:r w:rsidR="006E7B2D">
        <w:t xml:space="preserve">          </w:t>
      </w:r>
      <w:r>
        <w:t xml:space="preserve">Refer to Information Notice No. </w:t>
      </w:r>
      <w:r>
        <w:rPr>
          <w:color w:val="3B3B3B"/>
          <w:shd w:val="clear" w:color="auto" w:fill="FAFAFA"/>
        </w:rPr>
        <w:t>4/2008.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848D0" w14:textId="77777777" w:rsidR="00B472DA" w:rsidRDefault="00B472DA">
    <w:pPr>
      <w:pStyle w:val="Header"/>
      <w:jc w:val="right"/>
    </w:pPr>
    <w:proofErr w:type="gramStart"/>
    <w:r>
      <w:t>page</w:t>
    </w:r>
    <w:proofErr w:type="gramEnd"/>
    <w:r>
      <w:t xml:space="preserve">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FAE42D4"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E8A7A" w14:textId="55CC56CA" w:rsidR="00B472DA" w:rsidRDefault="00B472DA">
    <w:pPr>
      <w:pStyle w:val="Header"/>
      <w:jc w:val="right"/>
    </w:pPr>
    <w:proofErr w:type="gramStart"/>
    <w:r>
      <w:t>page</w:t>
    </w:r>
    <w:proofErr w:type="gramEnd"/>
    <w:r>
      <w:t xml:space="preserve">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871B4">
          <w:rPr>
            <w:noProof/>
          </w:rPr>
          <w:t>2</w:t>
        </w:r>
        <w:r>
          <w:rPr>
            <w:noProof/>
          </w:rPr>
          <w:fldChar w:fldCharType="end"/>
        </w:r>
      </w:sdtContent>
    </w:sdt>
  </w:p>
  <w:p w14:paraId="0733309B" w14:textId="77777777" w:rsidR="007D7393" w:rsidRDefault="007D7393" w:rsidP="007D7393">
    <w:pPr>
      <w:pStyle w:val="Header"/>
      <w:jc w:val="right"/>
    </w:pPr>
  </w:p>
  <w:p w14:paraId="51DC6C52" w14:textId="77777777" w:rsidR="00A5696B" w:rsidRDefault="00A5696B"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584A5256"/>
    <w:multiLevelType w:val="hybridMultilevel"/>
    <w:tmpl w:val="BC72E732"/>
    <w:lvl w:ilvl="0" w:tplc="2CBC8514">
      <w:start w:val="1"/>
      <w:numFmt w:val="decimal"/>
      <w:lvlText w:val="%1."/>
      <w:lvlJc w:val="left"/>
      <w:pPr>
        <w:ind w:left="720" w:hanging="360"/>
      </w:pPr>
      <w:rPr>
        <w:rFonts w:ascii="Arial" w:eastAsia="SimSu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3"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5"/>
  </w:num>
  <w:num w:numId="8">
    <w:abstractNumId w:val="11"/>
  </w:num>
  <w:num w:numId="9">
    <w:abstractNumId w:val="9"/>
  </w:num>
  <w:num w:numId="10">
    <w:abstractNumId w:val="6"/>
  </w:num>
  <w:num w:numId="11">
    <w:abstractNumId w:val="12"/>
  </w:num>
  <w:num w:numId="12">
    <w:abstractNumId w:val="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02D0"/>
    <w:rsid w:val="000123A6"/>
    <w:rsid w:val="00012C9D"/>
    <w:rsid w:val="0002095F"/>
    <w:rsid w:val="00022521"/>
    <w:rsid w:val="00022725"/>
    <w:rsid w:val="00027B79"/>
    <w:rsid w:val="00032516"/>
    <w:rsid w:val="00035665"/>
    <w:rsid w:val="0003763C"/>
    <w:rsid w:val="00043313"/>
    <w:rsid w:val="00043CAA"/>
    <w:rsid w:val="00044267"/>
    <w:rsid w:val="00050D24"/>
    <w:rsid w:val="0005216B"/>
    <w:rsid w:val="00055E41"/>
    <w:rsid w:val="00060BB1"/>
    <w:rsid w:val="00062496"/>
    <w:rsid w:val="00070C46"/>
    <w:rsid w:val="000728FF"/>
    <w:rsid w:val="00073F34"/>
    <w:rsid w:val="0007453B"/>
    <w:rsid w:val="00075432"/>
    <w:rsid w:val="000809B1"/>
    <w:rsid w:val="00093F9B"/>
    <w:rsid w:val="00094AC5"/>
    <w:rsid w:val="00094D25"/>
    <w:rsid w:val="000968ED"/>
    <w:rsid w:val="000A04C9"/>
    <w:rsid w:val="000A0FF5"/>
    <w:rsid w:val="000A525D"/>
    <w:rsid w:val="000B1CD5"/>
    <w:rsid w:val="000B75D9"/>
    <w:rsid w:val="000C09BD"/>
    <w:rsid w:val="000C1320"/>
    <w:rsid w:val="000C353B"/>
    <w:rsid w:val="000C369C"/>
    <w:rsid w:val="000C58FA"/>
    <w:rsid w:val="000C61BD"/>
    <w:rsid w:val="000C78E5"/>
    <w:rsid w:val="000D0F06"/>
    <w:rsid w:val="000D19B9"/>
    <w:rsid w:val="000D3921"/>
    <w:rsid w:val="000D4623"/>
    <w:rsid w:val="000D5022"/>
    <w:rsid w:val="000D5982"/>
    <w:rsid w:val="000E56EF"/>
    <w:rsid w:val="000F3931"/>
    <w:rsid w:val="000F5E56"/>
    <w:rsid w:val="000F6520"/>
    <w:rsid w:val="000F7C50"/>
    <w:rsid w:val="00100F33"/>
    <w:rsid w:val="00105359"/>
    <w:rsid w:val="00110A0A"/>
    <w:rsid w:val="00110EB6"/>
    <w:rsid w:val="00116007"/>
    <w:rsid w:val="001207CE"/>
    <w:rsid w:val="001272E3"/>
    <w:rsid w:val="00131BD8"/>
    <w:rsid w:val="001339B2"/>
    <w:rsid w:val="00133F53"/>
    <w:rsid w:val="001362EE"/>
    <w:rsid w:val="0014531F"/>
    <w:rsid w:val="0015037D"/>
    <w:rsid w:val="00150E1A"/>
    <w:rsid w:val="001546E4"/>
    <w:rsid w:val="00157C52"/>
    <w:rsid w:val="001626B7"/>
    <w:rsid w:val="001639BA"/>
    <w:rsid w:val="00165217"/>
    <w:rsid w:val="00166299"/>
    <w:rsid w:val="00167160"/>
    <w:rsid w:val="00170678"/>
    <w:rsid w:val="001707E7"/>
    <w:rsid w:val="00175970"/>
    <w:rsid w:val="00182DC7"/>
    <w:rsid w:val="001832A6"/>
    <w:rsid w:val="00183DAE"/>
    <w:rsid w:val="00185E31"/>
    <w:rsid w:val="00186DE1"/>
    <w:rsid w:val="001961E1"/>
    <w:rsid w:val="001A01E9"/>
    <w:rsid w:val="001A5948"/>
    <w:rsid w:val="001B2E6B"/>
    <w:rsid w:val="001C2D7E"/>
    <w:rsid w:val="001C4852"/>
    <w:rsid w:val="001D019C"/>
    <w:rsid w:val="001D4F09"/>
    <w:rsid w:val="001E33BF"/>
    <w:rsid w:val="001E3850"/>
    <w:rsid w:val="001F0A96"/>
    <w:rsid w:val="001F1B95"/>
    <w:rsid w:val="001F1E6A"/>
    <w:rsid w:val="001F3108"/>
    <w:rsid w:val="001F717F"/>
    <w:rsid w:val="001F7228"/>
    <w:rsid w:val="00202EF1"/>
    <w:rsid w:val="0020551F"/>
    <w:rsid w:val="00206EB9"/>
    <w:rsid w:val="00211272"/>
    <w:rsid w:val="00212F2F"/>
    <w:rsid w:val="00221C5D"/>
    <w:rsid w:val="0022493E"/>
    <w:rsid w:val="0022794E"/>
    <w:rsid w:val="002303FA"/>
    <w:rsid w:val="00231906"/>
    <w:rsid w:val="00242F64"/>
    <w:rsid w:val="00250CA2"/>
    <w:rsid w:val="00251552"/>
    <w:rsid w:val="00251890"/>
    <w:rsid w:val="00252000"/>
    <w:rsid w:val="0025278E"/>
    <w:rsid w:val="002539D3"/>
    <w:rsid w:val="00255819"/>
    <w:rsid w:val="00257BF9"/>
    <w:rsid w:val="0026235C"/>
    <w:rsid w:val="002634C4"/>
    <w:rsid w:val="002646FB"/>
    <w:rsid w:val="00266029"/>
    <w:rsid w:val="002669CF"/>
    <w:rsid w:val="00267FBD"/>
    <w:rsid w:val="00274D83"/>
    <w:rsid w:val="002757E2"/>
    <w:rsid w:val="00277876"/>
    <w:rsid w:val="00281411"/>
    <w:rsid w:val="00281B4A"/>
    <w:rsid w:val="002827C1"/>
    <w:rsid w:val="0028295B"/>
    <w:rsid w:val="002913F3"/>
    <w:rsid w:val="002928D3"/>
    <w:rsid w:val="002A2E4F"/>
    <w:rsid w:val="002A513E"/>
    <w:rsid w:val="002C1554"/>
    <w:rsid w:val="002C38D8"/>
    <w:rsid w:val="002C4107"/>
    <w:rsid w:val="002C5843"/>
    <w:rsid w:val="002C59F7"/>
    <w:rsid w:val="002D00B1"/>
    <w:rsid w:val="002D1DE6"/>
    <w:rsid w:val="002D5662"/>
    <w:rsid w:val="002E4A68"/>
    <w:rsid w:val="002F1FE6"/>
    <w:rsid w:val="002F4E68"/>
    <w:rsid w:val="002F4F73"/>
    <w:rsid w:val="002F59F7"/>
    <w:rsid w:val="002F78DF"/>
    <w:rsid w:val="002F7BB8"/>
    <w:rsid w:val="0030062F"/>
    <w:rsid w:val="003030D0"/>
    <w:rsid w:val="00303961"/>
    <w:rsid w:val="00303F7F"/>
    <w:rsid w:val="003118DD"/>
    <w:rsid w:val="00312F7F"/>
    <w:rsid w:val="00317670"/>
    <w:rsid w:val="00326388"/>
    <w:rsid w:val="00327FD8"/>
    <w:rsid w:val="003331D4"/>
    <w:rsid w:val="003332CD"/>
    <w:rsid w:val="003337E3"/>
    <w:rsid w:val="0033402B"/>
    <w:rsid w:val="00335EC1"/>
    <w:rsid w:val="003376F7"/>
    <w:rsid w:val="00337EE3"/>
    <w:rsid w:val="00347330"/>
    <w:rsid w:val="00350947"/>
    <w:rsid w:val="00357985"/>
    <w:rsid w:val="00361450"/>
    <w:rsid w:val="003654BE"/>
    <w:rsid w:val="003673CF"/>
    <w:rsid w:val="003714AA"/>
    <w:rsid w:val="00372945"/>
    <w:rsid w:val="00375BD5"/>
    <w:rsid w:val="00383EC2"/>
    <w:rsid w:val="003845C1"/>
    <w:rsid w:val="00384D06"/>
    <w:rsid w:val="003A19EE"/>
    <w:rsid w:val="003A1B61"/>
    <w:rsid w:val="003A2485"/>
    <w:rsid w:val="003A6F89"/>
    <w:rsid w:val="003B02F6"/>
    <w:rsid w:val="003B38C1"/>
    <w:rsid w:val="003C29E5"/>
    <w:rsid w:val="003C2B2C"/>
    <w:rsid w:val="003C56F1"/>
    <w:rsid w:val="003D0F1D"/>
    <w:rsid w:val="003D647A"/>
    <w:rsid w:val="003D7F80"/>
    <w:rsid w:val="003E017B"/>
    <w:rsid w:val="003E0A58"/>
    <w:rsid w:val="003E0D9F"/>
    <w:rsid w:val="003E2E5B"/>
    <w:rsid w:val="003E4787"/>
    <w:rsid w:val="003F3EDD"/>
    <w:rsid w:val="00400FED"/>
    <w:rsid w:val="00401B82"/>
    <w:rsid w:val="004052E1"/>
    <w:rsid w:val="00411FB2"/>
    <w:rsid w:val="00412161"/>
    <w:rsid w:val="004124AF"/>
    <w:rsid w:val="0041712C"/>
    <w:rsid w:val="004176C3"/>
    <w:rsid w:val="004201FF"/>
    <w:rsid w:val="0042029C"/>
    <w:rsid w:val="004214C8"/>
    <w:rsid w:val="00423E3E"/>
    <w:rsid w:val="00427AF4"/>
    <w:rsid w:val="00433EAE"/>
    <w:rsid w:val="004376B8"/>
    <w:rsid w:val="004501C7"/>
    <w:rsid w:val="00450901"/>
    <w:rsid w:val="00451CE3"/>
    <w:rsid w:val="004630B4"/>
    <w:rsid w:val="00464303"/>
    <w:rsid w:val="004647DA"/>
    <w:rsid w:val="004661D4"/>
    <w:rsid w:val="0047006A"/>
    <w:rsid w:val="004715E0"/>
    <w:rsid w:val="00474062"/>
    <w:rsid w:val="00477D6B"/>
    <w:rsid w:val="004841A6"/>
    <w:rsid w:val="004871B4"/>
    <w:rsid w:val="004902DB"/>
    <w:rsid w:val="00492951"/>
    <w:rsid w:val="00492BD2"/>
    <w:rsid w:val="004936FC"/>
    <w:rsid w:val="004947C5"/>
    <w:rsid w:val="00494E4A"/>
    <w:rsid w:val="004A2DEE"/>
    <w:rsid w:val="004A640C"/>
    <w:rsid w:val="004B0093"/>
    <w:rsid w:val="004B2C32"/>
    <w:rsid w:val="004B336C"/>
    <w:rsid w:val="004B33D3"/>
    <w:rsid w:val="004D1A1C"/>
    <w:rsid w:val="004D47CD"/>
    <w:rsid w:val="004E08AF"/>
    <w:rsid w:val="004E1EFC"/>
    <w:rsid w:val="004E2931"/>
    <w:rsid w:val="004E3026"/>
    <w:rsid w:val="004E4ADB"/>
    <w:rsid w:val="004E7B42"/>
    <w:rsid w:val="004E7BAD"/>
    <w:rsid w:val="004F3146"/>
    <w:rsid w:val="004F5A30"/>
    <w:rsid w:val="004F7214"/>
    <w:rsid w:val="005000D2"/>
    <w:rsid w:val="005019FF"/>
    <w:rsid w:val="00501B2B"/>
    <w:rsid w:val="00502C99"/>
    <w:rsid w:val="005070DD"/>
    <w:rsid w:val="00511400"/>
    <w:rsid w:val="00513C7B"/>
    <w:rsid w:val="005243B1"/>
    <w:rsid w:val="00525B33"/>
    <w:rsid w:val="00526AE0"/>
    <w:rsid w:val="0053050D"/>
    <w:rsid w:val="0053057A"/>
    <w:rsid w:val="00531A96"/>
    <w:rsid w:val="005334B4"/>
    <w:rsid w:val="00546473"/>
    <w:rsid w:val="00546A94"/>
    <w:rsid w:val="00547C66"/>
    <w:rsid w:val="005542EF"/>
    <w:rsid w:val="0055598D"/>
    <w:rsid w:val="00560A29"/>
    <w:rsid w:val="00572539"/>
    <w:rsid w:val="005771E1"/>
    <w:rsid w:val="00580F7A"/>
    <w:rsid w:val="005857F2"/>
    <w:rsid w:val="005868B8"/>
    <w:rsid w:val="0058757A"/>
    <w:rsid w:val="0059078B"/>
    <w:rsid w:val="00594435"/>
    <w:rsid w:val="0059496E"/>
    <w:rsid w:val="005A27C7"/>
    <w:rsid w:val="005A2E4E"/>
    <w:rsid w:val="005A2EDF"/>
    <w:rsid w:val="005A4466"/>
    <w:rsid w:val="005A78E1"/>
    <w:rsid w:val="005B516E"/>
    <w:rsid w:val="005C6649"/>
    <w:rsid w:val="005C79F2"/>
    <w:rsid w:val="005D354E"/>
    <w:rsid w:val="005D3BBF"/>
    <w:rsid w:val="005D6DD3"/>
    <w:rsid w:val="005E7E16"/>
    <w:rsid w:val="005E7F32"/>
    <w:rsid w:val="005F0F41"/>
    <w:rsid w:val="005F2C73"/>
    <w:rsid w:val="005F2F3B"/>
    <w:rsid w:val="005F4AAF"/>
    <w:rsid w:val="00605827"/>
    <w:rsid w:val="00605C8E"/>
    <w:rsid w:val="00606C51"/>
    <w:rsid w:val="00610EC8"/>
    <w:rsid w:val="006223DB"/>
    <w:rsid w:val="00623843"/>
    <w:rsid w:val="00624B95"/>
    <w:rsid w:val="006307E7"/>
    <w:rsid w:val="00631908"/>
    <w:rsid w:val="00633497"/>
    <w:rsid w:val="006359B4"/>
    <w:rsid w:val="00635AFA"/>
    <w:rsid w:val="00644AA2"/>
    <w:rsid w:val="0064604F"/>
    <w:rsid w:val="00646050"/>
    <w:rsid w:val="00647268"/>
    <w:rsid w:val="00647B0C"/>
    <w:rsid w:val="00651A27"/>
    <w:rsid w:val="006528CC"/>
    <w:rsid w:val="006536A3"/>
    <w:rsid w:val="00654AE9"/>
    <w:rsid w:val="00654FCF"/>
    <w:rsid w:val="006604BE"/>
    <w:rsid w:val="006606E0"/>
    <w:rsid w:val="00660AD7"/>
    <w:rsid w:val="006629C9"/>
    <w:rsid w:val="006659A7"/>
    <w:rsid w:val="006713CA"/>
    <w:rsid w:val="00674ABA"/>
    <w:rsid w:val="00676C5C"/>
    <w:rsid w:val="00691D5D"/>
    <w:rsid w:val="00696485"/>
    <w:rsid w:val="00696EF6"/>
    <w:rsid w:val="006A0C24"/>
    <w:rsid w:val="006A679E"/>
    <w:rsid w:val="006B0D07"/>
    <w:rsid w:val="006B558F"/>
    <w:rsid w:val="006B62E3"/>
    <w:rsid w:val="006C3947"/>
    <w:rsid w:val="006C601B"/>
    <w:rsid w:val="006D2A62"/>
    <w:rsid w:val="006D4172"/>
    <w:rsid w:val="006D4C0F"/>
    <w:rsid w:val="006E26E8"/>
    <w:rsid w:val="006E3324"/>
    <w:rsid w:val="006E7206"/>
    <w:rsid w:val="006E7B2D"/>
    <w:rsid w:val="006F0A44"/>
    <w:rsid w:val="006F24F0"/>
    <w:rsid w:val="006F3FAC"/>
    <w:rsid w:val="006F445D"/>
    <w:rsid w:val="006F52C6"/>
    <w:rsid w:val="0070117B"/>
    <w:rsid w:val="00702C36"/>
    <w:rsid w:val="00704FBB"/>
    <w:rsid w:val="007057C9"/>
    <w:rsid w:val="007063B6"/>
    <w:rsid w:val="007106C3"/>
    <w:rsid w:val="0072271C"/>
    <w:rsid w:val="007248D7"/>
    <w:rsid w:val="00726164"/>
    <w:rsid w:val="00726905"/>
    <w:rsid w:val="00727C64"/>
    <w:rsid w:val="007315CB"/>
    <w:rsid w:val="007327B0"/>
    <w:rsid w:val="007330D6"/>
    <w:rsid w:val="00742210"/>
    <w:rsid w:val="00750040"/>
    <w:rsid w:val="00750EFD"/>
    <w:rsid w:val="00762A96"/>
    <w:rsid w:val="00767C4D"/>
    <w:rsid w:val="00772EC8"/>
    <w:rsid w:val="007739FA"/>
    <w:rsid w:val="00773CE3"/>
    <w:rsid w:val="00775EBD"/>
    <w:rsid w:val="00776E12"/>
    <w:rsid w:val="007771D3"/>
    <w:rsid w:val="00780B9B"/>
    <w:rsid w:val="00786C49"/>
    <w:rsid w:val="00790A94"/>
    <w:rsid w:val="007919C3"/>
    <w:rsid w:val="00795590"/>
    <w:rsid w:val="007B06CA"/>
    <w:rsid w:val="007B21DB"/>
    <w:rsid w:val="007B6EC8"/>
    <w:rsid w:val="007B7EEC"/>
    <w:rsid w:val="007B7F73"/>
    <w:rsid w:val="007C1EDA"/>
    <w:rsid w:val="007C26AB"/>
    <w:rsid w:val="007C3E9B"/>
    <w:rsid w:val="007C45EE"/>
    <w:rsid w:val="007C6B3A"/>
    <w:rsid w:val="007C79D7"/>
    <w:rsid w:val="007D03D1"/>
    <w:rsid w:val="007D1613"/>
    <w:rsid w:val="007D250A"/>
    <w:rsid w:val="007D290D"/>
    <w:rsid w:val="007D4555"/>
    <w:rsid w:val="007D5D7B"/>
    <w:rsid w:val="007D7393"/>
    <w:rsid w:val="007D75ED"/>
    <w:rsid w:val="007E143A"/>
    <w:rsid w:val="007E2EFF"/>
    <w:rsid w:val="007E5C49"/>
    <w:rsid w:val="007F4D09"/>
    <w:rsid w:val="00804EC4"/>
    <w:rsid w:val="00807A9F"/>
    <w:rsid w:val="008100E4"/>
    <w:rsid w:val="00815479"/>
    <w:rsid w:val="008167CA"/>
    <w:rsid w:val="00823DCC"/>
    <w:rsid w:val="00824E57"/>
    <w:rsid w:val="00833C29"/>
    <w:rsid w:val="0084440E"/>
    <w:rsid w:val="00845929"/>
    <w:rsid w:val="00853DB5"/>
    <w:rsid w:val="00854071"/>
    <w:rsid w:val="00860F3D"/>
    <w:rsid w:val="00861036"/>
    <w:rsid w:val="00862599"/>
    <w:rsid w:val="00864E5E"/>
    <w:rsid w:val="00867E35"/>
    <w:rsid w:val="00871A06"/>
    <w:rsid w:val="00874ADA"/>
    <w:rsid w:val="00876A3C"/>
    <w:rsid w:val="00876E3D"/>
    <w:rsid w:val="00883025"/>
    <w:rsid w:val="00883162"/>
    <w:rsid w:val="00885472"/>
    <w:rsid w:val="00885618"/>
    <w:rsid w:val="0089033E"/>
    <w:rsid w:val="008948BE"/>
    <w:rsid w:val="00895C02"/>
    <w:rsid w:val="00895C10"/>
    <w:rsid w:val="008977D0"/>
    <w:rsid w:val="008A5E71"/>
    <w:rsid w:val="008A6279"/>
    <w:rsid w:val="008A6724"/>
    <w:rsid w:val="008B2141"/>
    <w:rsid w:val="008B2CC1"/>
    <w:rsid w:val="008B60B2"/>
    <w:rsid w:val="008B6115"/>
    <w:rsid w:val="008C187F"/>
    <w:rsid w:val="008C1A8D"/>
    <w:rsid w:val="008C20D7"/>
    <w:rsid w:val="008C241B"/>
    <w:rsid w:val="008C2D2F"/>
    <w:rsid w:val="008C2FE6"/>
    <w:rsid w:val="008C3EFB"/>
    <w:rsid w:val="008C413A"/>
    <w:rsid w:val="008C67A6"/>
    <w:rsid w:val="008C67B2"/>
    <w:rsid w:val="008C6BD4"/>
    <w:rsid w:val="008E15D6"/>
    <w:rsid w:val="008E32A6"/>
    <w:rsid w:val="008F1F70"/>
    <w:rsid w:val="008F46CC"/>
    <w:rsid w:val="008F7686"/>
    <w:rsid w:val="008F7963"/>
    <w:rsid w:val="00904B13"/>
    <w:rsid w:val="00904B5B"/>
    <w:rsid w:val="00906353"/>
    <w:rsid w:val="0090731E"/>
    <w:rsid w:val="0091408F"/>
    <w:rsid w:val="009162CD"/>
    <w:rsid w:val="009168A2"/>
    <w:rsid w:val="00916EE2"/>
    <w:rsid w:val="00922789"/>
    <w:rsid w:val="00923F21"/>
    <w:rsid w:val="00924184"/>
    <w:rsid w:val="0093216E"/>
    <w:rsid w:val="00932C0F"/>
    <w:rsid w:val="00934FB1"/>
    <w:rsid w:val="00935C8E"/>
    <w:rsid w:val="009362E6"/>
    <w:rsid w:val="009378BE"/>
    <w:rsid w:val="00940793"/>
    <w:rsid w:val="00942229"/>
    <w:rsid w:val="0094644F"/>
    <w:rsid w:val="00946D02"/>
    <w:rsid w:val="00957393"/>
    <w:rsid w:val="00957988"/>
    <w:rsid w:val="00957A59"/>
    <w:rsid w:val="00962597"/>
    <w:rsid w:val="00966A22"/>
    <w:rsid w:val="0096722F"/>
    <w:rsid w:val="00974827"/>
    <w:rsid w:val="00980843"/>
    <w:rsid w:val="00983DCC"/>
    <w:rsid w:val="009875AE"/>
    <w:rsid w:val="00997550"/>
    <w:rsid w:val="00997AAD"/>
    <w:rsid w:val="009A43C7"/>
    <w:rsid w:val="009A5891"/>
    <w:rsid w:val="009A591F"/>
    <w:rsid w:val="009A6B34"/>
    <w:rsid w:val="009B0684"/>
    <w:rsid w:val="009B5891"/>
    <w:rsid w:val="009C0C04"/>
    <w:rsid w:val="009C50B6"/>
    <w:rsid w:val="009E1EE3"/>
    <w:rsid w:val="009E2791"/>
    <w:rsid w:val="009E3F6F"/>
    <w:rsid w:val="009E5F9F"/>
    <w:rsid w:val="009F0611"/>
    <w:rsid w:val="009F2A14"/>
    <w:rsid w:val="009F4153"/>
    <w:rsid w:val="009F499F"/>
    <w:rsid w:val="00A024BB"/>
    <w:rsid w:val="00A053CB"/>
    <w:rsid w:val="00A056E5"/>
    <w:rsid w:val="00A06031"/>
    <w:rsid w:val="00A06E2E"/>
    <w:rsid w:val="00A131ED"/>
    <w:rsid w:val="00A1336B"/>
    <w:rsid w:val="00A1504E"/>
    <w:rsid w:val="00A17BF0"/>
    <w:rsid w:val="00A21684"/>
    <w:rsid w:val="00A25430"/>
    <w:rsid w:val="00A2667E"/>
    <w:rsid w:val="00A26A24"/>
    <w:rsid w:val="00A353ED"/>
    <w:rsid w:val="00A41CFE"/>
    <w:rsid w:val="00A42230"/>
    <w:rsid w:val="00A42DAF"/>
    <w:rsid w:val="00A45BD8"/>
    <w:rsid w:val="00A468E2"/>
    <w:rsid w:val="00A47F15"/>
    <w:rsid w:val="00A53E19"/>
    <w:rsid w:val="00A54939"/>
    <w:rsid w:val="00A5696B"/>
    <w:rsid w:val="00A63F6A"/>
    <w:rsid w:val="00A65D9F"/>
    <w:rsid w:val="00A722CD"/>
    <w:rsid w:val="00A73224"/>
    <w:rsid w:val="00A80E06"/>
    <w:rsid w:val="00A81E6D"/>
    <w:rsid w:val="00A822A3"/>
    <w:rsid w:val="00A83F91"/>
    <w:rsid w:val="00A869B7"/>
    <w:rsid w:val="00A92F0B"/>
    <w:rsid w:val="00A93CE8"/>
    <w:rsid w:val="00A965C4"/>
    <w:rsid w:val="00A97423"/>
    <w:rsid w:val="00AA015E"/>
    <w:rsid w:val="00AA0F3B"/>
    <w:rsid w:val="00AA1EEF"/>
    <w:rsid w:val="00AA274F"/>
    <w:rsid w:val="00AA2B09"/>
    <w:rsid w:val="00AA57E7"/>
    <w:rsid w:val="00AB24C0"/>
    <w:rsid w:val="00AB2538"/>
    <w:rsid w:val="00AB73F9"/>
    <w:rsid w:val="00AC205C"/>
    <w:rsid w:val="00AC2F5B"/>
    <w:rsid w:val="00AD38EE"/>
    <w:rsid w:val="00AD3EF4"/>
    <w:rsid w:val="00AE418E"/>
    <w:rsid w:val="00AE69DE"/>
    <w:rsid w:val="00AF0A6B"/>
    <w:rsid w:val="00AF5108"/>
    <w:rsid w:val="00B03BA6"/>
    <w:rsid w:val="00B05A69"/>
    <w:rsid w:val="00B101A7"/>
    <w:rsid w:val="00B20649"/>
    <w:rsid w:val="00B21387"/>
    <w:rsid w:val="00B2247B"/>
    <w:rsid w:val="00B269AF"/>
    <w:rsid w:val="00B32A48"/>
    <w:rsid w:val="00B36378"/>
    <w:rsid w:val="00B369A9"/>
    <w:rsid w:val="00B42B1F"/>
    <w:rsid w:val="00B43D6F"/>
    <w:rsid w:val="00B4627F"/>
    <w:rsid w:val="00B46D7E"/>
    <w:rsid w:val="00B472DA"/>
    <w:rsid w:val="00B52388"/>
    <w:rsid w:val="00B54D7D"/>
    <w:rsid w:val="00B5616F"/>
    <w:rsid w:val="00B579A3"/>
    <w:rsid w:val="00B626B4"/>
    <w:rsid w:val="00B6481B"/>
    <w:rsid w:val="00B65F23"/>
    <w:rsid w:val="00B764C0"/>
    <w:rsid w:val="00B77798"/>
    <w:rsid w:val="00B8093A"/>
    <w:rsid w:val="00B8152B"/>
    <w:rsid w:val="00B83157"/>
    <w:rsid w:val="00B84939"/>
    <w:rsid w:val="00B8589F"/>
    <w:rsid w:val="00B91056"/>
    <w:rsid w:val="00B92FD8"/>
    <w:rsid w:val="00B9734B"/>
    <w:rsid w:val="00B97A85"/>
    <w:rsid w:val="00BA59F8"/>
    <w:rsid w:val="00BA63F6"/>
    <w:rsid w:val="00BA6DE5"/>
    <w:rsid w:val="00BB2321"/>
    <w:rsid w:val="00BB30F3"/>
    <w:rsid w:val="00BB4419"/>
    <w:rsid w:val="00BB78C7"/>
    <w:rsid w:val="00BB7F31"/>
    <w:rsid w:val="00BC04DE"/>
    <w:rsid w:val="00BC173C"/>
    <w:rsid w:val="00BD03E2"/>
    <w:rsid w:val="00BD148F"/>
    <w:rsid w:val="00BD1CCE"/>
    <w:rsid w:val="00BD32E8"/>
    <w:rsid w:val="00BE2AA1"/>
    <w:rsid w:val="00BE3131"/>
    <w:rsid w:val="00BE4C18"/>
    <w:rsid w:val="00BE55D6"/>
    <w:rsid w:val="00BE5857"/>
    <w:rsid w:val="00BF0FF7"/>
    <w:rsid w:val="00C010F7"/>
    <w:rsid w:val="00C01AAD"/>
    <w:rsid w:val="00C103C2"/>
    <w:rsid w:val="00C11BFE"/>
    <w:rsid w:val="00C141CA"/>
    <w:rsid w:val="00C21281"/>
    <w:rsid w:val="00C21D7B"/>
    <w:rsid w:val="00C21F62"/>
    <w:rsid w:val="00C36B89"/>
    <w:rsid w:val="00C412F2"/>
    <w:rsid w:val="00C42DBE"/>
    <w:rsid w:val="00C43228"/>
    <w:rsid w:val="00C45642"/>
    <w:rsid w:val="00C45A04"/>
    <w:rsid w:val="00C470E3"/>
    <w:rsid w:val="00C47421"/>
    <w:rsid w:val="00C52EDC"/>
    <w:rsid w:val="00C556FE"/>
    <w:rsid w:val="00C613D5"/>
    <w:rsid w:val="00C6248E"/>
    <w:rsid w:val="00C63C1C"/>
    <w:rsid w:val="00C6430D"/>
    <w:rsid w:val="00C74FA5"/>
    <w:rsid w:val="00C80362"/>
    <w:rsid w:val="00C82BD8"/>
    <w:rsid w:val="00C83B93"/>
    <w:rsid w:val="00C8462A"/>
    <w:rsid w:val="00C87D7D"/>
    <w:rsid w:val="00C977DB"/>
    <w:rsid w:val="00C97BDC"/>
    <w:rsid w:val="00CA6263"/>
    <w:rsid w:val="00CA66C3"/>
    <w:rsid w:val="00CB132F"/>
    <w:rsid w:val="00CB4916"/>
    <w:rsid w:val="00CC5016"/>
    <w:rsid w:val="00CD1182"/>
    <w:rsid w:val="00CE0A51"/>
    <w:rsid w:val="00CE0F4D"/>
    <w:rsid w:val="00CE6390"/>
    <w:rsid w:val="00CF2971"/>
    <w:rsid w:val="00CF4536"/>
    <w:rsid w:val="00CF45C1"/>
    <w:rsid w:val="00CF6182"/>
    <w:rsid w:val="00D055A0"/>
    <w:rsid w:val="00D07763"/>
    <w:rsid w:val="00D21DA9"/>
    <w:rsid w:val="00D22BD4"/>
    <w:rsid w:val="00D30CC7"/>
    <w:rsid w:val="00D31C2F"/>
    <w:rsid w:val="00D36664"/>
    <w:rsid w:val="00D372E8"/>
    <w:rsid w:val="00D40A98"/>
    <w:rsid w:val="00D424EC"/>
    <w:rsid w:val="00D42AFB"/>
    <w:rsid w:val="00D45252"/>
    <w:rsid w:val="00D56732"/>
    <w:rsid w:val="00D57F87"/>
    <w:rsid w:val="00D57F90"/>
    <w:rsid w:val="00D705ED"/>
    <w:rsid w:val="00D70F71"/>
    <w:rsid w:val="00D70FF3"/>
    <w:rsid w:val="00D71B4D"/>
    <w:rsid w:val="00D76C3A"/>
    <w:rsid w:val="00D76F38"/>
    <w:rsid w:val="00D80E6A"/>
    <w:rsid w:val="00D81135"/>
    <w:rsid w:val="00D826DA"/>
    <w:rsid w:val="00D847BE"/>
    <w:rsid w:val="00D85F33"/>
    <w:rsid w:val="00D90EE5"/>
    <w:rsid w:val="00D91522"/>
    <w:rsid w:val="00D924DB"/>
    <w:rsid w:val="00D93D55"/>
    <w:rsid w:val="00D948E2"/>
    <w:rsid w:val="00D952AD"/>
    <w:rsid w:val="00DB42CB"/>
    <w:rsid w:val="00DB4505"/>
    <w:rsid w:val="00DC3E50"/>
    <w:rsid w:val="00DC3F8F"/>
    <w:rsid w:val="00DD076F"/>
    <w:rsid w:val="00DD2EB5"/>
    <w:rsid w:val="00DF1E0F"/>
    <w:rsid w:val="00E10E07"/>
    <w:rsid w:val="00E2062E"/>
    <w:rsid w:val="00E23CCD"/>
    <w:rsid w:val="00E23D62"/>
    <w:rsid w:val="00E24971"/>
    <w:rsid w:val="00E24CA1"/>
    <w:rsid w:val="00E335FE"/>
    <w:rsid w:val="00E33FF7"/>
    <w:rsid w:val="00E357A9"/>
    <w:rsid w:val="00E366EB"/>
    <w:rsid w:val="00E41401"/>
    <w:rsid w:val="00E42B9A"/>
    <w:rsid w:val="00E45572"/>
    <w:rsid w:val="00E45DF9"/>
    <w:rsid w:val="00E525F3"/>
    <w:rsid w:val="00E52EC3"/>
    <w:rsid w:val="00E532DC"/>
    <w:rsid w:val="00E5403D"/>
    <w:rsid w:val="00E62E7A"/>
    <w:rsid w:val="00E64114"/>
    <w:rsid w:val="00E66C2C"/>
    <w:rsid w:val="00E71264"/>
    <w:rsid w:val="00E724BB"/>
    <w:rsid w:val="00E74680"/>
    <w:rsid w:val="00E74803"/>
    <w:rsid w:val="00E804B6"/>
    <w:rsid w:val="00E81E80"/>
    <w:rsid w:val="00E81ED6"/>
    <w:rsid w:val="00E83E34"/>
    <w:rsid w:val="00E84406"/>
    <w:rsid w:val="00E84FE5"/>
    <w:rsid w:val="00E8598B"/>
    <w:rsid w:val="00E86846"/>
    <w:rsid w:val="00E86A19"/>
    <w:rsid w:val="00E87F26"/>
    <w:rsid w:val="00E901C1"/>
    <w:rsid w:val="00EB2461"/>
    <w:rsid w:val="00EB333E"/>
    <w:rsid w:val="00EB4AE2"/>
    <w:rsid w:val="00EC23FC"/>
    <w:rsid w:val="00EC26A8"/>
    <w:rsid w:val="00EC4E49"/>
    <w:rsid w:val="00EC7915"/>
    <w:rsid w:val="00ED01DB"/>
    <w:rsid w:val="00ED037E"/>
    <w:rsid w:val="00ED38E9"/>
    <w:rsid w:val="00ED4C4F"/>
    <w:rsid w:val="00ED77FB"/>
    <w:rsid w:val="00EE0E83"/>
    <w:rsid w:val="00EE28AC"/>
    <w:rsid w:val="00EE45FA"/>
    <w:rsid w:val="00EE5748"/>
    <w:rsid w:val="00EF0146"/>
    <w:rsid w:val="00EF65B9"/>
    <w:rsid w:val="00F051A3"/>
    <w:rsid w:val="00F0720F"/>
    <w:rsid w:val="00F07EF8"/>
    <w:rsid w:val="00F100F9"/>
    <w:rsid w:val="00F10E66"/>
    <w:rsid w:val="00F138CC"/>
    <w:rsid w:val="00F173AB"/>
    <w:rsid w:val="00F201C4"/>
    <w:rsid w:val="00F22210"/>
    <w:rsid w:val="00F25606"/>
    <w:rsid w:val="00F32ABD"/>
    <w:rsid w:val="00F36A20"/>
    <w:rsid w:val="00F44E84"/>
    <w:rsid w:val="00F47560"/>
    <w:rsid w:val="00F51BC6"/>
    <w:rsid w:val="00F5468C"/>
    <w:rsid w:val="00F56536"/>
    <w:rsid w:val="00F66152"/>
    <w:rsid w:val="00F7721F"/>
    <w:rsid w:val="00F84A3A"/>
    <w:rsid w:val="00F86AE7"/>
    <w:rsid w:val="00FA156A"/>
    <w:rsid w:val="00FB7C80"/>
    <w:rsid w:val="00FC1F36"/>
    <w:rsid w:val="00FC3D36"/>
    <w:rsid w:val="00FC4357"/>
    <w:rsid w:val="00FC4C8A"/>
    <w:rsid w:val="00FC5A27"/>
    <w:rsid w:val="00FE2990"/>
    <w:rsid w:val="00FE3B43"/>
    <w:rsid w:val="00FE4498"/>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B2686B"/>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xport/sites/www/treaties/en/documents/pdf/hague.pdf" TargetMode="External"/><Relationship Id="rId4" Type="http://schemas.openxmlformats.org/officeDocument/2006/relationships/settings" Target="settings.xml"/><Relationship Id="rId9" Type="http://schemas.openxmlformats.org/officeDocument/2006/relationships/hyperlink" Target="https://www.wipo.int/export/sites/www/treaties/en/documents/pdf/hagu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0BC37-F191-4FB9-8F79-EB849337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2231</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2680</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7</cp:revision>
  <cp:lastPrinted>2022-03-17T16:19:00Z</cp:lastPrinted>
  <dcterms:created xsi:type="dcterms:W3CDTF">2022-05-19T16:03:00Z</dcterms:created>
  <dcterms:modified xsi:type="dcterms:W3CDTF">2022-05-25T12:50:00Z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c6fed020-6825-4f5b-85df-a490460f67a7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