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3116C" w:rsidRPr="0043116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43116C" w:rsidRDefault="00163F61" w:rsidP="003C2450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43116C" w:rsidRDefault="00512D5E" w:rsidP="003C2450">
            <w:pPr>
              <w:keepNext/>
              <w:keepLines/>
              <w:rPr>
                <w:color w:val="000000" w:themeColor="text1"/>
              </w:rPr>
            </w:pPr>
            <w:r w:rsidRPr="0043116C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423C8838" wp14:editId="2742AC5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43116C" w:rsidRDefault="00163F61" w:rsidP="003C2450">
            <w:pPr>
              <w:keepNext/>
              <w:keepLines/>
              <w:jc w:val="right"/>
              <w:rPr>
                <w:color w:val="000000" w:themeColor="text1"/>
              </w:rPr>
            </w:pPr>
          </w:p>
        </w:tc>
      </w:tr>
      <w:tr w:rsidR="0043116C" w:rsidRPr="0043116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43116C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bookmarkStart w:id="0" w:name="Original"/>
            <w:bookmarkEnd w:id="0"/>
          </w:p>
        </w:tc>
      </w:tr>
      <w:tr w:rsidR="0043116C" w:rsidRPr="007E751E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7E751E" w:rsidRDefault="00512D5E" w:rsidP="003975D2">
            <w:pPr>
              <w:jc w:val="right"/>
              <w:rPr>
                <w:rFonts w:ascii="Arial Black" w:hAnsi="Arial Black"/>
                <w:b/>
                <w:color w:val="000000" w:themeColor="text1"/>
                <w:sz w:val="15"/>
                <w:szCs w:val="15"/>
              </w:rPr>
            </w:pPr>
            <w:r w:rsidRPr="007E751E">
              <w:rPr>
                <w:rFonts w:ascii="Arial Black" w:hAnsi="Arial Black"/>
                <w:b/>
                <w:color w:val="000000" w:themeColor="text1"/>
                <w:sz w:val="15"/>
                <w:szCs w:val="15"/>
                <w:lang w:val="es-ES_tradnl"/>
              </w:rPr>
              <w:t>AVISO Nº 5</w:t>
            </w:r>
            <w:r w:rsidR="003975D2">
              <w:rPr>
                <w:rFonts w:ascii="Arial Black" w:hAnsi="Arial Black"/>
                <w:b/>
                <w:color w:val="000000" w:themeColor="text1"/>
                <w:sz w:val="15"/>
                <w:szCs w:val="15"/>
                <w:lang w:val="es-ES_tradnl"/>
              </w:rPr>
              <w:t>4</w:t>
            </w:r>
            <w:r w:rsidRPr="007E751E">
              <w:rPr>
                <w:rFonts w:ascii="Arial Black" w:hAnsi="Arial Black"/>
                <w:b/>
                <w:color w:val="000000" w:themeColor="text1"/>
                <w:sz w:val="15"/>
                <w:szCs w:val="15"/>
                <w:lang w:val="es-ES_tradnl"/>
              </w:rPr>
              <w:t>/2019</w:t>
            </w:r>
          </w:p>
        </w:tc>
      </w:tr>
    </w:tbl>
    <w:p w:rsidR="00512D5E" w:rsidRPr="0043116C" w:rsidRDefault="00512D5E" w:rsidP="008B2CC1">
      <w:pPr>
        <w:rPr>
          <w:color w:val="000000" w:themeColor="text1"/>
        </w:rPr>
      </w:pPr>
    </w:p>
    <w:p w:rsidR="00512D5E" w:rsidRPr="0043116C" w:rsidRDefault="00512D5E" w:rsidP="00CC5016">
      <w:pPr>
        <w:rPr>
          <w:color w:val="000000" w:themeColor="text1"/>
        </w:rPr>
      </w:pPr>
    </w:p>
    <w:p w:rsidR="00512D5E" w:rsidRPr="0043116C" w:rsidRDefault="00512D5E" w:rsidP="00CC5016">
      <w:pPr>
        <w:rPr>
          <w:color w:val="000000" w:themeColor="text1"/>
        </w:rPr>
      </w:pPr>
    </w:p>
    <w:p w:rsidR="00512D5E" w:rsidRPr="0043116C" w:rsidRDefault="007B1542" w:rsidP="00512D5E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lang w:val="es-ES"/>
        </w:rPr>
      </w:pPr>
      <w:r w:rsidRPr="0043116C">
        <w:rPr>
          <w:b/>
          <w:bCs/>
          <w:color w:val="000000" w:themeColor="text1"/>
          <w:sz w:val="28"/>
          <w:szCs w:val="28"/>
          <w:lang w:val="es-ES_tradnl"/>
        </w:rPr>
        <w:t>Protocolo de Madrid</w:t>
      </w:r>
      <w:r w:rsidR="00512D5E" w:rsidRPr="0043116C">
        <w:rPr>
          <w:b/>
          <w:bCs/>
          <w:color w:val="000000" w:themeColor="text1"/>
          <w:sz w:val="28"/>
          <w:szCs w:val="28"/>
          <w:lang w:val="es-ES_tradnl"/>
        </w:rPr>
        <w:t xml:space="preserve"> relativo al Registro Internacional de Marcas</w:t>
      </w:r>
    </w:p>
    <w:p w:rsidR="00512D5E" w:rsidRPr="0043116C" w:rsidRDefault="00512D5E" w:rsidP="00CC5016">
      <w:pPr>
        <w:autoSpaceDE w:val="0"/>
        <w:autoSpaceDN w:val="0"/>
        <w:adjustRightInd w:val="0"/>
        <w:rPr>
          <w:bCs/>
          <w:color w:val="000000" w:themeColor="text1"/>
          <w:szCs w:val="22"/>
          <w:lang w:val="es-ES"/>
        </w:rPr>
      </w:pPr>
    </w:p>
    <w:p w:rsidR="00512D5E" w:rsidRPr="0043116C" w:rsidRDefault="00512D5E" w:rsidP="00CC5016">
      <w:pPr>
        <w:autoSpaceDE w:val="0"/>
        <w:autoSpaceDN w:val="0"/>
        <w:adjustRightInd w:val="0"/>
        <w:rPr>
          <w:bCs/>
          <w:color w:val="000000" w:themeColor="text1"/>
          <w:szCs w:val="22"/>
          <w:lang w:val="es-ES"/>
        </w:rPr>
      </w:pPr>
    </w:p>
    <w:p w:rsidR="00512D5E" w:rsidRPr="0043116C" w:rsidRDefault="00E368D0" w:rsidP="00512D5E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  <w:lang w:val="es-ES"/>
        </w:rPr>
      </w:pPr>
      <w:r w:rsidRPr="0043116C">
        <w:rPr>
          <w:b/>
          <w:bCs/>
          <w:color w:val="000000" w:themeColor="text1"/>
          <w:sz w:val="24"/>
          <w:szCs w:val="24"/>
          <w:lang w:val="es-ES_tradnl"/>
        </w:rPr>
        <w:t xml:space="preserve">Declaración efectuada en virtud del Artículo </w:t>
      </w:r>
      <w:r w:rsidR="00512D5E" w:rsidRPr="0043116C">
        <w:rPr>
          <w:b/>
          <w:bCs/>
          <w:color w:val="000000" w:themeColor="text1"/>
          <w:sz w:val="24"/>
          <w:szCs w:val="24"/>
          <w:lang w:val="es-ES_tradnl"/>
        </w:rPr>
        <w:t>8</w:t>
      </w:r>
      <w:r w:rsidRPr="0043116C">
        <w:rPr>
          <w:b/>
          <w:bCs/>
          <w:color w:val="000000" w:themeColor="text1"/>
          <w:sz w:val="24"/>
          <w:szCs w:val="24"/>
          <w:lang w:val="es-ES_tradnl"/>
        </w:rPr>
        <w:t>.7)a)</w:t>
      </w:r>
      <w:r w:rsidR="00512D5E" w:rsidRPr="0043116C">
        <w:rPr>
          <w:b/>
          <w:bCs/>
          <w:color w:val="000000" w:themeColor="text1"/>
          <w:sz w:val="24"/>
          <w:szCs w:val="24"/>
          <w:lang w:val="es-ES_tradnl"/>
        </w:rPr>
        <w:t xml:space="preserve"> del Protocolo de Madrid y notificación efectu</w:t>
      </w:r>
      <w:r w:rsidRPr="0043116C">
        <w:rPr>
          <w:b/>
          <w:bCs/>
          <w:color w:val="000000" w:themeColor="text1"/>
          <w:sz w:val="24"/>
          <w:szCs w:val="24"/>
          <w:lang w:val="es-ES_tradnl"/>
        </w:rPr>
        <w:t>ada en virtud de la Regla 34.3)</w:t>
      </w:r>
      <w:r w:rsidR="00512D5E" w:rsidRPr="0043116C">
        <w:rPr>
          <w:b/>
          <w:bCs/>
          <w:color w:val="000000" w:themeColor="text1"/>
          <w:sz w:val="24"/>
          <w:szCs w:val="24"/>
          <w:lang w:val="es-ES_tradnl"/>
        </w:rPr>
        <w:t>a) del Reglamento Común: Brasil</w:t>
      </w:r>
    </w:p>
    <w:p w:rsidR="00512D5E" w:rsidRPr="0043116C" w:rsidRDefault="00512D5E" w:rsidP="006D1756">
      <w:pPr>
        <w:rPr>
          <w:color w:val="000000" w:themeColor="text1"/>
          <w:szCs w:val="22"/>
          <w:lang w:val="es-ES"/>
        </w:rPr>
      </w:pPr>
    </w:p>
    <w:p w:rsidR="00512D5E" w:rsidRPr="0043116C" w:rsidRDefault="00512D5E" w:rsidP="007E751E">
      <w:pPr>
        <w:pStyle w:val="ONUMFS"/>
        <w:rPr>
          <w:lang w:val="es-ES"/>
        </w:rPr>
      </w:pPr>
      <w:r w:rsidRPr="0043116C">
        <w:rPr>
          <w:lang w:val="es-ES_tradnl"/>
        </w:rPr>
        <w:t>El Gobierno del Brasil ha declarado, en virtud del Artículo 8</w:t>
      </w:r>
      <w:r w:rsidR="0043116C" w:rsidRPr="0043116C">
        <w:rPr>
          <w:lang w:val="es-ES_tradnl"/>
        </w:rPr>
        <w:t>.7)</w:t>
      </w:r>
      <w:r w:rsidRPr="0043116C">
        <w:rPr>
          <w:lang w:val="es-ES_tradnl"/>
        </w:rPr>
        <w:t xml:space="preserve"> del Protocolo de Madrid, que desea recibir una tasa individual cuando el Brasil sea designado e</w:t>
      </w:r>
      <w:r w:rsidR="0043116C" w:rsidRPr="0043116C">
        <w:rPr>
          <w:lang w:val="es-ES_tradnl"/>
        </w:rPr>
        <w:t>n una solicitud internacional, e</w:t>
      </w:r>
      <w:r w:rsidRPr="0043116C">
        <w:rPr>
          <w:lang w:val="es-ES_tradnl"/>
        </w:rPr>
        <w:t>n una designación posterior a un regi</w:t>
      </w:r>
      <w:r w:rsidR="0043116C">
        <w:rPr>
          <w:lang w:val="es-ES_tradnl"/>
        </w:rPr>
        <w:t xml:space="preserve">stro internacional y en </w:t>
      </w:r>
      <w:r w:rsidR="00D11A44">
        <w:rPr>
          <w:lang w:val="es-ES_tradnl"/>
        </w:rPr>
        <w:t>relación con la renovación</w:t>
      </w:r>
      <w:r w:rsidRPr="0043116C">
        <w:rPr>
          <w:lang w:val="es-ES_tradnl"/>
        </w:rPr>
        <w:t xml:space="preserve"> de</w:t>
      </w:r>
      <w:r w:rsidR="00A866A1">
        <w:rPr>
          <w:lang w:val="es-ES_tradnl"/>
        </w:rPr>
        <w:t xml:space="preserve"> un registro internacional en</w:t>
      </w:r>
      <w:r w:rsidRPr="0043116C">
        <w:rPr>
          <w:lang w:val="es-ES_tradnl"/>
        </w:rPr>
        <w:t xml:space="preserve"> que el Brasil haya sido designado.</w:t>
      </w:r>
    </w:p>
    <w:p w:rsidR="00512D5E" w:rsidRPr="0043116C" w:rsidRDefault="00512D5E" w:rsidP="007E751E">
      <w:pPr>
        <w:pStyle w:val="ONUMFS"/>
        <w:rPr>
          <w:lang w:val="es-ES"/>
        </w:rPr>
      </w:pPr>
      <w:r w:rsidRPr="0043116C">
        <w:rPr>
          <w:lang w:val="es-ES_tradnl"/>
        </w:rPr>
        <w:t>Junto con esa declaración, el Gobierno del B</w:t>
      </w:r>
      <w:r w:rsidR="0043116C">
        <w:rPr>
          <w:lang w:val="es-ES_tradnl"/>
        </w:rPr>
        <w:t>rasil, en virtud de la Regla 34.3)</w:t>
      </w:r>
      <w:r w:rsidRPr="0043116C">
        <w:rPr>
          <w:lang w:val="es-ES_tradnl"/>
        </w:rPr>
        <w:t>a) del Reglamento Común, ha notificado a la Oficina Internacional de la OMPI que la tasa individual de designación del Brasil ha de pagarse en dos partes.</w:t>
      </w:r>
    </w:p>
    <w:p w:rsidR="00C53471" w:rsidRPr="0043116C" w:rsidRDefault="00512D5E" w:rsidP="007E751E">
      <w:pPr>
        <w:pStyle w:val="ONUMFS"/>
        <w:rPr>
          <w:lang w:val="es-ES" w:eastAsia="ja-JP"/>
        </w:rPr>
      </w:pPr>
      <w:r w:rsidRPr="0043116C">
        <w:rPr>
          <w:lang w:val="es-ES_tradnl" w:eastAsia="ja-JP"/>
        </w:rPr>
        <w:t xml:space="preserve">De conformidad con </w:t>
      </w:r>
      <w:r w:rsidR="0043116C">
        <w:rPr>
          <w:lang w:val="es-ES_tradnl" w:eastAsia="ja-JP"/>
        </w:rPr>
        <w:t xml:space="preserve">la Regla 35.2)b) </w:t>
      </w:r>
      <w:r w:rsidRPr="0043116C">
        <w:rPr>
          <w:lang w:val="es-ES_tradnl" w:eastAsia="ja-JP"/>
        </w:rPr>
        <w:t>del Reglamento Común del Arregl</w:t>
      </w:r>
      <w:r w:rsidR="00200F6C">
        <w:rPr>
          <w:lang w:val="es-ES_tradnl" w:eastAsia="ja-JP"/>
        </w:rPr>
        <w:t>o y el Protocolo de Madrid, el director g</w:t>
      </w:r>
      <w:r w:rsidRPr="0043116C">
        <w:rPr>
          <w:lang w:val="es-ES_tradnl" w:eastAsia="ja-JP"/>
        </w:rPr>
        <w:t>eneral de la OMPI, previa consulta con la Oficina del Brasil, ha establecido los siguientes importes, en francos suizos, de dicha tasa individual: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43116C" w:rsidRPr="0043116C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3116C" w:rsidRDefault="00512D5E" w:rsidP="00E46327">
            <w:pPr>
              <w:rPr>
                <w:color w:val="000000" w:themeColor="text1"/>
                <w:lang w:val="es-ES"/>
              </w:rPr>
            </w:pPr>
          </w:p>
          <w:p w:rsidR="00512D5E" w:rsidRPr="0043116C" w:rsidRDefault="00512D5E" w:rsidP="00E4632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:rsidR="00512D5E" w:rsidRPr="0043116C" w:rsidRDefault="00200F6C" w:rsidP="00512D5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ELEMENTOS</w:t>
            </w:r>
          </w:p>
          <w:p w:rsidR="000A7AE8" w:rsidRPr="0043116C" w:rsidRDefault="000A7AE8" w:rsidP="00E46327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3116C" w:rsidRDefault="00512D5E" w:rsidP="00E46327">
            <w:pPr>
              <w:rPr>
                <w:color w:val="000000" w:themeColor="text1"/>
              </w:rPr>
            </w:pPr>
          </w:p>
          <w:p w:rsidR="00512D5E" w:rsidRPr="0043116C" w:rsidRDefault="00512D5E" w:rsidP="00512D5E">
            <w:pPr>
              <w:jc w:val="center"/>
              <w:rPr>
                <w:b/>
                <w:bCs/>
                <w:color w:val="000000" w:themeColor="text1"/>
              </w:rPr>
            </w:pPr>
            <w:r w:rsidRPr="0043116C">
              <w:rPr>
                <w:b/>
                <w:bCs/>
                <w:color w:val="000000" w:themeColor="text1"/>
                <w:lang w:val="es-ES_tradnl"/>
              </w:rPr>
              <w:t>Importes</w:t>
            </w:r>
          </w:p>
          <w:p w:rsidR="00512D5E" w:rsidRPr="0043116C" w:rsidRDefault="00512D5E" w:rsidP="00E46327">
            <w:pPr>
              <w:jc w:val="center"/>
              <w:rPr>
                <w:color w:val="000000" w:themeColor="text1"/>
              </w:rPr>
            </w:pPr>
          </w:p>
          <w:p w:rsidR="00512D5E" w:rsidRPr="00200F6C" w:rsidRDefault="00512D5E" w:rsidP="00512D5E">
            <w:pPr>
              <w:jc w:val="center"/>
              <w:rPr>
                <w:i/>
                <w:iCs/>
                <w:color w:val="000000" w:themeColor="text1"/>
                <w:lang w:eastAsia="ja-JP"/>
              </w:rPr>
            </w:pPr>
            <w:r w:rsidRPr="00200F6C">
              <w:rPr>
                <w:i/>
                <w:iCs/>
                <w:color w:val="000000" w:themeColor="text1"/>
                <w:lang w:val="es-ES_tradnl" w:eastAsia="ja-JP"/>
              </w:rPr>
              <w:t>(en francos suizos)</w:t>
            </w:r>
          </w:p>
          <w:p w:rsidR="000A7AE8" w:rsidRPr="0043116C" w:rsidRDefault="000A7AE8" w:rsidP="00E46327">
            <w:pPr>
              <w:rPr>
                <w:i/>
                <w:iCs/>
                <w:color w:val="000000" w:themeColor="text1"/>
                <w:lang w:eastAsia="ja-JP"/>
              </w:rPr>
            </w:pPr>
          </w:p>
        </w:tc>
      </w:tr>
      <w:tr w:rsidR="0043116C" w:rsidRPr="0043116C" w:rsidTr="00E4632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3116C" w:rsidRDefault="00512D5E" w:rsidP="00E46327">
            <w:pPr>
              <w:jc w:val="center"/>
              <w:rPr>
                <w:color w:val="000000" w:themeColor="text1"/>
              </w:rPr>
            </w:pPr>
          </w:p>
          <w:p w:rsidR="00512D5E" w:rsidRPr="0043116C" w:rsidRDefault="00512D5E" w:rsidP="00E46327">
            <w:pPr>
              <w:jc w:val="center"/>
              <w:rPr>
                <w:color w:val="000000" w:themeColor="text1"/>
              </w:rPr>
            </w:pPr>
          </w:p>
          <w:p w:rsidR="00512D5E" w:rsidRPr="0043116C" w:rsidRDefault="00512D5E" w:rsidP="00E46327">
            <w:pPr>
              <w:jc w:val="center"/>
              <w:rPr>
                <w:color w:val="000000" w:themeColor="text1"/>
              </w:rPr>
            </w:pPr>
          </w:p>
          <w:p w:rsidR="000A7AE8" w:rsidRPr="0043116C" w:rsidRDefault="00512D5E" w:rsidP="00512D5E">
            <w:pPr>
              <w:jc w:val="center"/>
              <w:rPr>
                <w:color w:val="000000" w:themeColor="text1"/>
              </w:rPr>
            </w:pPr>
            <w:r w:rsidRPr="0043116C">
              <w:rPr>
                <w:color w:val="000000" w:themeColor="text1"/>
                <w:lang w:val="es-ES_tradnl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5E" w:rsidRPr="0043116C" w:rsidRDefault="00512D5E" w:rsidP="00E46327">
            <w:pPr>
              <w:rPr>
                <w:color w:val="000000" w:themeColor="text1"/>
                <w:lang w:val="es-ES"/>
              </w:rPr>
            </w:pPr>
          </w:p>
          <w:p w:rsidR="00512D5E" w:rsidRPr="0043116C" w:rsidRDefault="00512D5E" w:rsidP="00512D5E">
            <w:pPr>
              <w:rPr>
                <w:color w:val="000000" w:themeColor="text1"/>
                <w:lang w:val="es-ES"/>
              </w:rPr>
            </w:pPr>
            <w:r w:rsidRPr="00C95EC7">
              <w:rPr>
                <w:color w:val="000000" w:themeColor="text1"/>
                <w:u w:val="single"/>
                <w:lang w:val="es-ES_tradnl"/>
              </w:rPr>
              <w:t>Primera parte</w:t>
            </w:r>
            <w:r w:rsidRPr="0043116C">
              <w:rPr>
                <w:color w:val="000000" w:themeColor="text1"/>
                <w:lang w:val="es-ES_tradnl"/>
              </w:rPr>
              <w:t>:</w:t>
            </w:r>
          </w:p>
          <w:p w:rsidR="00512D5E" w:rsidRPr="0043116C" w:rsidRDefault="00512D5E" w:rsidP="00E46327">
            <w:pPr>
              <w:rPr>
                <w:color w:val="000000" w:themeColor="text1"/>
                <w:lang w:val="es-ES"/>
              </w:rPr>
            </w:pPr>
          </w:p>
          <w:p w:rsidR="00512D5E" w:rsidRPr="007E751E" w:rsidRDefault="00512D5E" w:rsidP="007E751E">
            <w:pPr>
              <w:pStyle w:val="ListParagraph"/>
              <w:numPr>
                <w:ilvl w:val="0"/>
                <w:numId w:val="12"/>
              </w:numPr>
              <w:rPr>
                <w:rFonts w:eastAsia="MS Mincho"/>
                <w:color w:val="000000" w:themeColor="text1"/>
                <w:szCs w:val="22"/>
                <w:lang w:val="es-ES" w:eastAsia="ja-JP"/>
              </w:rPr>
            </w:pPr>
            <w:r w:rsidRPr="007E751E">
              <w:rPr>
                <w:rFonts w:eastAsia="MS Mincho"/>
                <w:color w:val="000000" w:themeColor="text1"/>
                <w:szCs w:val="22"/>
                <w:lang w:val="es-ES_tradnl" w:eastAsia="ja-JP"/>
              </w:rPr>
              <w:t>por cada clase de productos o servicios</w:t>
            </w:r>
          </w:p>
          <w:p w:rsidR="00512D5E" w:rsidRPr="0043116C" w:rsidRDefault="00512D5E" w:rsidP="0014550D">
            <w:pPr>
              <w:rPr>
                <w:rFonts w:eastAsia="MS Mincho"/>
                <w:color w:val="000000" w:themeColor="text1"/>
                <w:szCs w:val="22"/>
                <w:lang w:val="es-ES" w:eastAsia="ja-JP"/>
              </w:rPr>
            </w:pPr>
          </w:p>
          <w:p w:rsidR="0014550D" w:rsidRPr="0043116C" w:rsidRDefault="00512D5E" w:rsidP="00512D5E">
            <w:pPr>
              <w:rPr>
                <w:rFonts w:eastAsia="MS Mincho"/>
                <w:color w:val="000000" w:themeColor="text1"/>
                <w:szCs w:val="22"/>
                <w:lang w:eastAsia="ja-JP"/>
              </w:rPr>
            </w:pPr>
            <w:r w:rsidRPr="00C95EC7">
              <w:rPr>
                <w:rFonts w:eastAsia="MS Mincho"/>
                <w:color w:val="000000" w:themeColor="text1"/>
                <w:szCs w:val="22"/>
                <w:u w:val="single"/>
                <w:lang w:val="es-ES_tradnl" w:eastAsia="ja-JP"/>
              </w:rPr>
              <w:t>Segunda parte</w:t>
            </w:r>
            <w:r w:rsidRPr="0043116C">
              <w:rPr>
                <w:rFonts w:eastAsia="MS Mincho"/>
                <w:color w:val="000000" w:themeColor="text1"/>
                <w:szCs w:val="22"/>
                <w:lang w:val="es-ES_tradnl" w:eastAsia="ja-JP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D5E" w:rsidRPr="0043116C" w:rsidRDefault="00512D5E" w:rsidP="00E46327">
            <w:pPr>
              <w:rPr>
                <w:color w:val="000000" w:themeColor="text1"/>
              </w:rPr>
            </w:pPr>
          </w:p>
          <w:p w:rsidR="00512D5E" w:rsidRPr="0043116C" w:rsidRDefault="00512D5E" w:rsidP="00050383">
            <w:pPr>
              <w:jc w:val="center"/>
              <w:rPr>
                <w:color w:val="000000" w:themeColor="text1"/>
              </w:rPr>
            </w:pPr>
          </w:p>
          <w:p w:rsidR="00512D5E" w:rsidRPr="0043116C" w:rsidRDefault="00512D5E" w:rsidP="00050383">
            <w:pPr>
              <w:jc w:val="center"/>
              <w:rPr>
                <w:color w:val="000000" w:themeColor="text1"/>
              </w:rPr>
            </w:pPr>
          </w:p>
          <w:p w:rsidR="000A7AE8" w:rsidRPr="0043116C" w:rsidRDefault="00B949D9" w:rsidP="00050383">
            <w:pPr>
              <w:jc w:val="center"/>
              <w:rPr>
                <w:color w:val="000000" w:themeColor="text1"/>
              </w:rPr>
            </w:pPr>
            <w:r w:rsidRPr="0043116C">
              <w:rPr>
                <w:color w:val="000000" w:themeColor="text1"/>
              </w:rPr>
              <w:t>105</w:t>
            </w:r>
          </w:p>
        </w:tc>
      </w:tr>
      <w:tr w:rsidR="0043116C" w:rsidRPr="0043116C" w:rsidTr="00E46327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43116C" w:rsidRDefault="000A7AE8" w:rsidP="00E4632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2D5E" w:rsidRPr="0043116C" w:rsidRDefault="00512D5E" w:rsidP="00E46327">
            <w:pPr>
              <w:rPr>
                <w:color w:val="000000" w:themeColor="text1"/>
                <w:lang w:val="es-ES"/>
              </w:rPr>
            </w:pPr>
          </w:p>
          <w:p w:rsidR="000A7AE8" w:rsidRPr="007E751E" w:rsidRDefault="00512D5E" w:rsidP="007E751E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es-ES"/>
              </w:rPr>
            </w:pPr>
            <w:r w:rsidRPr="007E751E">
              <w:rPr>
                <w:color w:val="000000" w:themeColor="text1"/>
                <w:lang w:val="es-ES_tradnl"/>
              </w:rPr>
              <w:t>por cada clase de productos o servicios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2D5E" w:rsidRPr="0043116C" w:rsidRDefault="00512D5E" w:rsidP="00E46327">
            <w:pPr>
              <w:jc w:val="center"/>
              <w:rPr>
                <w:rFonts w:eastAsia="MS Mincho"/>
                <w:color w:val="000000" w:themeColor="text1"/>
                <w:szCs w:val="22"/>
                <w:lang w:val="es-ES" w:eastAsia="ja-JP"/>
              </w:rPr>
            </w:pPr>
          </w:p>
          <w:p w:rsidR="00512D5E" w:rsidRPr="0043116C" w:rsidRDefault="00B949D9" w:rsidP="00050383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color w:val="000000" w:themeColor="text1"/>
                <w:szCs w:val="22"/>
                <w:lang w:eastAsia="ja-JP"/>
              </w:rPr>
            </w:pPr>
            <w:r w:rsidRPr="0043116C">
              <w:rPr>
                <w:rFonts w:eastAsia="MS Mincho"/>
                <w:color w:val="000000" w:themeColor="text1"/>
                <w:szCs w:val="22"/>
                <w:lang w:eastAsia="ja-JP"/>
              </w:rPr>
              <w:t>188</w:t>
            </w:r>
          </w:p>
          <w:p w:rsidR="000A7AE8" w:rsidRPr="0043116C" w:rsidRDefault="000A7AE8" w:rsidP="00E46327">
            <w:pPr>
              <w:rPr>
                <w:rFonts w:eastAsia="MS Mincho"/>
                <w:color w:val="000000" w:themeColor="text1"/>
                <w:szCs w:val="22"/>
                <w:lang w:eastAsia="ja-JP"/>
              </w:rPr>
            </w:pPr>
          </w:p>
        </w:tc>
      </w:tr>
    </w:tbl>
    <w:p w:rsidR="00512D5E" w:rsidRPr="0043116C" w:rsidRDefault="00512D5E" w:rsidP="00954B96">
      <w:pPr>
        <w:pStyle w:val="ONUME"/>
        <w:numPr>
          <w:ilvl w:val="0"/>
          <w:numId w:val="0"/>
        </w:numPr>
        <w:spacing w:after="0"/>
        <w:rPr>
          <w:color w:val="000000" w:themeColor="text1"/>
          <w:lang w:eastAsia="ja-JP"/>
        </w:rPr>
      </w:pPr>
    </w:p>
    <w:p w:rsidR="00512D5E" w:rsidRPr="0043116C" w:rsidRDefault="00512D5E" w:rsidP="007E751E">
      <w:pPr>
        <w:pStyle w:val="ONUMFS"/>
        <w:rPr>
          <w:lang w:val="es-ES"/>
        </w:rPr>
      </w:pPr>
      <w:r w:rsidRPr="0043116C">
        <w:rPr>
          <w:lang w:val="es-ES_tradnl"/>
        </w:rPr>
        <w:t>La primera parte de la tasa individual deberá pagarse en el momento de la designación del Brasil, ya sea en una solicitud internacional o como designación posterior.</w:t>
      </w:r>
      <w:r w:rsidR="00200F6C">
        <w:rPr>
          <w:lang w:val="es-ES"/>
        </w:rPr>
        <w:t xml:space="preserve"> </w:t>
      </w:r>
      <w:r w:rsidRPr="0043116C">
        <w:rPr>
          <w:lang w:val="es-ES_tradnl"/>
        </w:rPr>
        <w:t>La segunda parte tendrá que pagarse únicamente si la Of</w:t>
      </w:r>
      <w:r w:rsidR="00200F6C">
        <w:rPr>
          <w:lang w:val="es-ES_tradnl"/>
        </w:rPr>
        <w:t>icina del Brasil considera</w:t>
      </w:r>
      <w:r w:rsidRPr="0043116C">
        <w:rPr>
          <w:lang w:val="es-ES_tradnl"/>
        </w:rPr>
        <w:t xml:space="preserve"> que la marca objeto del registro internacional satisface los requisitos para ser p</w:t>
      </w:r>
      <w:r w:rsidR="00200F6C">
        <w:rPr>
          <w:lang w:val="es-ES_tradnl"/>
        </w:rPr>
        <w:t>rotegida, para todos o</w:t>
      </w:r>
      <w:r w:rsidRPr="0043116C">
        <w:rPr>
          <w:lang w:val="es-ES_tradnl"/>
        </w:rPr>
        <w:t xml:space="preserve"> algunos de los produ</w:t>
      </w:r>
      <w:r w:rsidR="00200F6C">
        <w:rPr>
          <w:lang w:val="es-ES_tradnl"/>
        </w:rPr>
        <w:t>ctos y servicios en cuestión</w:t>
      </w:r>
      <w:r w:rsidRPr="0043116C">
        <w:rPr>
          <w:lang w:val="es-ES_tradnl"/>
        </w:rPr>
        <w:t>.</w:t>
      </w:r>
      <w:r w:rsidR="00B527BA" w:rsidRPr="0043116C">
        <w:rPr>
          <w:lang w:val="es-ES"/>
        </w:rPr>
        <w:t xml:space="preserve"> </w:t>
      </w:r>
      <w:r w:rsidRPr="0043116C">
        <w:rPr>
          <w:lang w:val="es-ES_tradnl"/>
        </w:rPr>
        <w:t>Por lo tanto, el pago de la segunda parte, si procede, se ex</w:t>
      </w:r>
      <w:r w:rsidR="00200F6C">
        <w:rPr>
          <w:lang w:val="es-ES_tradnl"/>
        </w:rPr>
        <w:t>igirá en una fecha posterior a</w:t>
      </w:r>
      <w:r w:rsidRPr="0043116C">
        <w:rPr>
          <w:lang w:val="es-ES_tradnl"/>
        </w:rPr>
        <w:t xml:space="preserve"> la de la designación del Brasil.</w:t>
      </w:r>
    </w:p>
    <w:p w:rsidR="00512D5E" w:rsidRPr="0043116C" w:rsidRDefault="00317879">
      <w:pPr>
        <w:rPr>
          <w:color w:val="000000" w:themeColor="text1"/>
          <w:lang w:val="es-ES"/>
        </w:rPr>
      </w:pPr>
      <w:r w:rsidRPr="0043116C">
        <w:rPr>
          <w:color w:val="000000" w:themeColor="text1"/>
          <w:lang w:val="es-ES"/>
        </w:rPr>
        <w:br w:type="page"/>
      </w:r>
    </w:p>
    <w:p w:rsidR="00512D5E" w:rsidRPr="0043116C" w:rsidRDefault="00512D5E" w:rsidP="007E751E">
      <w:pPr>
        <w:pStyle w:val="ONUMFS"/>
        <w:rPr>
          <w:lang w:val="es-ES"/>
        </w:rPr>
      </w:pPr>
      <w:r w:rsidRPr="0043116C">
        <w:rPr>
          <w:lang w:val="es-ES_tradnl"/>
        </w:rPr>
        <w:lastRenderedPageBreak/>
        <w:t>La Oficina del Brasil notificará a la Oficina Internacional de la OMPI la fecha en que deberá pagarse la segun</w:t>
      </w:r>
      <w:r w:rsidR="00200F6C">
        <w:rPr>
          <w:lang w:val="es-ES_tradnl"/>
        </w:rPr>
        <w:t xml:space="preserve">da parte de la tasa individual para </w:t>
      </w:r>
      <w:r w:rsidRPr="0043116C">
        <w:rPr>
          <w:lang w:val="es-ES_tradnl"/>
        </w:rPr>
        <w:t>cada</w:t>
      </w:r>
      <w:r w:rsidR="00200F6C">
        <w:rPr>
          <w:lang w:val="es-ES_tradnl"/>
        </w:rPr>
        <w:t xml:space="preserve"> uno de los</w:t>
      </w:r>
      <w:r w:rsidRPr="0043116C">
        <w:rPr>
          <w:lang w:val="es-ES_tradnl"/>
        </w:rPr>
        <w:t xml:space="preserve"> regist</w:t>
      </w:r>
      <w:r w:rsidR="00200F6C">
        <w:rPr>
          <w:lang w:val="es-ES_tradnl"/>
        </w:rPr>
        <w:t>ros internacionales en cuestión</w:t>
      </w:r>
      <w:r w:rsidRPr="0043116C">
        <w:rPr>
          <w:lang w:val="es-ES_tradnl"/>
        </w:rPr>
        <w:t>.</w:t>
      </w:r>
      <w:r w:rsidR="00200F6C">
        <w:rPr>
          <w:lang w:val="es-ES"/>
        </w:rPr>
        <w:t xml:space="preserve"> </w:t>
      </w:r>
      <w:r w:rsidRPr="0043116C">
        <w:rPr>
          <w:lang w:val="es-ES_tradnl"/>
        </w:rPr>
        <w:t>La Oficina Internacional de la OMPI transmitirá inmediatamente una copia de esa notificación al titular del registro internacional o al mandatario del titular inscrito en el Registro Internacional.</w:t>
      </w:r>
    </w:p>
    <w:p w:rsidR="00512D5E" w:rsidRPr="007E751E" w:rsidRDefault="00512D5E" w:rsidP="007E751E">
      <w:pPr>
        <w:pStyle w:val="ONUMFS"/>
        <w:rPr>
          <w:lang w:val="es-ES"/>
        </w:rPr>
      </w:pPr>
      <w:r w:rsidRPr="0043116C">
        <w:rPr>
          <w:lang w:val="es-ES_tradnl"/>
        </w:rPr>
        <w:t>Si la segunda parte de la tasa individual</w:t>
      </w:r>
      <w:r w:rsidR="00200F6C">
        <w:rPr>
          <w:lang w:val="es-ES_tradnl"/>
        </w:rPr>
        <w:t xml:space="preserve"> se paga dentro del plazo correspondiente</w:t>
      </w:r>
      <w:r w:rsidRPr="0043116C">
        <w:rPr>
          <w:lang w:val="es-ES_tradnl"/>
        </w:rPr>
        <w:t>, la Oficina Internacional de la OMPI inscribirá ese pago en el Registro Internacional y notificará en consecuencia a la Oficina del Brasil.</w:t>
      </w:r>
      <w:r w:rsidR="00200F6C" w:rsidRPr="007E751E">
        <w:rPr>
          <w:lang w:val="es-ES"/>
        </w:rPr>
        <w:t xml:space="preserve"> </w:t>
      </w:r>
      <w:r w:rsidRPr="0043116C">
        <w:rPr>
          <w:lang w:val="es-ES_tradnl"/>
        </w:rPr>
        <w:t>Si la segunda parte de la tasa individual no se</w:t>
      </w:r>
      <w:r w:rsidR="00200F6C">
        <w:rPr>
          <w:lang w:val="es-ES_tradnl"/>
        </w:rPr>
        <w:t xml:space="preserve"> paga dentro del plazo correspondiente,</w:t>
      </w:r>
      <w:r w:rsidRPr="0043116C">
        <w:rPr>
          <w:lang w:val="es-ES_tradnl"/>
        </w:rPr>
        <w:t xml:space="preserve"> la Oficina Internacional de la OMPI cancelará la designación del Brasil del registro internacional y notificará en consecuencia a la Oficina del Brasil y al titular o al mandatario del titular inscrito en el Registro Internacional.</w:t>
      </w:r>
    </w:p>
    <w:p w:rsidR="00780BAF" w:rsidRPr="00200F6C" w:rsidRDefault="00512D5E" w:rsidP="007E751E">
      <w:pPr>
        <w:pStyle w:val="ONUMFS"/>
        <w:rPr>
          <w:lang w:val="es-ES"/>
        </w:rPr>
      </w:pPr>
      <w:r w:rsidRPr="0043116C">
        <w:rPr>
          <w:lang w:val="es-ES_tradnl"/>
        </w:rPr>
        <w:t>En lo que respecta a la renovación de un registro internacional solicitad</w:t>
      </w:r>
      <w:r w:rsidR="002B1DBB">
        <w:rPr>
          <w:lang w:val="es-ES_tradnl"/>
        </w:rPr>
        <w:t>a</w:t>
      </w:r>
      <w:r w:rsidRPr="0043116C">
        <w:rPr>
          <w:lang w:val="es-ES_tradnl"/>
        </w:rPr>
        <w:t xml:space="preserve"> para el Brasil, se abonará la tasa individual correspondiente en una única cuota que, de conformidad con lo dispuesto en </w:t>
      </w:r>
      <w:r w:rsidR="00200F6C">
        <w:rPr>
          <w:lang w:val="es-ES_tradnl"/>
        </w:rPr>
        <w:t>la Regla</w:t>
      </w:r>
      <w:r w:rsidR="00EE3E24">
        <w:rPr>
          <w:lang w:val="es-ES_tradnl"/>
        </w:rPr>
        <w:t xml:space="preserve"> 35.2)b)</w:t>
      </w:r>
      <w:r w:rsidRPr="0043116C">
        <w:rPr>
          <w:lang w:val="es-ES_tradnl"/>
        </w:rPr>
        <w:t xml:space="preserve"> del Reglamento Común del Arreglo y </w:t>
      </w:r>
      <w:r w:rsidR="00EE3E24">
        <w:rPr>
          <w:lang w:val="es-ES_tradnl"/>
        </w:rPr>
        <w:t>el Protocolo de Madrid, se h</w:t>
      </w:r>
      <w:r w:rsidRPr="0043116C">
        <w:rPr>
          <w:lang w:val="es-ES_tradnl"/>
        </w:rPr>
        <w:t>a establecido como sigue: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43116C" w:rsidRPr="0043116C" w:rsidTr="000548F8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200F6C" w:rsidRDefault="00512D5E" w:rsidP="000548F8">
            <w:pPr>
              <w:rPr>
                <w:color w:val="000000" w:themeColor="text1"/>
                <w:lang w:val="es-ES"/>
              </w:rPr>
            </w:pPr>
          </w:p>
          <w:p w:rsidR="00512D5E" w:rsidRPr="00200F6C" w:rsidRDefault="00512D5E" w:rsidP="000548F8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:rsidR="00512D5E" w:rsidRPr="0043116C" w:rsidRDefault="00EE3E24" w:rsidP="00512D5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s-ES_tradnl"/>
              </w:rPr>
              <w:t>ELEMENTOS</w:t>
            </w:r>
          </w:p>
          <w:p w:rsidR="005B5959" w:rsidRPr="0043116C" w:rsidRDefault="005B5959" w:rsidP="000548F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3116C" w:rsidRDefault="00512D5E" w:rsidP="000548F8">
            <w:pPr>
              <w:rPr>
                <w:color w:val="000000" w:themeColor="text1"/>
              </w:rPr>
            </w:pPr>
          </w:p>
          <w:p w:rsidR="00512D5E" w:rsidRPr="0043116C" w:rsidRDefault="00512D5E" w:rsidP="00512D5E">
            <w:pPr>
              <w:jc w:val="center"/>
              <w:rPr>
                <w:b/>
                <w:bCs/>
                <w:color w:val="000000" w:themeColor="text1"/>
              </w:rPr>
            </w:pPr>
            <w:r w:rsidRPr="0043116C">
              <w:rPr>
                <w:b/>
                <w:bCs/>
                <w:color w:val="000000" w:themeColor="text1"/>
                <w:lang w:val="es-ES_tradnl"/>
              </w:rPr>
              <w:t>Importes</w:t>
            </w:r>
          </w:p>
          <w:p w:rsidR="00512D5E" w:rsidRPr="0043116C" w:rsidRDefault="00512D5E" w:rsidP="000548F8">
            <w:pPr>
              <w:jc w:val="center"/>
              <w:rPr>
                <w:color w:val="000000" w:themeColor="text1"/>
              </w:rPr>
            </w:pPr>
          </w:p>
          <w:p w:rsidR="00512D5E" w:rsidRPr="00EE3E24" w:rsidRDefault="00512D5E" w:rsidP="00512D5E">
            <w:pPr>
              <w:jc w:val="center"/>
              <w:rPr>
                <w:i/>
                <w:iCs/>
                <w:color w:val="000000" w:themeColor="text1"/>
                <w:lang w:eastAsia="ja-JP"/>
              </w:rPr>
            </w:pPr>
            <w:r w:rsidRPr="00EE3E24">
              <w:rPr>
                <w:i/>
                <w:iCs/>
                <w:color w:val="000000" w:themeColor="text1"/>
                <w:lang w:val="es-ES_tradnl" w:eastAsia="ja-JP"/>
              </w:rPr>
              <w:t>(en francos suizos)</w:t>
            </w:r>
          </w:p>
          <w:p w:rsidR="005B5959" w:rsidRPr="0043116C" w:rsidRDefault="005B5959" w:rsidP="000548F8">
            <w:pPr>
              <w:rPr>
                <w:i/>
                <w:iCs/>
                <w:color w:val="000000" w:themeColor="text1"/>
                <w:lang w:eastAsia="ja-JP"/>
              </w:rPr>
            </w:pPr>
          </w:p>
        </w:tc>
      </w:tr>
      <w:tr w:rsidR="0043116C" w:rsidRPr="0043116C" w:rsidTr="000548F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3116C" w:rsidRDefault="00512D5E" w:rsidP="000548F8">
            <w:pPr>
              <w:jc w:val="center"/>
              <w:rPr>
                <w:color w:val="000000" w:themeColor="text1"/>
              </w:rPr>
            </w:pPr>
          </w:p>
          <w:p w:rsidR="00512D5E" w:rsidRPr="0043116C" w:rsidRDefault="00512D5E" w:rsidP="00780BAF">
            <w:pPr>
              <w:rPr>
                <w:color w:val="000000" w:themeColor="text1"/>
              </w:rPr>
            </w:pPr>
          </w:p>
          <w:p w:rsidR="00512D5E" w:rsidRPr="0043116C" w:rsidRDefault="00512D5E" w:rsidP="00780BAF">
            <w:pPr>
              <w:rPr>
                <w:color w:val="000000" w:themeColor="text1"/>
              </w:rPr>
            </w:pPr>
          </w:p>
          <w:p w:rsidR="005B5959" w:rsidRPr="0043116C" w:rsidRDefault="00EE3E24" w:rsidP="00512D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s-ES_tradnl"/>
              </w:rPr>
              <w:t>R</w:t>
            </w:r>
            <w:r w:rsidR="00512D5E" w:rsidRPr="0043116C">
              <w:rPr>
                <w:color w:val="000000" w:themeColor="text1"/>
                <w:lang w:val="es-ES_tradnl"/>
              </w:rPr>
              <w:t>enovación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5E" w:rsidRPr="007E751E" w:rsidRDefault="00512D5E" w:rsidP="000548F8">
            <w:pPr>
              <w:rPr>
                <w:color w:val="000000" w:themeColor="text1"/>
                <w:lang w:val="es-ES"/>
              </w:rPr>
            </w:pPr>
          </w:p>
          <w:p w:rsidR="00512D5E" w:rsidRPr="007E751E" w:rsidRDefault="00512D5E" w:rsidP="00512D5E">
            <w:pPr>
              <w:rPr>
                <w:rFonts w:eastAsia="MS Mincho"/>
                <w:color w:val="000000" w:themeColor="text1"/>
                <w:szCs w:val="22"/>
                <w:lang w:val="es-ES" w:eastAsia="ja-JP"/>
              </w:rPr>
            </w:pPr>
            <w:r w:rsidRPr="0043116C">
              <w:rPr>
                <w:rFonts w:eastAsia="MS Mincho"/>
                <w:color w:val="000000" w:themeColor="text1"/>
                <w:szCs w:val="22"/>
                <w:lang w:val="es-ES_tradnl" w:eastAsia="ja-JP"/>
              </w:rPr>
              <w:t>– por cada clase de productos o servicios</w:t>
            </w:r>
          </w:p>
          <w:p w:rsidR="00512D5E" w:rsidRPr="007E751E" w:rsidRDefault="00512D5E" w:rsidP="00780BAF">
            <w:pPr>
              <w:rPr>
                <w:rFonts w:eastAsia="MS Mincho"/>
                <w:color w:val="000000" w:themeColor="text1"/>
                <w:szCs w:val="22"/>
                <w:lang w:val="es-ES" w:eastAsia="ja-JP"/>
              </w:rPr>
            </w:pPr>
          </w:p>
          <w:p w:rsidR="00780BAF" w:rsidRPr="007E751E" w:rsidRDefault="00512D5E" w:rsidP="00512D5E">
            <w:pPr>
              <w:rPr>
                <w:rFonts w:eastAsia="MS Mincho"/>
                <w:i/>
                <w:color w:val="000000" w:themeColor="text1"/>
                <w:szCs w:val="22"/>
                <w:lang w:val="es-ES" w:eastAsia="ja-JP"/>
              </w:rPr>
            </w:pPr>
            <w:r w:rsidRPr="00EE3E24">
              <w:rPr>
                <w:rFonts w:eastAsia="MS Mincho"/>
                <w:i/>
                <w:color w:val="000000" w:themeColor="text1"/>
                <w:szCs w:val="22"/>
                <w:lang w:val="es-ES_tradnl" w:eastAsia="ja-JP"/>
              </w:rPr>
              <w:t>Si se recibe el pago dentro del plazo de gracia: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D5E" w:rsidRPr="007E751E" w:rsidRDefault="00512D5E" w:rsidP="000548F8">
            <w:pPr>
              <w:rPr>
                <w:color w:val="000000" w:themeColor="text1"/>
                <w:lang w:val="es-ES"/>
              </w:rPr>
            </w:pPr>
          </w:p>
          <w:p w:rsidR="005B5959" w:rsidRPr="0043116C" w:rsidRDefault="00B949D9" w:rsidP="000548F8">
            <w:pPr>
              <w:jc w:val="center"/>
              <w:rPr>
                <w:color w:val="000000" w:themeColor="text1"/>
              </w:rPr>
            </w:pPr>
            <w:r w:rsidRPr="0043116C">
              <w:rPr>
                <w:color w:val="000000" w:themeColor="text1"/>
              </w:rPr>
              <w:t>269</w:t>
            </w:r>
          </w:p>
        </w:tc>
      </w:tr>
      <w:tr w:rsidR="0043116C" w:rsidRPr="0043116C" w:rsidTr="000548F8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59" w:rsidRPr="0043116C" w:rsidRDefault="005B5959" w:rsidP="000548F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2D5E" w:rsidRPr="007E751E" w:rsidRDefault="00512D5E" w:rsidP="000548F8">
            <w:pPr>
              <w:rPr>
                <w:color w:val="000000" w:themeColor="text1"/>
                <w:lang w:val="es-ES"/>
              </w:rPr>
            </w:pPr>
          </w:p>
          <w:p w:rsidR="00512D5E" w:rsidRPr="007E751E" w:rsidRDefault="00512D5E" w:rsidP="00512D5E">
            <w:pPr>
              <w:rPr>
                <w:rFonts w:eastAsia="MS Mincho"/>
                <w:color w:val="000000" w:themeColor="text1"/>
                <w:szCs w:val="22"/>
                <w:lang w:val="es-ES" w:eastAsia="ja-JP"/>
              </w:rPr>
            </w:pPr>
            <w:r w:rsidRPr="0043116C">
              <w:rPr>
                <w:rFonts w:eastAsia="MS Mincho"/>
                <w:color w:val="000000" w:themeColor="text1"/>
                <w:szCs w:val="22"/>
                <w:lang w:val="es-ES_tradnl" w:eastAsia="ja-JP"/>
              </w:rPr>
              <w:t>– por cada clase de productos o servicios</w:t>
            </w:r>
          </w:p>
          <w:p w:rsidR="00780BAF" w:rsidRPr="007E751E" w:rsidRDefault="00780BAF" w:rsidP="000548F8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2D5E" w:rsidRPr="007E751E" w:rsidRDefault="00512D5E" w:rsidP="000548F8">
            <w:pPr>
              <w:jc w:val="center"/>
              <w:rPr>
                <w:rFonts w:eastAsia="MS Mincho"/>
                <w:color w:val="000000" w:themeColor="text1"/>
                <w:szCs w:val="22"/>
                <w:lang w:val="es-ES" w:eastAsia="ja-JP"/>
              </w:rPr>
            </w:pPr>
          </w:p>
          <w:p w:rsidR="00512D5E" w:rsidRPr="0043116C" w:rsidRDefault="00B949D9" w:rsidP="000548F8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color w:val="000000" w:themeColor="text1"/>
                <w:szCs w:val="22"/>
                <w:lang w:eastAsia="ja-JP"/>
              </w:rPr>
            </w:pPr>
            <w:r w:rsidRPr="0043116C">
              <w:rPr>
                <w:rFonts w:eastAsia="MS Mincho"/>
                <w:color w:val="000000" w:themeColor="text1"/>
                <w:szCs w:val="22"/>
                <w:lang w:eastAsia="ja-JP"/>
              </w:rPr>
              <w:t>406</w:t>
            </w:r>
          </w:p>
          <w:p w:rsidR="005B5959" w:rsidRPr="0043116C" w:rsidRDefault="005B5959" w:rsidP="000548F8">
            <w:pPr>
              <w:rPr>
                <w:rFonts w:eastAsia="MS Mincho"/>
                <w:color w:val="000000" w:themeColor="text1"/>
                <w:szCs w:val="22"/>
                <w:lang w:eastAsia="ja-JP"/>
              </w:rPr>
            </w:pPr>
          </w:p>
        </w:tc>
      </w:tr>
    </w:tbl>
    <w:p w:rsidR="00512D5E" w:rsidRPr="0043116C" w:rsidRDefault="00512D5E" w:rsidP="00E357DE">
      <w:pPr>
        <w:pStyle w:val="ONUME"/>
        <w:numPr>
          <w:ilvl w:val="0"/>
          <w:numId w:val="0"/>
        </w:numPr>
        <w:rPr>
          <w:color w:val="000000" w:themeColor="text1"/>
        </w:rPr>
      </w:pPr>
    </w:p>
    <w:p w:rsidR="00512D5E" w:rsidRPr="00EE3E24" w:rsidRDefault="00A866A1" w:rsidP="007E751E">
      <w:pPr>
        <w:pStyle w:val="ONUMFS"/>
        <w:rPr>
          <w:lang w:val="es-ES"/>
        </w:rPr>
      </w:pPr>
      <w:r>
        <w:rPr>
          <w:lang w:val="es-ES_tradnl" w:eastAsia="ja-JP"/>
        </w:rPr>
        <w:t xml:space="preserve">La declaración efectuada por </w:t>
      </w:r>
      <w:r w:rsidR="00EE3E24">
        <w:rPr>
          <w:lang w:val="es-ES_tradnl" w:eastAsia="ja-JP"/>
        </w:rPr>
        <w:t>el Brasil sobre</w:t>
      </w:r>
      <w:r w:rsidR="00512D5E" w:rsidRPr="0043116C">
        <w:rPr>
          <w:lang w:val="es-ES_tradnl" w:eastAsia="ja-JP"/>
        </w:rPr>
        <w:t xml:space="preserve"> la tasa individual y la notificación relativa al pago de dicha tasa en dos partes surtirá efecto </w:t>
      </w:r>
      <w:r w:rsidR="002B1DBB">
        <w:rPr>
          <w:lang w:val="es-ES_tradnl" w:eastAsia="ja-JP"/>
        </w:rPr>
        <w:t>a partir d</w:t>
      </w:r>
      <w:r w:rsidR="00512D5E" w:rsidRPr="0043116C">
        <w:rPr>
          <w:lang w:val="es-ES_tradnl" w:eastAsia="ja-JP"/>
        </w:rPr>
        <w:t>el 2 de octubre de 2019.</w:t>
      </w:r>
      <w:r w:rsidR="00EE3E24" w:rsidRPr="00A866A1">
        <w:rPr>
          <w:lang w:val="es-ES" w:eastAsia="ja-JP"/>
        </w:rPr>
        <w:t xml:space="preserve"> </w:t>
      </w:r>
      <w:r w:rsidR="00512D5E" w:rsidRPr="0043116C">
        <w:rPr>
          <w:lang w:val="es-ES_tradnl" w:eastAsia="ja-JP"/>
        </w:rPr>
        <w:t>Por lo ta</w:t>
      </w:r>
      <w:r w:rsidR="003975D2">
        <w:rPr>
          <w:lang w:val="es-ES_tradnl" w:eastAsia="ja-JP"/>
        </w:rPr>
        <w:t>nto, lo</w:t>
      </w:r>
      <w:r w:rsidR="00EE3E24">
        <w:rPr>
          <w:lang w:val="es-ES_tradnl" w:eastAsia="ja-JP"/>
        </w:rPr>
        <w:t xml:space="preserve">s </w:t>
      </w:r>
      <w:r w:rsidR="003975D2">
        <w:rPr>
          <w:lang w:val="es-ES_tradnl" w:eastAsia="ja-JP"/>
        </w:rPr>
        <w:t>importes mencionado</w:t>
      </w:r>
      <w:r w:rsidR="00EE3E24">
        <w:rPr>
          <w:lang w:val="es-ES_tradnl" w:eastAsia="ja-JP"/>
        </w:rPr>
        <w:t>s anteriormente</w:t>
      </w:r>
      <w:r w:rsidR="00512D5E" w:rsidRPr="0043116C">
        <w:rPr>
          <w:lang w:val="es-ES_tradnl" w:eastAsia="ja-JP"/>
        </w:rPr>
        <w:t xml:space="preserve"> se</w:t>
      </w:r>
      <w:r w:rsidR="00686E94">
        <w:rPr>
          <w:lang w:val="es-ES_tradnl" w:eastAsia="ja-JP"/>
        </w:rPr>
        <w:t xml:space="preserve"> abonar</w:t>
      </w:r>
      <w:r w:rsidR="00512D5E" w:rsidRPr="0043116C">
        <w:rPr>
          <w:lang w:val="es-ES_tradnl" w:eastAsia="ja-JP"/>
        </w:rPr>
        <w:t xml:space="preserve">án </w:t>
      </w:r>
      <w:r w:rsidR="00EE3E24">
        <w:rPr>
          <w:lang w:val="es-ES_tradnl" w:eastAsia="ja-JP"/>
        </w:rPr>
        <w:t xml:space="preserve">cuando el </w:t>
      </w:r>
      <w:r w:rsidR="00512D5E" w:rsidRPr="0043116C">
        <w:rPr>
          <w:lang w:val="es-ES_tradnl" w:eastAsia="ja-JP"/>
        </w:rPr>
        <w:t>Brasil</w:t>
      </w:r>
      <w:r w:rsidR="00EE3E24">
        <w:rPr>
          <w:lang w:val="es-ES_tradnl" w:eastAsia="ja-JP"/>
        </w:rPr>
        <w:t>:</w:t>
      </w:r>
    </w:p>
    <w:p w:rsidR="00512D5E" w:rsidRPr="007E751E" w:rsidRDefault="00A866A1" w:rsidP="007E751E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eastAsia="MS Mincho"/>
          <w:color w:val="000000" w:themeColor="text1"/>
          <w:szCs w:val="22"/>
          <w:lang w:val="es-ES" w:eastAsia="ja-JP"/>
        </w:rPr>
      </w:pPr>
      <w:r w:rsidRPr="007E751E">
        <w:rPr>
          <w:rFonts w:eastAsia="MS Mincho"/>
          <w:color w:val="000000" w:themeColor="text1"/>
          <w:szCs w:val="22"/>
          <w:lang w:val="es-ES_tradnl" w:eastAsia="ja-JP"/>
        </w:rPr>
        <w:t xml:space="preserve">sea </w:t>
      </w:r>
      <w:r w:rsidR="00EE3E24" w:rsidRPr="007E751E">
        <w:rPr>
          <w:rFonts w:eastAsia="MS Mincho"/>
          <w:color w:val="000000" w:themeColor="text1"/>
          <w:szCs w:val="22"/>
          <w:lang w:val="es-ES_tradnl" w:eastAsia="ja-JP"/>
        </w:rPr>
        <w:t>designado</w:t>
      </w:r>
      <w:r w:rsidR="00512D5E" w:rsidRPr="007E751E">
        <w:rPr>
          <w:rFonts w:eastAsia="MS Mincho"/>
          <w:color w:val="000000" w:themeColor="text1"/>
          <w:szCs w:val="22"/>
          <w:lang w:val="es-ES_tradnl" w:eastAsia="ja-JP"/>
        </w:rPr>
        <w:t xml:space="preserve"> en una solicitud internacional recibida por la Oficina de origen en esa fecha o posteriormente; o</w:t>
      </w:r>
    </w:p>
    <w:p w:rsidR="00512D5E" w:rsidRPr="00EE3E24" w:rsidRDefault="00512D5E" w:rsidP="00E30AFF">
      <w:pPr>
        <w:autoSpaceDE w:val="0"/>
        <w:autoSpaceDN w:val="0"/>
        <w:adjustRightInd w:val="0"/>
        <w:rPr>
          <w:rFonts w:eastAsia="MS Mincho"/>
          <w:color w:val="000000" w:themeColor="text1"/>
          <w:szCs w:val="22"/>
          <w:lang w:val="es-ES" w:eastAsia="ja-JP"/>
        </w:rPr>
      </w:pPr>
    </w:p>
    <w:p w:rsidR="00512D5E" w:rsidRPr="007E751E" w:rsidRDefault="00512D5E" w:rsidP="007E751E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eastAsia="MS Mincho"/>
          <w:color w:val="000000" w:themeColor="text1"/>
          <w:szCs w:val="22"/>
          <w:lang w:val="es-ES" w:eastAsia="ja-JP"/>
        </w:rPr>
      </w:pPr>
      <w:r w:rsidRPr="007E751E">
        <w:rPr>
          <w:rFonts w:eastAsia="MS Mincho"/>
          <w:color w:val="000000" w:themeColor="text1"/>
          <w:szCs w:val="22"/>
          <w:lang w:val="es-ES_tradnl" w:eastAsia="ja-JP"/>
        </w:rPr>
        <w:t>sea objeto de una designación posterior que haya sido recibida por la Oficina de la Parte Contratante del titular o presentada directamente ante la Oficina Internacional de la OMPI en esa fecha o posteriormente; o</w:t>
      </w:r>
    </w:p>
    <w:p w:rsidR="00512D5E" w:rsidRPr="007E751E" w:rsidRDefault="00512D5E" w:rsidP="00E30AFF">
      <w:pPr>
        <w:autoSpaceDE w:val="0"/>
        <w:autoSpaceDN w:val="0"/>
        <w:adjustRightInd w:val="0"/>
        <w:rPr>
          <w:rFonts w:eastAsia="MS Mincho"/>
          <w:color w:val="000000" w:themeColor="text1"/>
          <w:szCs w:val="22"/>
          <w:lang w:val="es-ES" w:eastAsia="ja-JP"/>
        </w:rPr>
      </w:pPr>
    </w:p>
    <w:p w:rsidR="00512D5E" w:rsidRPr="007E751E" w:rsidRDefault="00512D5E" w:rsidP="007E751E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lang w:val="es-ES" w:eastAsia="ja-JP"/>
        </w:rPr>
      </w:pPr>
      <w:r w:rsidRPr="007E751E">
        <w:rPr>
          <w:color w:val="000000" w:themeColor="text1"/>
          <w:lang w:val="es-ES_tradnl" w:eastAsia="ja-JP"/>
        </w:rPr>
        <w:t>haya sido designad</w:t>
      </w:r>
      <w:r w:rsidR="00E30AFF">
        <w:rPr>
          <w:color w:val="000000" w:themeColor="text1"/>
          <w:lang w:val="es-ES_tradnl" w:eastAsia="ja-JP"/>
        </w:rPr>
        <w:t>o</w:t>
      </w:r>
      <w:r w:rsidRPr="007E751E">
        <w:rPr>
          <w:color w:val="000000" w:themeColor="text1"/>
          <w:lang w:val="es-ES_tradnl" w:eastAsia="ja-JP"/>
        </w:rPr>
        <w:t xml:space="preserve"> en un regis</w:t>
      </w:r>
      <w:r w:rsidR="00EE3E24" w:rsidRPr="007E751E">
        <w:rPr>
          <w:color w:val="000000" w:themeColor="text1"/>
          <w:lang w:val="es-ES_tradnl" w:eastAsia="ja-JP"/>
        </w:rPr>
        <w:t>tro internacional que se renueve en esa fecha o posteriormente</w:t>
      </w:r>
      <w:r w:rsidRPr="007E751E">
        <w:rPr>
          <w:color w:val="000000" w:themeColor="text1"/>
          <w:lang w:val="es-ES_tradnl" w:eastAsia="ja-JP"/>
        </w:rPr>
        <w:t>.</w:t>
      </w:r>
    </w:p>
    <w:p w:rsidR="00512D5E" w:rsidRPr="00EE3E24" w:rsidRDefault="00512D5E" w:rsidP="00E30AFF">
      <w:pPr>
        <w:autoSpaceDE w:val="0"/>
        <w:autoSpaceDN w:val="0"/>
        <w:adjustRightInd w:val="0"/>
        <w:rPr>
          <w:color w:val="000000" w:themeColor="text1"/>
          <w:lang w:val="es-ES" w:eastAsia="ja-JP"/>
        </w:rPr>
      </w:pPr>
    </w:p>
    <w:p w:rsidR="007E751E" w:rsidRDefault="007E751E" w:rsidP="00E30AFF">
      <w:pPr>
        <w:autoSpaceDE w:val="0"/>
        <w:autoSpaceDN w:val="0"/>
        <w:adjustRightInd w:val="0"/>
        <w:rPr>
          <w:color w:val="000000" w:themeColor="text1"/>
          <w:lang w:val="es-ES" w:eastAsia="ja-JP"/>
        </w:rPr>
      </w:pPr>
    </w:p>
    <w:p w:rsidR="007E751E" w:rsidRPr="00EE3E24" w:rsidRDefault="007E751E" w:rsidP="00E30AFF">
      <w:pPr>
        <w:autoSpaceDE w:val="0"/>
        <w:autoSpaceDN w:val="0"/>
        <w:adjustRightInd w:val="0"/>
        <w:rPr>
          <w:color w:val="000000" w:themeColor="text1"/>
          <w:lang w:val="es-ES" w:eastAsia="ja-JP"/>
        </w:rPr>
      </w:pPr>
    </w:p>
    <w:p w:rsidR="00163F61" w:rsidRPr="007E751E" w:rsidRDefault="00686E94" w:rsidP="007E751E">
      <w:pPr>
        <w:pStyle w:val="Endofdocument-Annex"/>
      </w:pPr>
      <w:r>
        <w:rPr>
          <w:lang w:val="es-ES_tradnl"/>
        </w:rPr>
        <w:t>1</w:t>
      </w:r>
      <w:r w:rsidR="00CA71D2">
        <w:rPr>
          <w:lang w:val="es-ES_tradnl"/>
        </w:rPr>
        <w:t>6</w:t>
      </w:r>
      <w:bookmarkStart w:id="1" w:name="_GoBack"/>
      <w:bookmarkEnd w:id="1"/>
      <w:r w:rsidR="00512D5E" w:rsidRPr="0043116C">
        <w:rPr>
          <w:lang w:val="es-ES_tradnl"/>
        </w:rPr>
        <w:t xml:space="preserve"> de agosto de 2019</w:t>
      </w:r>
    </w:p>
    <w:sectPr w:rsidR="00163F61" w:rsidRPr="007E751E" w:rsidSect="00317879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AD" w:rsidRDefault="007D6EAD">
      <w:r>
        <w:separator/>
      </w:r>
    </w:p>
  </w:endnote>
  <w:endnote w:type="continuationSeparator" w:id="0">
    <w:p w:rsidR="007D6EAD" w:rsidRDefault="007D6EAD" w:rsidP="003B38C1">
      <w:r>
        <w:separator/>
      </w:r>
    </w:p>
    <w:p w:rsidR="007D6EAD" w:rsidRPr="003B38C1" w:rsidRDefault="007D6E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6EAD" w:rsidRPr="003B38C1" w:rsidRDefault="007D6E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AD" w:rsidRDefault="007D6EAD">
      <w:r>
        <w:separator/>
      </w:r>
    </w:p>
  </w:footnote>
  <w:footnote w:type="continuationSeparator" w:id="0">
    <w:p w:rsidR="007D6EAD" w:rsidRDefault="007D6EAD" w:rsidP="008B60B2">
      <w:r>
        <w:separator/>
      </w:r>
    </w:p>
    <w:p w:rsidR="007D6EAD" w:rsidRPr="00ED77FB" w:rsidRDefault="007D6E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6EAD" w:rsidRPr="00ED77FB" w:rsidRDefault="007D6E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79" w:rsidRDefault="00EE3E24" w:rsidP="00317879">
    <w:pPr>
      <w:jc w:val="right"/>
    </w:pPr>
    <w:r>
      <w:t>página</w:t>
    </w:r>
    <w:r w:rsidR="00317879">
      <w:t xml:space="preserve"> </w:t>
    </w:r>
    <w:r w:rsidR="00317879">
      <w:fldChar w:fldCharType="begin"/>
    </w:r>
    <w:r w:rsidR="00317879">
      <w:instrText xml:space="preserve"> PAGE  \* MERGEFORMAT </w:instrText>
    </w:r>
    <w:r w:rsidR="00317879">
      <w:fldChar w:fldCharType="separate"/>
    </w:r>
    <w:r w:rsidR="00CA71D2">
      <w:rPr>
        <w:noProof/>
      </w:rPr>
      <w:t>2</w:t>
    </w:r>
    <w:r w:rsidR="00317879">
      <w:fldChar w:fldCharType="end"/>
    </w:r>
  </w:p>
  <w:p w:rsidR="00317879" w:rsidRDefault="00317879" w:rsidP="00317879">
    <w:pPr>
      <w:jc w:val="right"/>
    </w:pPr>
  </w:p>
  <w:p w:rsidR="007E751E" w:rsidRDefault="007E751E" w:rsidP="0031787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Code2"/>
  <w:bookmarkEnd w:id="2"/>
  <w:p w:rsidR="00163F61" w:rsidRDefault="00317879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7879" w:rsidRDefault="00A76869" w:rsidP="00A76869">
                          <w:pPr>
                            <w:jc w:val="center"/>
                          </w:pPr>
                          <w:r w:rsidRPr="00A768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317879" w:rsidRDefault="00A76869" w:rsidP="00A76869">
                    <w:pPr>
                      <w:jc w:val="center"/>
                    </w:pPr>
                    <w:r w:rsidRPr="00A768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3F61" w:rsidRDefault="001E2A93" w:rsidP="00477D6B">
    <w:pPr>
      <w:jc w:val="right"/>
    </w:pPr>
    <w:r w:rsidRPr="00512D5E">
      <w:rPr>
        <w:highlight w:val="cyan"/>
      </w:rPr>
      <w:t>p</w:t>
    </w:r>
    <w:r w:rsidR="00163F61" w:rsidRPr="00512D5E">
      <w:rPr>
        <w:highlight w:val="cyan"/>
      </w:rPr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A866A1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0FED2377"/>
    <w:multiLevelType w:val="hybridMultilevel"/>
    <w:tmpl w:val="8500BA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BC23A50"/>
    <w:multiLevelType w:val="hybridMultilevel"/>
    <w:tmpl w:val="52EA6E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75E962A">
      <w:start w:val="1"/>
      <w:numFmt w:val="lowerLetter"/>
      <w:lvlText w:val="%2)"/>
      <w:lvlJc w:val="left"/>
      <w:pPr>
        <w:ind w:left="0" w:firstLine="56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7A144B"/>
    <w:multiLevelType w:val="hybridMultilevel"/>
    <w:tmpl w:val="FC8E560E"/>
    <w:lvl w:ilvl="0" w:tplc="F738C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"/>
    <w:lvlOverride w:ilvl="0">
      <w:startOverride w:val="5"/>
    </w:lvlOverride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rademarks"/>
    <w:docVar w:name="TextBaseURL" w:val="empty"/>
    <w:docVar w:name="UILng" w:val="en"/>
  </w:docVars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5151"/>
    <w:rsid w:val="000728FF"/>
    <w:rsid w:val="00075432"/>
    <w:rsid w:val="000819E3"/>
    <w:rsid w:val="00091B63"/>
    <w:rsid w:val="00094744"/>
    <w:rsid w:val="000968ED"/>
    <w:rsid w:val="00096C3E"/>
    <w:rsid w:val="000A525D"/>
    <w:rsid w:val="000A7AE8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4550D"/>
    <w:rsid w:val="0015037D"/>
    <w:rsid w:val="00153AE0"/>
    <w:rsid w:val="00155887"/>
    <w:rsid w:val="00163F61"/>
    <w:rsid w:val="00166299"/>
    <w:rsid w:val="00167CBF"/>
    <w:rsid w:val="001744B8"/>
    <w:rsid w:val="001809F6"/>
    <w:rsid w:val="00182AAC"/>
    <w:rsid w:val="00182BF8"/>
    <w:rsid w:val="001832A6"/>
    <w:rsid w:val="0018470B"/>
    <w:rsid w:val="00185E31"/>
    <w:rsid w:val="00186DE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0F6C"/>
    <w:rsid w:val="002024F0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083B"/>
    <w:rsid w:val="002B1332"/>
    <w:rsid w:val="002B1DBB"/>
    <w:rsid w:val="002B4D5C"/>
    <w:rsid w:val="002B6590"/>
    <w:rsid w:val="002C1554"/>
    <w:rsid w:val="002C168C"/>
    <w:rsid w:val="002C38D8"/>
    <w:rsid w:val="002C544F"/>
    <w:rsid w:val="002D1DB5"/>
    <w:rsid w:val="002F016B"/>
    <w:rsid w:val="002F1FE6"/>
    <w:rsid w:val="002F4E68"/>
    <w:rsid w:val="002F589C"/>
    <w:rsid w:val="002F5E7F"/>
    <w:rsid w:val="00310353"/>
    <w:rsid w:val="00312F7F"/>
    <w:rsid w:val="00317670"/>
    <w:rsid w:val="00317879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975D2"/>
    <w:rsid w:val="003A6F89"/>
    <w:rsid w:val="003B38C1"/>
    <w:rsid w:val="003C0F33"/>
    <w:rsid w:val="003C2450"/>
    <w:rsid w:val="003C4FAB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3116C"/>
    <w:rsid w:val="0044190E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B5ACF"/>
    <w:rsid w:val="004C7C7E"/>
    <w:rsid w:val="004E0906"/>
    <w:rsid w:val="004F1257"/>
    <w:rsid w:val="004F5A30"/>
    <w:rsid w:val="005019FF"/>
    <w:rsid w:val="00512D5E"/>
    <w:rsid w:val="005243B1"/>
    <w:rsid w:val="0053057A"/>
    <w:rsid w:val="00533292"/>
    <w:rsid w:val="00535240"/>
    <w:rsid w:val="00546473"/>
    <w:rsid w:val="00546A94"/>
    <w:rsid w:val="005470BE"/>
    <w:rsid w:val="0055549D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B5959"/>
    <w:rsid w:val="005C3A98"/>
    <w:rsid w:val="005C6649"/>
    <w:rsid w:val="005C720D"/>
    <w:rsid w:val="005F2F3B"/>
    <w:rsid w:val="00605665"/>
    <w:rsid w:val="00605827"/>
    <w:rsid w:val="00606897"/>
    <w:rsid w:val="00613E9E"/>
    <w:rsid w:val="00623F42"/>
    <w:rsid w:val="0062443B"/>
    <w:rsid w:val="00633065"/>
    <w:rsid w:val="00635BD2"/>
    <w:rsid w:val="006441AE"/>
    <w:rsid w:val="00644AA2"/>
    <w:rsid w:val="00646050"/>
    <w:rsid w:val="00647B0C"/>
    <w:rsid w:val="00650398"/>
    <w:rsid w:val="0065095D"/>
    <w:rsid w:val="00654AE9"/>
    <w:rsid w:val="00662243"/>
    <w:rsid w:val="006648C3"/>
    <w:rsid w:val="006659A7"/>
    <w:rsid w:val="00665B2A"/>
    <w:rsid w:val="006713CA"/>
    <w:rsid w:val="00674ABA"/>
    <w:rsid w:val="00676C5C"/>
    <w:rsid w:val="006829B7"/>
    <w:rsid w:val="00684699"/>
    <w:rsid w:val="00686E94"/>
    <w:rsid w:val="00687B7E"/>
    <w:rsid w:val="0069148B"/>
    <w:rsid w:val="006A27A6"/>
    <w:rsid w:val="006D1756"/>
    <w:rsid w:val="006D3B03"/>
    <w:rsid w:val="006D5212"/>
    <w:rsid w:val="006D529E"/>
    <w:rsid w:val="006E2646"/>
    <w:rsid w:val="006E454A"/>
    <w:rsid w:val="006F073B"/>
    <w:rsid w:val="006F33FF"/>
    <w:rsid w:val="007146EE"/>
    <w:rsid w:val="007227A5"/>
    <w:rsid w:val="00726526"/>
    <w:rsid w:val="007303D8"/>
    <w:rsid w:val="00732653"/>
    <w:rsid w:val="007518A5"/>
    <w:rsid w:val="00755ED6"/>
    <w:rsid w:val="00767C4D"/>
    <w:rsid w:val="007721AA"/>
    <w:rsid w:val="00773CE3"/>
    <w:rsid w:val="00775EBD"/>
    <w:rsid w:val="007760BE"/>
    <w:rsid w:val="00780BAF"/>
    <w:rsid w:val="00781BFF"/>
    <w:rsid w:val="00782581"/>
    <w:rsid w:val="00790A94"/>
    <w:rsid w:val="007A0427"/>
    <w:rsid w:val="007A0D38"/>
    <w:rsid w:val="007A1B85"/>
    <w:rsid w:val="007A535D"/>
    <w:rsid w:val="007B1542"/>
    <w:rsid w:val="007B4E80"/>
    <w:rsid w:val="007B7F73"/>
    <w:rsid w:val="007C3E9B"/>
    <w:rsid w:val="007C7867"/>
    <w:rsid w:val="007D1613"/>
    <w:rsid w:val="007D1ACD"/>
    <w:rsid w:val="007D250A"/>
    <w:rsid w:val="007D6EAD"/>
    <w:rsid w:val="007E5906"/>
    <w:rsid w:val="007E751E"/>
    <w:rsid w:val="007F4D09"/>
    <w:rsid w:val="007F62D1"/>
    <w:rsid w:val="00804EC4"/>
    <w:rsid w:val="0080575D"/>
    <w:rsid w:val="00807E97"/>
    <w:rsid w:val="00817BE2"/>
    <w:rsid w:val="0082386D"/>
    <w:rsid w:val="008342EE"/>
    <w:rsid w:val="00836B65"/>
    <w:rsid w:val="008417F9"/>
    <w:rsid w:val="008429AA"/>
    <w:rsid w:val="00853FA8"/>
    <w:rsid w:val="00854071"/>
    <w:rsid w:val="00870C43"/>
    <w:rsid w:val="00871B8A"/>
    <w:rsid w:val="00874D58"/>
    <w:rsid w:val="008769B5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4399"/>
    <w:rsid w:val="008E237E"/>
    <w:rsid w:val="008E25A7"/>
    <w:rsid w:val="008F1F70"/>
    <w:rsid w:val="008F6741"/>
    <w:rsid w:val="0090731E"/>
    <w:rsid w:val="009073C6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76869"/>
    <w:rsid w:val="00A866A1"/>
    <w:rsid w:val="00A869B7"/>
    <w:rsid w:val="00A94E39"/>
    <w:rsid w:val="00AA1EEF"/>
    <w:rsid w:val="00AB61EE"/>
    <w:rsid w:val="00AC205C"/>
    <w:rsid w:val="00AC76CA"/>
    <w:rsid w:val="00AD38EE"/>
    <w:rsid w:val="00AE22A4"/>
    <w:rsid w:val="00AF0A6B"/>
    <w:rsid w:val="00AF510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E31"/>
    <w:rsid w:val="00B46D7E"/>
    <w:rsid w:val="00B527BA"/>
    <w:rsid w:val="00B54D7D"/>
    <w:rsid w:val="00B71605"/>
    <w:rsid w:val="00B73A4C"/>
    <w:rsid w:val="00B83157"/>
    <w:rsid w:val="00B83ABD"/>
    <w:rsid w:val="00B8432D"/>
    <w:rsid w:val="00B85937"/>
    <w:rsid w:val="00B86782"/>
    <w:rsid w:val="00B949D9"/>
    <w:rsid w:val="00B9734B"/>
    <w:rsid w:val="00B97A85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1BFE"/>
    <w:rsid w:val="00C146FC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5EC7"/>
    <w:rsid w:val="00C977DB"/>
    <w:rsid w:val="00CA280B"/>
    <w:rsid w:val="00CA4166"/>
    <w:rsid w:val="00CA71D2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0AF2"/>
    <w:rsid w:val="00D11A44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3FE5"/>
    <w:rsid w:val="00D56250"/>
    <w:rsid w:val="00D5674D"/>
    <w:rsid w:val="00D57075"/>
    <w:rsid w:val="00D57F87"/>
    <w:rsid w:val="00D57F90"/>
    <w:rsid w:val="00D67B93"/>
    <w:rsid w:val="00D71B4D"/>
    <w:rsid w:val="00D72E57"/>
    <w:rsid w:val="00D76F38"/>
    <w:rsid w:val="00D826FA"/>
    <w:rsid w:val="00D865D9"/>
    <w:rsid w:val="00D90EE5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E125BE"/>
    <w:rsid w:val="00E213EE"/>
    <w:rsid w:val="00E30AFF"/>
    <w:rsid w:val="00E335FE"/>
    <w:rsid w:val="00E357DE"/>
    <w:rsid w:val="00E368D0"/>
    <w:rsid w:val="00E42B9A"/>
    <w:rsid w:val="00E52C2C"/>
    <w:rsid w:val="00E532DC"/>
    <w:rsid w:val="00E66C2C"/>
    <w:rsid w:val="00E76541"/>
    <w:rsid w:val="00E82492"/>
    <w:rsid w:val="00E87B0D"/>
    <w:rsid w:val="00EA572E"/>
    <w:rsid w:val="00EB2416"/>
    <w:rsid w:val="00EB50E5"/>
    <w:rsid w:val="00EC23FC"/>
    <w:rsid w:val="00EC4E49"/>
    <w:rsid w:val="00ED4C4F"/>
    <w:rsid w:val="00ED77FB"/>
    <w:rsid w:val="00EE3E24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3F0A"/>
    <w:rsid w:val="00F75514"/>
    <w:rsid w:val="00F7721F"/>
    <w:rsid w:val="00F80533"/>
    <w:rsid w:val="00F820C6"/>
    <w:rsid w:val="00F8475A"/>
    <w:rsid w:val="00F977D3"/>
    <w:rsid w:val="00FA2663"/>
    <w:rsid w:val="00FB3AF4"/>
    <w:rsid w:val="00FC379F"/>
    <w:rsid w:val="00FC3D36"/>
    <w:rsid w:val="00FC4A98"/>
    <w:rsid w:val="00FC4BAD"/>
    <w:rsid w:val="00FC4C8A"/>
    <w:rsid w:val="00FD0590"/>
    <w:rsid w:val="00FD69F1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1CEAF4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650</Words>
  <Characters>3316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12</cp:revision>
  <cp:lastPrinted>2019-08-06T15:16:00Z</cp:lastPrinted>
  <dcterms:created xsi:type="dcterms:W3CDTF">2019-08-06T14:29:00Z</dcterms:created>
  <dcterms:modified xsi:type="dcterms:W3CDTF">2019-08-16T07:29:00Z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07f334b5-25c6-42af-bb24-eeed7506f2b7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