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C03E5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</w:t>
      </w:r>
    </w:p>
    <w:bookmarkEnd w:id="3"/>
    <w:p w:rsidR="003F7284" w:rsidRPr="00C03E5A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C03E5A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C03E5A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C03E5A">
        <w:rPr>
          <w:rFonts w:hint="cs"/>
          <w:b/>
          <w:bCs/>
          <w:sz w:val="30"/>
          <w:szCs w:val="30"/>
          <w:rtl/>
        </w:rPr>
        <w:t>20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C03E5A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تقرير فرقة العمل المعنية بالتحول الرقمي عن المهمة رقم 62</w:t>
      </w:r>
    </w:p>
    <w:p w:rsidR="003F7284" w:rsidRPr="00BB6440" w:rsidRDefault="00C03E5A" w:rsidP="00874721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الهيئة المشرفة على فرقة العمل المعنية بالتحول الرقمي</w:t>
      </w:r>
    </w:p>
    <w:p w:rsidR="00E3612C" w:rsidRPr="00FD6D15" w:rsidRDefault="00C03E5A" w:rsidP="00C03E5A">
      <w:pPr>
        <w:pStyle w:val="Heading3"/>
        <w:rPr>
          <w:rtl/>
        </w:rPr>
      </w:pPr>
      <w:r>
        <w:rPr>
          <w:rFonts w:hint="cs"/>
          <w:rtl/>
        </w:rPr>
        <w:t>المقدمة</w:t>
      </w:r>
    </w:p>
    <w:p w:rsidR="00C41AE0" w:rsidRDefault="00C03E5A" w:rsidP="00C03E5A">
      <w:pPr>
        <w:pStyle w:val="ONUMA"/>
      </w:pPr>
      <w:r>
        <w:rPr>
          <w:rFonts w:hint="cs"/>
          <w:rtl/>
        </w:rPr>
        <w:t xml:space="preserve">وافقت اللجنة المعنية بمعايير الويبو (لجنة المعايير) في دورتها السادسة على الوصف الجديد للمهمة رقم 62 الذي ينص على </w:t>
      </w:r>
      <w:r>
        <w:rPr>
          <w:rFonts w:hint="eastAsia"/>
          <w:rtl/>
        </w:rPr>
        <w:t>"</w:t>
      </w:r>
      <w:r w:rsidRPr="00C03E5A">
        <w:rPr>
          <w:rtl/>
        </w:rPr>
        <w:t xml:space="preserve">استعراض معايير الويبو </w:t>
      </w:r>
      <w:r w:rsidRPr="00C03E5A">
        <w:t>ST.6</w:t>
      </w:r>
      <w:r w:rsidRPr="00C03E5A">
        <w:rPr>
          <w:rtl/>
        </w:rPr>
        <w:t xml:space="preserve"> و</w:t>
      </w:r>
      <w:r w:rsidRPr="00C03E5A">
        <w:t>ST.8</w:t>
      </w:r>
      <w:r w:rsidRPr="00C03E5A">
        <w:rPr>
          <w:rtl/>
        </w:rPr>
        <w:t xml:space="preserve"> و</w:t>
      </w:r>
      <w:r w:rsidRPr="00C03E5A">
        <w:t>ST.10</w:t>
      </w:r>
      <w:r w:rsidRPr="00C03E5A">
        <w:rPr>
          <w:rtl/>
        </w:rPr>
        <w:t xml:space="preserve"> و</w:t>
      </w:r>
      <w:r w:rsidRPr="00C03E5A">
        <w:t>ST.11</w:t>
      </w:r>
      <w:r w:rsidRPr="00C03E5A">
        <w:rPr>
          <w:rtl/>
        </w:rPr>
        <w:t xml:space="preserve"> و</w:t>
      </w:r>
      <w:r w:rsidRPr="00C03E5A">
        <w:t>ST.15</w:t>
      </w:r>
      <w:r w:rsidRPr="00C03E5A">
        <w:rPr>
          <w:rtl/>
        </w:rPr>
        <w:t xml:space="preserve"> و</w:t>
      </w:r>
      <w:r w:rsidRPr="00C03E5A">
        <w:t>ST.17</w:t>
      </w:r>
      <w:r w:rsidRPr="00C03E5A">
        <w:rPr>
          <w:rtl/>
        </w:rPr>
        <w:t xml:space="preserve"> و</w:t>
      </w:r>
      <w:r w:rsidRPr="00C03E5A">
        <w:t>ST.18</w:t>
      </w:r>
      <w:r w:rsidRPr="00C03E5A">
        <w:rPr>
          <w:rtl/>
        </w:rPr>
        <w:t xml:space="preserve"> و</w:t>
      </w:r>
      <w:r w:rsidRPr="00C03E5A">
        <w:t>ST.63</w:t>
      </w:r>
      <w:r w:rsidRPr="00C03E5A">
        <w:rPr>
          <w:rtl/>
        </w:rPr>
        <w:t xml:space="preserve"> و</w:t>
      </w:r>
      <w:r w:rsidRPr="00C03E5A">
        <w:t>ST.81</w:t>
      </w:r>
      <w:r w:rsidRPr="00C03E5A">
        <w:rPr>
          <w:rtl/>
        </w:rPr>
        <w:t xml:space="preserve"> لأغراض النشر ال</w:t>
      </w:r>
      <w:r w:rsidR="00DD3879">
        <w:rPr>
          <w:rtl/>
        </w:rPr>
        <w:t>إلكتروني لوثائق الملكية الفكرية</w:t>
      </w:r>
      <w:r w:rsidR="00DD3879">
        <w:rPr>
          <w:rFonts w:hint="cs"/>
          <w:rtl/>
        </w:rPr>
        <w:t>؛</w:t>
      </w:r>
      <w:r w:rsidRPr="00C03E5A">
        <w:rPr>
          <w:rtl/>
        </w:rPr>
        <w:t xml:space="preserve"> واقتراح تعديلات على تلك المعايير عند الاقتضاء</w:t>
      </w:r>
      <w:r>
        <w:rPr>
          <w:rFonts w:hint="eastAsia"/>
          <w:rtl/>
        </w:rPr>
        <w:t>"</w:t>
      </w:r>
      <w:r>
        <w:rPr>
          <w:rFonts w:hint="cs"/>
          <w:rtl/>
        </w:rPr>
        <w:t xml:space="preserve">. (انظر الفقرات من 143 إلى 151 في الوثيقة </w:t>
      </w:r>
      <w:r>
        <w:t>CWS/6/34</w:t>
      </w:r>
      <w:r>
        <w:rPr>
          <w:rFonts w:hint="cs"/>
          <w:rtl/>
        </w:rPr>
        <w:t xml:space="preserve">). </w:t>
      </w:r>
      <w:r w:rsidRPr="00C03E5A">
        <w:rPr>
          <w:rtl/>
        </w:rPr>
        <w:t xml:space="preserve">وأنشأت لجنة المعايير فرقة عمل للقيام بهذه المهمة باسم "فرقة العمل المعنية بالتحول الرقمي"، وعيَّنت </w:t>
      </w:r>
      <w:r>
        <w:rPr>
          <w:rFonts w:hint="cs"/>
          <w:rtl/>
        </w:rPr>
        <w:t>مكتب</w:t>
      </w:r>
      <w:r w:rsidRPr="00C03E5A">
        <w:rPr>
          <w:rtl/>
        </w:rPr>
        <w:t xml:space="preserve"> الولايات المتحدة الأمريكية</w:t>
      </w:r>
      <w:r>
        <w:rPr>
          <w:rFonts w:hint="cs"/>
          <w:rtl/>
        </w:rPr>
        <w:t xml:space="preserve"> للبراءات والعلامات التجارية</w:t>
      </w:r>
      <w:r w:rsidRPr="00C03E5A">
        <w:rPr>
          <w:rtl/>
        </w:rPr>
        <w:t xml:space="preserve"> مشرفاً عليها.</w:t>
      </w:r>
    </w:p>
    <w:p w:rsidR="00C03E5A" w:rsidRPr="00ED7555" w:rsidRDefault="00C03E5A" w:rsidP="00C03E5A">
      <w:pPr>
        <w:pStyle w:val="ONUMA"/>
        <w:rPr>
          <w:rtl/>
        </w:rPr>
      </w:pPr>
      <w:r>
        <w:rPr>
          <w:rFonts w:hint="cs"/>
          <w:rtl/>
        </w:rPr>
        <w:t xml:space="preserve">وفي نوفمبر 2018، أصدر المكتب الدولي التعميم </w:t>
      </w:r>
      <w:r>
        <w:t>C.CWS.108</w:t>
      </w:r>
      <w:r>
        <w:rPr>
          <w:rFonts w:hint="cs"/>
          <w:rtl/>
          <w:lang w:val="fr-CH" w:bidi="ar-SY"/>
        </w:rPr>
        <w:t xml:space="preserve"> الذي طلب من خلاله تقديم ترشيحات للمشاركة في فرقة العمل المعنية بالتحول الرقمي. وتطوع ممثلون من 13 مكتباً للملكية الفكرية للانضمام إلى فرقة العمل.</w:t>
      </w:r>
    </w:p>
    <w:p w:rsidR="000D7E81" w:rsidRPr="000D7E81" w:rsidRDefault="00C03E5A" w:rsidP="00C03E5A">
      <w:pPr>
        <w:pStyle w:val="Heading3"/>
        <w:rPr>
          <w:rtl/>
        </w:rPr>
      </w:pPr>
      <w:r>
        <w:rPr>
          <w:rFonts w:hint="cs"/>
          <w:rtl/>
        </w:rPr>
        <w:t>التقرير المرحلي</w:t>
      </w:r>
    </w:p>
    <w:p w:rsidR="00FD6D15" w:rsidRDefault="00C03E5A" w:rsidP="00DD3879">
      <w:pPr>
        <w:pStyle w:val="ONUMA"/>
      </w:pPr>
      <w:r>
        <w:rPr>
          <w:rFonts w:hint="cs"/>
          <w:rtl/>
        </w:rPr>
        <w:t xml:space="preserve">أعد المكتب المشرف على فرقة العمل مشروع خطة عمل بالتشاور مع المكتب الدولي وعممه </w:t>
      </w:r>
      <w:r w:rsidR="00DD387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CA0C06">
        <w:rPr>
          <w:rFonts w:hint="cs"/>
          <w:rtl/>
        </w:rPr>
        <w:t xml:space="preserve">فرقة العمل لتقدم تعليقاتها بشأنه. والهدف من خطة العمل </w:t>
      </w:r>
      <w:r w:rsidR="00DD3879">
        <w:rPr>
          <w:rFonts w:hint="cs"/>
          <w:rtl/>
        </w:rPr>
        <w:t>كالآتي</w:t>
      </w:r>
      <w:r w:rsidR="00CA0C06">
        <w:rPr>
          <w:rFonts w:hint="cs"/>
          <w:rtl/>
        </w:rPr>
        <w:t>:</w:t>
      </w:r>
    </w:p>
    <w:p w:rsidR="00CA0C06" w:rsidRDefault="00CA0C06" w:rsidP="00CA0C06">
      <w:pPr>
        <w:pStyle w:val="BodyTextFirstIndent"/>
        <w:rPr>
          <w:rtl/>
        </w:rPr>
      </w:pPr>
      <w:r>
        <w:rPr>
          <w:rFonts w:hint="cs"/>
          <w:rtl/>
        </w:rPr>
        <w:lastRenderedPageBreak/>
        <w:t>تحديث معايير وممارسات الويبو الحالية فيما يتعلق بنشر المعلومات ذات الصلة بحقوق الملكية الفكرية في البيئة الرقمية. ولتحقيق الهدف ستضطلع فرقة العمل بما يلي:</w:t>
      </w:r>
    </w:p>
    <w:p w:rsidR="00CA0C06" w:rsidRDefault="00CA0C06" w:rsidP="00CA0C06">
      <w:pPr>
        <w:pStyle w:val="BodyTextFirstIndent"/>
        <w:numPr>
          <w:ilvl w:val="0"/>
          <w:numId w:val="45"/>
        </w:numPr>
      </w:pPr>
      <w:r>
        <w:rPr>
          <w:rFonts w:hint="cs"/>
          <w:rtl/>
        </w:rPr>
        <w:t xml:space="preserve">استعراض معايير الويبو </w:t>
      </w:r>
      <w:r w:rsidR="00DD3879">
        <w:rPr>
          <w:rFonts w:hint="cs"/>
          <w:rtl/>
        </w:rPr>
        <w:t>في ضوء النشر الإ</w:t>
      </w:r>
      <w:r>
        <w:rPr>
          <w:rFonts w:hint="cs"/>
          <w:rtl/>
        </w:rPr>
        <w:t>لكتروني لوثائق الملكية الفكرية؛</w:t>
      </w:r>
    </w:p>
    <w:p w:rsidR="00CA0C06" w:rsidRDefault="00CA0C06" w:rsidP="00CA0C06">
      <w:pPr>
        <w:pStyle w:val="BodyTextFirstIndent"/>
        <w:numPr>
          <w:ilvl w:val="0"/>
          <w:numId w:val="45"/>
        </w:numPr>
      </w:pPr>
      <w:r>
        <w:rPr>
          <w:rFonts w:hint="cs"/>
          <w:rtl/>
        </w:rPr>
        <w:t>استعراض ممارسات النشر لتحسين التعميم الرقمي للمعلومات؛</w:t>
      </w:r>
    </w:p>
    <w:p w:rsidR="00CA0C06" w:rsidRPr="00C41AE0" w:rsidRDefault="00CA0C06" w:rsidP="00DD3879">
      <w:pPr>
        <w:pStyle w:val="BodyTextFirstIndent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 xml:space="preserve">اقتراح </w:t>
      </w:r>
      <w:r w:rsidR="00DD3879">
        <w:rPr>
          <w:rFonts w:hint="cs"/>
          <w:rtl/>
        </w:rPr>
        <w:t>تعديلات ل</w:t>
      </w:r>
      <w:r>
        <w:rPr>
          <w:rFonts w:hint="cs"/>
          <w:rtl/>
        </w:rPr>
        <w:t>إدخال</w:t>
      </w:r>
      <w:r w:rsidR="00DD3879">
        <w:rPr>
          <w:rFonts w:hint="cs"/>
          <w:rtl/>
        </w:rPr>
        <w:t>ها</w:t>
      </w:r>
      <w:r>
        <w:rPr>
          <w:rFonts w:hint="cs"/>
          <w:rtl/>
        </w:rPr>
        <w:t xml:space="preserve"> على تلك المعايير إذ لزم الأمر.</w:t>
      </w:r>
    </w:p>
    <w:p w:rsidR="00C50A61" w:rsidRDefault="00CA0C06" w:rsidP="00CA0C06">
      <w:pPr>
        <w:pStyle w:val="ONUMA"/>
      </w:pPr>
      <w:bookmarkStart w:id="13" w:name="ExtraPara"/>
      <w:bookmarkEnd w:id="13"/>
      <w:r>
        <w:rPr>
          <w:rFonts w:hint="cs"/>
          <w:rtl/>
        </w:rPr>
        <w:t>وتتضمن خطة العمل الخطوات التالية:</w:t>
      </w:r>
    </w:p>
    <w:p w:rsidR="00CA0C06" w:rsidRDefault="00CA0C06" w:rsidP="00CA0C06">
      <w:pPr>
        <w:pStyle w:val="ONUMA"/>
        <w:numPr>
          <w:ilvl w:val="0"/>
          <w:numId w:val="45"/>
        </w:numPr>
      </w:pPr>
      <w:r>
        <w:rPr>
          <w:rFonts w:hint="cs"/>
          <w:rtl/>
        </w:rPr>
        <w:t>تبادل مكاتب الملكية الفكرية الممارسات القائمة بشأن النشر الإلكتروني؛</w:t>
      </w:r>
    </w:p>
    <w:p w:rsidR="00CA0C06" w:rsidRDefault="00CA0C06" w:rsidP="00CA0C06">
      <w:pPr>
        <w:pStyle w:val="ONUMA"/>
        <w:numPr>
          <w:ilvl w:val="0"/>
          <w:numId w:val="45"/>
        </w:numPr>
      </w:pPr>
      <w:r>
        <w:rPr>
          <w:rFonts w:hint="cs"/>
          <w:rtl/>
        </w:rPr>
        <w:t>مناقشة التحديات القائمة التي تواجهها العمليات الحالية؛</w:t>
      </w:r>
    </w:p>
    <w:p w:rsidR="00CA0C06" w:rsidRDefault="00CA0C06" w:rsidP="00CA0C06">
      <w:pPr>
        <w:pStyle w:val="ONUMA"/>
        <w:numPr>
          <w:ilvl w:val="0"/>
          <w:numId w:val="45"/>
        </w:numPr>
      </w:pPr>
      <w:r>
        <w:rPr>
          <w:rFonts w:hint="cs"/>
          <w:rtl/>
        </w:rPr>
        <w:t>تبادل الخطط المستقبلية للنشر الإلكتروني ومناقشتها؛</w:t>
      </w:r>
    </w:p>
    <w:p w:rsidR="00CA0C06" w:rsidRDefault="00CA0C06" w:rsidP="00CA0C06">
      <w:pPr>
        <w:pStyle w:val="ONUMA"/>
        <w:numPr>
          <w:ilvl w:val="0"/>
          <w:numId w:val="45"/>
        </w:numPr>
      </w:pPr>
      <w:r>
        <w:rPr>
          <w:rFonts w:hint="cs"/>
          <w:rtl/>
        </w:rPr>
        <w:t>الاتفاق على تعر</w:t>
      </w:r>
      <w:r w:rsidR="00D50815">
        <w:rPr>
          <w:rFonts w:hint="cs"/>
          <w:rtl/>
        </w:rPr>
        <w:t>ي</w:t>
      </w:r>
      <w:r>
        <w:rPr>
          <w:rFonts w:hint="cs"/>
          <w:rtl/>
        </w:rPr>
        <w:t>ف المنشورات الإلكترونية ومعاييرها؛</w:t>
      </w:r>
    </w:p>
    <w:p w:rsidR="00CA0C06" w:rsidRPr="00EB1234" w:rsidRDefault="00EB1234" w:rsidP="00DD3879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مناقشة أنواع الملفات: الصور، </w:t>
      </w:r>
      <w:r w:rsidR="00DD3879">
        <w:rPr>
          <w:rFonts w:hint="cs"/>
          <w:rtl/>
          <w:lang w:val="fr-CH" w:bidi="ar-SY"/>
        </w:rPr>
        <w:t>والبيانات المرجعية</w:t>
      </w:r>
      <w:r>
        <w:rPr>
          <w:rFonts w:hint="cs"/>
          <w:rtl/>
          <w:lang w:val="fr-CH" w:bidi="ar-SY"/>
        </w:rPr>
        <w:t>، ونص البيانات الكامل؛</w:t>
      </w:r>
    </w:p>
    <w:p w:rsidR="00EB1234" w:rsidRDefault="00EB1234" w:rsidP="00EB1234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الاتفاق على </w:t>
      </w:r>
      <w:r>
        <w:rPr>
          <w:rFonts w:hint="cs"/>
          <w:rtl/>
          <w:lang w:bidi="ar-SY"/>
        </w:rPr>
        <w:t>شروط</w:t>
      </w:r>
      <w:r>
        <w:rPr>
          <w:rFonts w:hint="cs"/>
          <w:rtl/>
        </w:rPr>
        <w:t xml:space="preserve"> استعراض المعايير؛</w:t>
      </w:r>
    </w:p>
    <w:p w:rsidR="00EB1234" w:rsidRDefault="00EB1234" w:rsidP="00D50815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إيلاء الأولوية </w:t>
      </w:r>
      <w:r w:rsidR="00D50815">
        <w:rPr>
          <w:rFonts w:hint="cs"/>
          <w:rtl/>
        </w:rPr>
        <w:t>لبند</w:t>
      </w:r>
      <w:r>
        <w:rPr>
          <w:rFonts w:hint="cs"/>
          <w:rtl/>
        </w:rPr>
        <w:t xml:space="preserve"> استعراض المعايير ضمن وصف المهمة؛</w:t>
      </w:r>
    </w:p>
    <w:p w:rsidR="00EB1234" w:rsidRDefault="00EB1234" w:rsidP="00EB1234">
      <w:pPr>
        <w:pStyle w:val="ONUMA"/>
        <w:numPr>
          <w:ilvl w:val="0"/>
          <w:numId w:val="45"/>
        </w:numPr>
      </w:pPr>
      <w:r>
        <w:rPr>
          <w:rFonts w:hint="cs"/>
          <w:rtl/>
        </w:rPr>
        <w:t>مباشرة استعراض المعايير القائمة واقتراح تحديثات عند الاقتضاء.</w:t>
      </w:r>
    </w:p>
    <w:p w:rsidR="00EB1234" w:rsidRDefault="00EB1234" w:rsidP="00CB423A">
      <w:pPr>
        <w:pStyle w:val="ONUMA"/>
      </w:pPr>
      <w:r>
        <w:rPr>
          <w:rFonts w:hint="cs"/>
          <w:rtl/>
        </w:rPr>
        <w:t xml:space="preserve">ومن المخطط أن تجري مناقشات إضافية بشأن صفحة ويكي </w:t>
      </w:r>
      <w:r w:rsidR="00CB423A">
        <w:rPr>
          <w:rFonts w:hint="cs"/>
          <w:rtl/>
        </w:rPr>
        <w:t xml:space="preserve">التابعة لفرقة العمل في الفترة ما بين </w:t>
      </w:r>
      <w:r w:rsidR="00DD3879">
        <w:rPr>
          <w:rFonts w:hint="cs"/>
          <w:rtl/>
        </w:rPr>
        <w:t xml:space="preserve">تاريخ </w:t>
      </w:r>
      <w:r w:rsidR="00CB423A">
        <w:rPr>
          <w:rFonts w:hint="cs"/>
          <w:rtl/>
        </w:rPr>
        <w:t>نشر هذه الوثيقة وانعقاد الدورة السابعة للجنة المعايير. وسيقدم المكتب المشرف على فرقة العمل معلومات إضافية عن التقدم المحرز عند التقرير حول هذه المهمة.</w:t>
      </w:r>
    </w:p>
    <w:p w:rsidR="00CB423A" w:rsidRDefault="00CB423A" w:rsidP="00CB423A">
      <w:pPr>
        <w:pStyle w:val="Heading3"/>
        <w:rPr>
          <w:rtl/>
        </w:rPr>
      </w:pPr>
      <w:r>
        <w:rPr>
          <w:rFonts w:hint="cs"/>
          <w:rtl/>
        </w:rPr>
        <w:t>خطة العمل</w:t>
      </w:r>
    </w:p>
    <w:p w:rsidR="00CB423A" w:rsidRDefault="00CB423A" w:rsidP="00CB423A">
      <w:pPr>
        <w:pStyle w:val="ONUMA"/>
      </w:pPr>
      <w:r>
        <w:rPr>
          <w:rFonts w:hint="cs"/>
          <w:rtl/>
        </w:rPr>
        <w:t xml:space="preserve">يرد أدناه </w:t>
      </w:r>
      <w:r w:rsidRPr="00CB423A">
        <w:rPr>
          <w:rtl/>
        </w:rPr>
        <w:t>الجدول الزمني لخطة العمل المقترحة للفترة 2019-2020:</w:t>
      </w:r>
    </w:p>
    <w:tbl>
      <w:tblPr>
        <w:bidiVisual/>
        <w:tblW w:w="90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321"/>
        <w:gridCol w:w="2239"/>
      </w:tblGrid>
      <w:tr w:rsidR="00CB423A" w:rsidRPr="00CB423A" w:rsidTr="00CB423A">
        <w:tc>
          <w:tcPr>
            <w:tcW w:w="1522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CB423A" w:rsidRDefault="00CB423A" w:rsidP="00C31826"/>
        </w:tc>
        <w:tc>
          <w:tcPr>
            <w:tcW w:w="5321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CB423A" w:rsidRDefault="00CB423A" w:rsidP="00C31826">
            <w:r w:rsidRPr="00CB423A">
              <w:rPr>
                <w:rFonts w:hint="cs"/>
                <w:b/>
                <w:bCs/>
                <w:rtl/>
              </w:rPr>
              <w:t>بنود العمل</w:t>
            </w:r>
          </w:p>
        </w:tc>
        <w:tc>
          <w:tcPr>
            <w:tcW w:w="2239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CB423A" w:rsidRDefault="00CB423A" w:rsidP="00C31826">
            <w:r w:rsidRPr="00CB423A">
              <w:rPr>
                <w:rFonts w:hint="cs"/>
                <w:b/>
                <w:bCs/>
                <w:rtl/>
              </w:rPr>
              <w:t>جدول زمني مؤقت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CB423A" w:rsidRDefault="00CB423A" w:rsidP="00C31826">
            <w:r>
              <w:rPr>
                <w:rFonts w:hint="cs"/>
                <w:rtl/>
              </w:rPr>
              <w:t>الجولة 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D50815" w:rsidRDefault="00D50815" w:rsidP="00C31826">
            <w:r w:rsidRPr="00D50815">
              <w:rPr>
                <w:rStyle w:val="BodyTextChar"/>
                <w:rFonts w:hint="cs"/>
                <w:rtl/>
              </w:rPr>
              <w:t>تبادل مكاتب الملكية الفكرية الممارسات القائمة بشأن النشر الإلكتروني ومناقشة التحديات القائمة التي تواجهها العمليات الحالية</w:t>
            </w:r>
            <w:r>
              <w:rPr>
                <w:rStyle w:val="BodyTextChar"/>
                <w:rFonts w:hint="cs"/>
                <w:rtl/>
              </w:rPr>
              <w:t>.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3A" w:rsidRPr="00CB423A" w:rsidRDefault="00CB423A" w:rsidP="00C31826">
            <w:r>
              <w:rPr>
                <w:rFonts w:hint="cs"/>
                <w:rtl/>
              </w:rPr>
              <w:t>8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الجولة 2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D50815" w:rsidRDefault="00D50815" w:rsidP="00C31826">
            <w:pPr>
              <w:rPr>
                <w:rFonts w:eastAsia="SimSun"/>
                <w:lang w:eastAsia="zh-CN"/>
              </w:rPr>
            </w:pPr>
            <w:r>
              <w:rPr>
                <w:rFonts w:hint="cs"/>
                <w:rtl/>
              </w:rPr>
              <w:t>تبادل الخطط المستقبلية للنشر الإلكتروني ومناقشتها.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4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lastRenderedPageBreak/>
              <w:t>الجولة 3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701122" w:rsidRDefault="00D50815" w:rsidP="00C31826">
            <w:pPr>
              <w:pStyle w:val="ONUMA"/>
              <w:numPr>
                <w:ilvl w:val="0"/>
                <w:numId w:val="0"/>
              </w:numPr>
              <w:spacing w:before="0"/>
            </w:pPr>
            <w:r>
              <w:rPr>
                <w:rFonts w:hint="cs"/>
                <w:rtl/>
              </w:rPr>
              <w:t xml:space="preserve">الاتفاق على تعريف المنشورات الإلكترونية ومعاييرها، ومناقشة أنواع الملفات: الصور، </w:t>
            </w:r>
            <w:r>
              <w:rPr>
                <w:rFonts w:hint="cs"/>
                <w:rtl/>
                <w:lang w:val="fr-CH" w:bidi="ar-SY"/>
              </w:rPr>
              <w:t xml:space="preserve">والبيانات المرجعية، ونص البيانات الكامل، والبيانات بنسق </w:t>
            </w:r>
            <w:r>
              <w:rPr>
                <w:lang w:bidi="ar-SY"/>
              </w:rPr>
              <w:t>XML</w:t>
            </w:r>
            <w:r>
              <w:rPr>
                <w:rFonts w:hint="cs"/>
                <w:rtl/>
                <w:lang w:val="fr-CH" w:bidi="ar-SY"/>
              </w:rPr>
              <w:t xml:space="preserve"> والتصوير المرئي للبيانات.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4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الجولة 4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50815" w:rsidRPr="00D50815" w:rsidRDefault="00D50815" w:rsidP="00C31826">
            <w:pPr>
              <w:rPr>
                <w:rFonts w:eastAsia="SimSun"/>
                <w:lang w:eastAsia="zh-CN"/>
              </w:rPr>
            </w:pPr>
            <w:r>
              <w:rPr>
                <w:rFonts w:hint="cs"/>
                <w:rtl/>
              </w:rPr>
              <w:t xml:space="preserve">الاتفاق على </w:t>
            </w:r>
            <w:r>
              <w:rPr>
                <w:rFonts w:hint="cs"/>
                <w:rtl/>
                <w:lang w:bidi="ar-SY"/>
              </w:rPr>
              <w:t>شروط</w:t>
            </w:r>
            <w:r>
              <w:rPr>
                <w:rFonts w:hint="cs"/>
                <w:rtl/>
              </w:rPr>
              <w:t xml:space="preserve"> استعراض المعايير، ونتائج الاستعراض المرجوة 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4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الجولة 5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50815" w:rsidRPr="00D50815" w:rsidRDefault="00D50815" w:rsidP="00C31826">
            <w:pPr>
              <w:rPr>
                <w:rFonts w:eastAsia="SimSun"/>
                <w:lang w:eastAsia="zh-CN"/>
              </w:rPr>
            </w:pPr>
            <w:r>
              <w:rPr>
                <w:rFonts w:hint="cs"/>
                <w:rtl/>
              </w:rPr>
              <w:t xml:space="preserve">إيلاء الأولوية لبند استعراض المعايير 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4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الجولة 6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50815" w:rsidRPr="00D50815" w:rsidRDefault="00D50815" w:rsidP="00C31826">
            <w:pPr>
              <w:rPr>
                <w:rFonts w:eastAsia="SimSun"/>
              </w:rPr>
            </w:pPr>
            <w:r>
              <w:rPr>
                <w:rFonts w:hint="cs"/>
                <w:rtl/>
              </w:rPr>
              <w:t>مباشرة استعراض المعايير القائمة لنشرها بناءً على المبادئ التوجيهية المتفق عليها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4 أسابيع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097D73" w:rsidP="00C31826">
            <w:r>
              <w:rPr>
                <w:rFonts w:hint="cs"/>
                <w:rtl/>
              </w:rPr>
              <w:t xml:space="preserve">الجولة </w:t>
            </w:r>
            <w:r w:rsidRPr="00097D73">
              <w:rPr>
                <w:i/>
                <w:iCs/>
              </w:rPr>
              <w:t>N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50815" w:rsidRDefault="00D50815" w:rsidP="00C318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097D73">
              <w:rPr>
                <w:rFonts w:hint="cs"/>
                <w:rtl/>
              </w:rPr>
              <w:t>إجراء تحليل مفصّل لكل معيار من حيث الأولوية.</w:t>
            </w:r>
          </w:p>
          <w:p w:rsidR="00097D73" w:rsidRPr="00CB423A" w:rsidRDefault="00097D73" w:rsidP="00C31826">
            <w:r>
              <w:rPr>
                <w:rFonts w:hint="cs"/>
                <w:rtl/>
              </w:rPr>
              <w:t>- وضع توصيات بالاستناد إلى الاستعراض المفصّل والمناقشة مع أعضاء فرقة العمل.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حسب الاقتضاء</w:t>
            </w:r>
          </w:p>
        </w:tc>
      </w:tr>
      <w:tr w:rsidR="00CB423A" w:rsidRPr="00CB423A" w:rsidTr="00CB423A"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097D73" w:rsidP="00C31826">
            <w:r>
              <w:rPr>
                <w:rFonts w:hint="cs"/>
                <w:rtl/>
              </w:rPr>
              <w:t xml:space="preserve">الجولة </w:t>
            </w:r>
            <w:r w:rsidRPr="00097D73">
              <w:rPr>
                <w:i/>
                <w:iCs/>
              </w:rPr>
              <w:t>N+1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D73" w:rsidRDefault="00097D73" w:rsidP="00DD3879">
            <w:pPr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- إعداد مقترح لتقديمه </w:t>
            </w:r>
            <w:r>
              <w:rPr>
                <w:rFonts w:hint="cs"/>
                <w:rtl/>
                <w:lang w:val="fr-CH" w:bidi="ar-SY"/>
              </w:rPr>
              <w:t>بشأن تنقيح المعايير القائمة</w:t>
            </w:r>
            <w:r w:rsidR="00DD3879">
              <w:rPr>
                <w:rFonts w:hint="cs"/>
                <w:rtl/>
                <w:lang w:val="fr-CH" w:bidi="ar-SY"/>
              </w:rPr>
              <w:t xml:space="preserve">، </w:t>
            </w:r>
            <w:r w:rsidR="00DD3879">
              <w:rPr>
                <w:rFonts w:hint="cs"/>
                <w:rtl/>
              </w:rPr>
              <w:t xml:space="preserve">لتقديمه </w:t>
            </w:r>
            <w:r w:rsidR="00DD3879">
              <w:rPr>
                <w:rFonts w:hint="cs"/>
                <w:rtl/>
                <w:lang w:val="fr-CH" w:bidi="ar-SY"/>
              </w:rPr>
              <w:t>عند الاقتضاء،</w:t>
            </w:r>
            <w:r w:rsidR="00DD3879">
              <w:rPr>
                <w:rFonts w:hint="cs"/>
                <w:rtl/>
              </w:rPr>
              <w:t xml:space="preserve"> إلى دورة من دورات لجنة المعايير المقبلة.</w:t>
            </w:r>
          </w:p>
          <w:p w:rsidR="00CB423A" w:rsidRPr="00097D73" w:rsidRDefault="00097D73" w:rsidP="00DD3879">
            <w:pPr>
              <w:rPr>
                <w:lang w:val="fr-CH" w:bidi="ar-SY"/>
              </w:rPr>
            </w:pPr>
            <w:r>
              <w:rPr>
                <w:rFonts w:hint="cs"/>
                <w:rtl/>
                <w:lang w:val="fr-CH" w:bidi="ar-SY"/>
              </w:rPr>
              <w:t xml:space="preserve">- </w:t>
            </w:r>
            <w:r>
              <w:rPr>
                <w:rFonts w:hint="cs"/>
                <w:rtl/>
              </w:rPr>
              <w:t xml:space="preserve">إعداد مقترح </w:t>
            </w:r>
            <w:r w:rsidR="00DD3879">
              <w:rPr>
                <w:rFonts w:hint="cs"/>
                <w:rtl/>
                <w:lang w:val="fr-CH" w:bidi="ar-SY"/>
              </w:rPr>
              <w:t xml:space="preserve">بشأن المعايير الجديدة للنشر الإلكتروني، </w:t>
            </w:r>
            <w:r>
              <w:rPr>
                <w:rFonts w:hint="cs"/>
                <w:rtl/>
              </w:rPr>
              <w:t xml:space="preserve">لتقديمه </w:t>
            </w:r>
            <w:r w:rsidR="00DD3879">
              <w:rPr>
                <w:rFonts w:hint="cs"/>
                <w:rtl/>
                <w:lang w:val="fr-CH" w:bidi="ar-SY"/>
              </w:rPr>
              <w:t>عند الاقتضاء،</w:t>
            </w:r>
            <w:r w:rsidR="00DD387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إلى دورة</w:t>
            </w:r>
            <w:r w:rsidR="00DD3879">
              <w:rPr>
                <w:rFonts w:hint="cs"/>
                <w:rtl/>
              </w:rPr>
              <w:t xml:space="preserve"> من دورات</w:t>
            </w:r>
            <w:r>
              <w:rPr>
                <w:rFonts w:hint="cs"/>
                <w:rtl/>
              </w:rPr>
              <w:t xml:space="preserve"> لجنة المعايير </w:t>
            </w:r>
            <w:r w:rsidR="00DD3879">
              <w:rPr>
                <w:rFonts w:hint="cs"/>
                <w:rtl/>
              </w:rPr>
              <w:t>المقبلة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B423A" w:rsidRPr="00CB423A" w:rsidRDefault="00D50815" w:rsidP="00C31826">
            <w:r>
              <w:rPr>
                <w:rFonts w:hint="cs"/>
                <w:rtl/>
              </w:rPr>
              <w:t>حسب الاقتضاء</w:t>
            </w:r>
          </w:p>
        </w:tc>
      </w:tr>
    </w:tbl>
    <w:p w:rsidR="00CB423A" w:rsidRDefault="00097D73" w:rsidP="00C31826">
      <w:pPr>
        <w:pStyle w:val="ONUMA"/>
        <w:numPr>
          <w:ilvl w:val="0"/>
          <w:numId w:val="0"/>
        </w:numPr>
        <w:rPr>
          <w:rtl/>
          <w:lang w:bidi="ar-SY"/>
        </w:rPr>
      </w:pPr>
      <w:r>
        <w:rPr>
          <w:rFonts w:hint="cs"/>
          <w:rtl/>
          <w:lang w:val="fr-CH" w:bidi="ar-SY"/>
        </w:rPr>
        <w:t xml:space="preserve">تكرر </w:t>
      </w:r>
      <w:r w:rsidR="00C31826">
        <w:rPr>
          <w:rFonts w:hint="cs"/>
          <w:rtl/>
          <w:lang w:val="fr-CH" w:bidi="ar-SY"/>
        </w:rPr>
        <w:t>الجولتا</w:t>
      </w:r>
      <w:r>
        <w:rPr>
          <w:rFonts w:hint="cs"/>
          <w:rtl/>
          <w:lang w:val="fr-CH" w:bidi="ar-SY"/>
        </w:rPr>
        <w:t xml:space="preserve">ن </w:t>
      </w:r>
      <w:r>
        <w:rPr>
          <w:lang w:bidi="ar-SY"/>
        </w:rPr>
        <w:t>N</w:t>
      </w:r>
      <w:r>
        <w:rPr>
          <w:rFonts w:hint="cs"/>
          <w:rtl/>
          <w:lang w:val="fr-CH" w:bidi="ar-SY"/>
        </w:rPr>
        <w:t xml:space="preserve"> و</w:t>
      </w:r>
      <w:r w:rsidR="00C31826">
        <w:rPr>
          <w:lang w:bidi="ar-SY"/>
        </w:rPr>
        <w:t>N</w:t>
      </w:r>
      <w:r>
        <w:rPr>
          <w:lang w:bidi="ar-SY"/>
        </w:rPr>
        <w:t>+1</w:t>
      </w:r>
      <w:r>
        <w:rPr>
          <w:rFonts w:hint="cs"/>
          <w:rtl/>
          <w:lang w:bidi="ar-SY"/>
        </w:rPr>
        <w:t xml:space="preserve"> </w:t>
      </w:r>
      <w:r w:rsidR="00C31826">
        <w:rPr>
          <w:rFonts w:hint="cs"/>
          <w:rtl/>
          <w:lang w:bidi="ar-SY"/>
        </w:rPr>
        <w:t>حسبما تقتضيه الضرورة</w:t>
      </w:r>
      <w:r>
        <w:rPr>
          <w:rFonts w:hint="cs"/>
          <w:rtl/>
          <w:lang w:bidi="ar-SY"/>
        </w:rPr>
        <w:t xml:space="preserve"> لاستعراض المعايير المحددة.</w:t>
      </w:r>
    </w:p>
    <w:p w:rsidR="00560292" w:rsidRDefault="00560292" w:rsidP="00560292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560292" w:rsidRDefault="00560292" w:rsidP="00560292">
      <w:pPr>
        <w:pStyle w:val="Decision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الإحاطة علماً بمحتوى هذه الوثيقة؛</w:t>
      </w:r>
    </w:p>
    <w:p w:rsidR="00560292" w:rsidRDefault="00560292" w:rsidP="00560292">
      <w:pPr>
        <w:pStyle w:val="Decision"/>
        <w:numPr>
          <w:ilvl w:val="0"/>
          <w:numId w:val="46"/>
        </w:numPr>
      </w:pPr>
      <w:r>
        <w:rPr>
          <w:rFonts w:hint="cs"/>
          <w:rtl/>
        </w:rPr>
        <w:t>والإحاطة علماً بخطة عمل فرقة العمل المعنية بالتحول الإلكتروني وتشجيع مكاتب الملكية الفكرية على المشاركة في مناقشات فرقة العمل.</w:t>
      </w:r>
    </w:p>
    <w:p w:rsidR="00560292" w:rsidRDefault="00560292" w:rsidP="00560292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560292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72" w:rsidRDefault="004B6672">
      <w:r>
        <w:separator/>
      </w:r>
    </w:p>
  </w:endnote>
  <w:endnote w:type="continuationSeparator" w:id="0">
    <w:p w:rsidR="004B6672" w:rsidRDefault="004B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72" w:rsidRDefault="004B667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B6672" w:rsidRDefault="004B667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8" w:rsidRDefault="00C71538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CWS/7/10</w:t>
    </w:r>
  </w:p>
  <w:p w:rsidR="004C495B" w:rsidRPr="00C50A61" w:rsidRDefault="004C495B" w:rsidP="00C71538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15E39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B52AE0"/>
    <w:multiLevelType w:val="hybridMultilevel"/>
    <w:tmpl w:val="86FCF9D6"/>
    <w:lvl w:ilvl="0" w:tplc="10920BC2">
      <w:start w:val="5"/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47420F9"/>
    <w:multiLevelType w:val="hybridMultilevel"/>
    <w:tmpl w:val="4F724B6A"/>
    <w:lvl w:ilvl="0" w:tplc="F9467E4A">
      <w:start w:val="1"/>
      <w:numFmt w:val="arabicAlpha"/>
      <w:lvlText w:val="(%1)"/>
      <w:lvlJc w:val="left"/>
      <w:pPr>
        <w:ind w:left="680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0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9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6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2"/>
  </w:num>
  <w:num w:numId="8">
    <w:abstractNumId w:val="37"/>
  </w:num>
  <w:num w:numId="9">
    <w:abstractNumId w:val="33"/>
  </w:num>
  <w:num w:numId="10">
    <w:abstractNumId w:val="40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5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1"/>
  </w:num>
  <w:num w:numId="31">
    <w:abstractNumId w:val="23"/>
  </w:num>
  <w:num w:numId="32">
    <w:abstractNumId w:val="28"/>
  </w:num>
  <w:num w:numId="33">
    <w:abstractNumId w:val="36"/>
  </w:num>
  <w:num w:numId="34">
    <w:abstractNumId w:val="13"/>
  </w:num>
  <w:num w:numId="35">
    <w:abstractNumId w:val="35"/>
  </w:num>
  <w:num w:numId="36">
    <w:abstractNumId w:val="27"/>
  </w:num>
  <w:num w:numId="37">
    <w:abstractNumId w:val="34"/>
  </w:num>
  <w:num w:numId="38">
    <w:abstractNumId w:val="16"/>
  </w:num>
  <w:num w:numId="39">
    <w:abstractNumId w:val="30"/>
  </w:num>
  <w:num w:numId="40">
    <w:abstractNumId w:val="29"/>
  </w:num>
  <w:num w:numId="41">
    <w:abstractNumId w:val="20"/>
  </w:num>
  <w:num w:numId="42">
    <w:abstractNumId w:val="10"/>
  </w:num>
  <w:num w:numId="43">
    <w:abstractNumId w:val="24"/>
  </w:num>
  <w:num w:numId="44">
    <w:abstractNumId w:val="32"/>
  </w:num>
  <w:num w:numId="45">
    <w:abstractNumId w:val="1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1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97D73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C10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6672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292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1122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0C8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5E39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3E5A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1826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538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C06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23A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078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0815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3879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234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728E9F3-D719-4141-9A7E-5FA7DA2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F727-49CE-41B2-BEA2-39784FCD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CWS/7/10 (Arabic)</vt:lpstr>
    </vt:vector>
  </TitlesOfParts>
  <Company>World Intellectual Property Organization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CWS/7/10 (Arabic)</dc:title>
  <dc:subject>تقرير فرقة العمل المعنية بالتحول الرقمي عن المهمة رقم 62</dc:subject>
  <dc:creator>WIPO</dc:creator>
  <cp:keywords>CWS, WIPO</cp:keywords>
  <cp:lastModifiedBy>DRAKE Sophie</cp:lastModifiedBy>
  <cp:revision>9</cp:revision>
  <cp:lastPrinted>2019-05-21T10:30:00Z</cp:lastPrinted>
  <dcterms:created xsi:type="dcterms:W3CDTF">2019-05-21T08:57:00Z</dcterms:created>
  <dcterms:modified xsi:type="dcterms:W3CDTF">2019-05-27T07:27:00Z</dcterms:modified>
</cp:coreProperties>
</file>