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lang w:val="de-DE" w:eastAsia="de-DE"/>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561BC4" w:rsidP="00211039">
      <w:pPr>
        <w:pBdr>
          <w:top w:val="single" w:sz="4" w:space="10" w:color="auto"/>
        </w:pBdr>
        <w:bidi w:val="0"/>
        <w:rPr>
          <w:rFonts w:ascii="Arial Black" w:eastAsia="SimSun" w:hAnsi="Arial Black" w:cs="Arial"/>
          <w:b/>
          <w:caps/>
          <w:noProof/>
          <w:sz w:val="16"/>
          <w:szCs w:val="16"/>
          <w:rtl/>
          <w:lang w:eastAsia="zh-CN"/>
        </w:rPr>
      </w:pPr>
      <w:bookmarkStart w:id="2" w:name="Code"/>
      <w:bookmarkStart w:id="3" w:name="Code2"/>
      <w:bookmarkEnd w:id="2"/>
      <w:r>
        <w:rPr>
          <w:rFonts w:ascii="Arial Black" w:eastAsia="SimSun" w:hAnsi="Arial Black" w:cs="Arial"/>
          <w:b/>
          <w:caps/>
          <w:noProof/>
          <w:sz w:val="16"/>
          <w:szCs w:val="16"/>
          <w:lang w:eastAsia="zh-CN"/>
        </w:rPr>
        <w:t>CWS/</w:t>
      </w:r>
      <w:r w:rsidR="00211039">
        <w:rPr>
          <w:rFonts w:ascii="Arial Black" w:eastAsia="SimSun" w:hAnsi="Arial Black" w:cs="Arial"/>
          <w:b/>
          <w:caps/>
          <w:noProof/>
          <w:sz w:val="16"/>
          <w:szCs w:val="16"/>
          <w:lang w:eastAsia="zh-CN"/>
        </w:rPr>
        <w:t>7</w:t>
      </w:r>
      <w:r>
        <w:rPr>
          <w:rFonts w:ascii="Arial Black" w:eastAsia="SimSun" w:hAnsi="Arial Black" w:cs="Arial"/>
          <w:b/>
          <w:caps/>
          <w:noProof/>
          <w:sz w:val="16"/>
          <w:szCs w:val="16"/>
          <w:lang w:eastAsia="zh-CN"/>
        </w:rPr>
        <w:t>/</w:t>
      </w:r>
      <w:r w:rsidR="002F4FFC">
        <w:rPr>
          <w:rFonts w:ascii="Arial Black" w:eastAsia="SimSun" w:hAnsi="Arial Black" w:cs="Arial"/>
          <w:b/>
          <w:caps/>
          <w:noProof/>
          <w:sz w:val="16"/>
          <w:szCs w:val="16"/>
          <w:lang w:eastAsia="zh-CN"/>
        </w:rPr>
        <w:t>11</w:t>
      </w:r>
    </w:p>
    <w:bookmarkEnd w:id="3"/>
    <w:p w:rsidR="003F7284" w:rsidRPr="002F4FFC" w:rsidRDefault="003F7284" w:rsidP="005D79F6">
      <w:pPr>
        <w:jc w:val="right"/>
        <w:rPr>
          <w:b/>
          <w:bCs/>
          <w:sz w:val="30"/>
          <w:szCs w:val="30"/>
          <w:rtl/>
          <w:lang w:val="fr-CH" w:bidi="ar-SY"/>
        </w:rPr>
      </w:pPr>
      <w:r w:rsidRPr="00BB6440">
        <w:rPr>
          <w:b/>
          <w:bCs/>
          <w:sz w:val="30"/>
          <w:szCs w:val="30"/>
          <w:rtl/>
        </w:rPr>
        <w:t xml:space="preserve">الأصل: </w:t>
      </w:r>
      <w:bookmarkStart w:id="4" w:name="Original"/>
      <w:bookmarkEnd w:id="4"/>
      <w:r w:rsidR="002F4FFC">
        <w:rPr>
          <w:rFonts w:hint="cs"/>
          <w:b/>
          <w:bCs/>
          <w:sz w:val="30"/>
          <w:szCs w:val="30"/>
          <w:rtl/>
          <w:lang w:val="fr-CH" w:bidi="ar-SY"/>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5" w:name="Date"/>
      <w:bookmarkEnd w:id="5"/>
      <w:r w:rsidR="002F4FFC">
        <w:rPr>
          <w:rFonts w:hint="cs"/>
          <w:b/>
          <w:bCs/>
          <w:sz w:val="30"/>
          <w:szCs w:val="30"/>
          <w:rtl/>
        </w:rPr>
        <w:t>4 يونيو 2019</w:t>
      </w:r>
    </w:p>
    <w:p w:rsidR="002E7810" w:rsidRPr="00FD6D15" w:rsidRDefault="00561BC4" w:rsidP="009B7572">
      <w:pPr>
        <w:pStyle w:val="Heading1"/>
        <w:spacing w:after="600" w:line="240" w:lineRule="auto"/>
        <w:rPr>
          <w:rtl/>
        </w:rPr>
      </w:pPr>
      <w:bookmarkStart w:id="6" w:name="Body"/>
      <w:bookmarkEnd w:id="6"/>
      <w:r>
        <w:rPr>
          <w:rFonts w:hint="eastAsia"/>
          <w:rtl/>
        </w:rPr>
        <w:t>اللجنة</w:t>
      </w:r>
      <w:r>
        <w:rPr>
          <w:rtl/>
        </w:rPr>
        <w:t xml:space="preserve"> </w:t>
      </w:r>
      <w:r>
        <w:rPr>
          <w:rFonts w:hint="eastAsia"/>
          <w:rtl/>
        </w:rPr>
        <w:t>المعنية</w:t>
      </w:r>
      <w:r>
        <w:rPr>
          <w:rtl/>
        </w:rPr>
        <w:t xml:space="preserve"> </w:t>
      </w:r>
      <w:r>
        <w:rPr>
          <w:rFonts w:hint="eastAsia"/>
          <w:rtl/>
        </w:rPr>
        <w:t>بمعايير</w:t>
      </w:r>
      <w:r>
        <w:rPr>
          <w:rtl/>
        </w:rPr>
        <w:t xml:space="preserve"> </w:t>
      </w:r>
      <w:r>
        <w:rPr>
          <w:rFonts w:hint="eastAsia"/>
          <w:rtl/>
        </w:rPr>
        <w:t>الويبو</w:t>
      </w:r>
    </w:p>
    <w:p w:rsidR="002E7810" w:rsidRPr="002E7810" w:rsidRDefault="00561BC4" w:rsidP="00211039">
      <w:pPr>
        <w:rPr>
          <w:rFonts w:ascii="Arial Black" w:hAnsi="Arial Black" w:cs="PT Bold Heading"/>
          <w:sz w:val="30"/>
          <w:szCs w:val="30"/>
          <w:rtl/>
        </w:rPr>
      </w:pPr>
      <w:bookmarkStart w:id="7" w:name="Session"/>
      <w:bookmarkEnd w:id="7"/>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211039">
        <w:rPr>
          <w:rFonts w:ascii="Arial Black" w:hAnsi="Arial Black" w:cs="PT Bold Heading" w:hint="cs"/>
          <w:sz w:val="30"/>
          <w:szCs w:val="30"/>
          <w:rtl/>
        </w:rPr>
        <w:t>السابعة</w:t>
      </w:r>
    </w:p>
    <w:p w:rsidR="002E7810" w:rsidRPr="002E7810" w:rsidRDefault="00561BC4" w:rsidP="00211039">
      <w:pPr>
        <w:spacing w:line="600" w:lineRule="auto"/>
        <w:rPr>
          <w:b/>
          <w:bCs/>
          <w:rtl/>
        </w:rPr>
      </w:pPr>
      <w:bookmarkStart w:id="8" w:name="Place"/>
      <w:bookmarkEnd w:id="8"/>
      <w:r>
        <w:rPr>
          <w:b/>
          <w:bCs/>
          <w:rtl/>
        </w:rPr>
        <w:t xml:space="preserve">جنيف، من </w:t>
      </w:r>
      <w:r w:rsidR="00211039">
        <w:rPr>
          <w:rFonts w:hint="cs"/>
          <w:b/>
          <w:bCs/>
          <w:rtl/>
        </w:rPr>
        <w:t>1</w:t>
      </w:r>
      <w:r>
        <w:rPr>
          <w:b/>
          <w:bCs/>
          <w:rtl/>
        </w:rPr>
        <w:t xml:space="preserve"> إلى </w:t>
      </w:r>
      <w:r w:rsidR="00211039">
        <w:rPr>
          <w:rFonts w:hint="cs"/>
          <w:b/>
          <w:bCs/>
          <w:rtl/>
        </w:rPr>
        <w:t>5</w:t>
      </w:r>
      <w:r>
        <w:rPr>
          <w:b/>
          <w:bCs/>
          <w:rtl/>
        </w:rPr>
        <w:t xml:space="preserve"> </w:t>
      </w:r>
      <w:r w:rsidR="00211039">
        <w:rPr>
          <w:rFonts w:hint="cs"/>
          <w:b/>
          <w:bCs/>
          <w:rtl/>
        </w:rPr>
        <w:t xml:space="preserve">يوليو </w:t>
      </w:r>
      <w:r>
        <w:rPr>
          <w:b/>
          <w:bCs/>
          <w:rtl/>
        </w:rPr>
        <w:t>201</w:t>
      </w:r>
      <w:r w:rsidR="00211039">
        <w:rPr>
          <w:rFonts w:hint="cs"/>
          <w:b/>
          <w:bCs/>
          <w:rtl/>
        </w:rPr>
        <w:t>9</w:t>
      </w:r>
    </w:p>
    <w:p w:rsidR="002E7810" w:rsidRPr="002E7810" w:rsidRDefault="002F4FFC" w:rsidP="00874721">
      <w:pPr>
        <w:rPr>
          <w:rFonts w:ascii="Arial Black" w:hAnsi="Arial Black" w:cs="PT Bold Heading"/>
          <w:sz w:val="26"/>
          <w:szCs w:val="26"/>
          <w:rtl/>
        </w:rPr>
      </w:pPr>
      <w:bookmarkStart w:id="9" w:name="TitleOfDoc"/>
      <w:bookmarkStart w:id="10" w:name="_GoBack"/>
      <w:bookmarkEnd w:id="9"/>
      <w:r>
        <w:rPr>
          <w:rFonts w:ascii="Arial Black" w:hAnsi="Arial Black" w:cs="PT Bold Heading" w:hint="cs"/>
          <w:sz w:val="26"/>
          <w:szCs w:val="26"/>
          <w:rtl/>
        </w:rPr>
        <w:t>تقرير عن المهمة رقم 47</w:t>
      </w:r>
    </w:p>
    <w:p w:rsidR="003F7284" w:rsidRPr="00BB6440" w:rsidRDefault="002F4FFC" w:rsidP="00874721">
      <w:pPr>
        <w:spacing w:before="200" w:after="960"/>
        <w:rPr>
          <w:i/>
          <w:iCs/>
          <w:rtl/>
        </w:rPr>
      </w:pPr>
      <w:bookmarkStart w:id="11" w:name="Doc"/>
      <w:bookmarkEnd w:id="11"/>
      <w:bookmarkEnd w:id="10"/>
      <w:r>
        <w:rPr>
          <w:rFonts w:hint="cs"/>
          <w:i/>
          <w:iCs/>
          <w:rtl/>
        </w:rPr>
        <w:t xml:space="preserve">وثيقة </w:t>
      </w:r>
      <w:r w:rsidR="003F7284" w:rsidRPr="00BB6440">
        <w:rPr>
          <w:i/>
          <w:iCs/>
          <w:rtl/>
        </w:rPr>
        <w:t>من إعداد</w:t>
      </w:r>
      <w:r w:rsidR="005D79F6" w:rsidRPr="00BB6440">
        <w:rPr>
          <w:rFonts w:hint="cs"/>
          <w:i/>
          <w:iCs/>
          <w:rtl/>
        </w:rPr>
        <w:t xml:space="preserve"> </w:t>
      </w:r>
      <w:bookmarkStart w:id="12" w:name="Prepared"/>
      <w:bookmarkEnd w:id="12"/>
      <w:r>
        <w:rPr>
          <w:rFonts w:hint="cs"/>
          <w:i/>
          <w:iCs/>
          <w:rtl/>
        </w:rPr>
        <w:t>المكتب الدولي</w:t>
      </w:r>
    </w:p>
    <w:p w:rsidR="00E3612C" w:rsidRPr="00FD6D15" w:rsidRDefault="002F4FFC" w:rsidP="002F4FFC">
      <w:pPr>
        <w:pStyle w:val="Heading3"/>
        <w:rPr>
          <w:rtl/>
        </w:rPr>
      </w:pPr>
      <w:r>
        <w:rPr>
          <w:rFonts w:hint="cs"/>
          <w:rtl/>
        </w:rPr>
        <w:t>المقدمة</w:t>
      </w:r>
    </w:p>
    <w:p w:rsidR="00C41AE0" w:rsidRPr="002F4FFC" w:rsidRDefault="002F4FFC" w:rsidP="00176EFC">
      <w:pPr>
        <w:pStyle w:val="ONUMA"/>
      </w:pPr>
      <w:r>
        <w:rPr>
          <w:rFonts w:hint="cs"/>
          <w:rtl/>
        </w:rPr>
        <w:t xml:space="preserve">اعتمدت اللجنة المعنية بمعايير الويبو (لجنة المعايير)، في دورتها الخامسة التي عٌقدت في 2017، معيار الويبو </w:t>
      </w:r>
      <w:r>
        <w:t>ST.27</w:t>
      </w:r>
      <w:r>
        <w:rPr>
          <w:rFonts w:hint="cs"/>
          <w:rtl/>
          <w:lang w:bidi="ar-SY"/>
        </w:rPr>
        <w:t xml:space="preserve"> "توصية بشأن تبادل بيانات الوضع القانوني للبراءات" </w:t>
      </w:r>
      <w:r>
        <w:rPr>
          <w:rFonts w:hint="cs"/>
          <w:rtl/>
          <w:lang w:val="fr-CH" w:bidi="ar-SY"/>
        </w:rPr>
        <w:t xml:space="preserve">(انظر الفقرتين 50 و51 من الوثيقة </w:t>
      </w:r>
      <w:r>
        <w:rPr>
          <w:lang w:bidi="ar-SY"/>
        </w:rPr>
        <w:t>CWS/5/22</w:t>
      </w:r>
      <w:r>
        <w:rPr>
          <w:rFonts w:hint="cs"/>
          <w:rtl/>
          <w:lang w:val="fr-CH" w:bidi="ar-SY"/>
        </w:rPr>
        <w:t>)</w:t>
      </w:r>
      <w:r>
        <w:rPr>
          <w:rFonts w:hint="cs"/>
          <w:rtl/>
          <w:lang w:bidi="ar-SY"/>
        </w:rPr>
        <w:t xml:space="preserve">. وعملاً بهذا القرار، أصدرت الأمانة التعميم </w:t>
      </w:r>
      <w:r>
        <w:rPr>
          <w:lang w:bidi="ar-SY"/>
        </w:rPr>
        <w:t>C.CWS 92</w:t>
      </w:r>
      <w:r>
        <w:rPr>
          <w:rFonts w:hint="cs"/>
          <w:rtl/>
          <w:lang w:bidi="ar-SY"/>
        </w:rPr>
        <w:t xml:space="preserve"> الذي تدعو فيه مكاتب الملكية </w:t>
      </w:r>
      <w:r w:rsidR="00176EFC">
        <w:rPr>
          <w:rFonts w:hint="cs"/>
          <w:rtl/>
          <w:lang w:val="fr-CH" w:bidi="ar-SY"/>
        </w:rPr>
        <w:t>الفكرية</w:t>
      </w:r>
      <w:r>
        <w:rPr>
          <w:rFonts w:hint="cs"/>
          <w:rtl/>
          <w:lang w:bidi="ar-SY"/>
        </w:rPr>
        <w:t xml:space="preserve"> إلى تقييم ممارسات عملها وأنظمتها المعلوماتية من أجل التنفيذ التجريبي لمعيار الويبو </w:t>
      </w:r>
      <w:r>
        <w:rPr>
          <w:lang w:bidi="ar-SY"/>
        </w:rPr>
        <w:t>ST.27</w:t>
      </w:r>
      <w:r w:rsidR="00176EFC">
        <w:rPr>
          <w:rFonts w:hint="cs"/>
          <w:rtl/>
          <w:lang w:bidi="ar-SY"/>
        </w:rPr>
        <w:t xml:space="preserve">، </w:t>
      </w:r>
      <w:r>
        <w:rPr>
          <w:rFonts w:hint="cs"/>
          <w:rtl/>
          <w:lang w:bidi="ar-SY"/>
        </w:rPr>
        <w:t xml:space="preserve">واستعراض الأحداث المفصلة المؤقتة المدرجة في المعيار </w:t>
      </w:r>
      <w:r>
        <w:rPr>
          <w:lang w:bidi="ar-SY"/>
        </w:rPr>
        <w:t>ST.27</w:t>
      </w:r>
      <w:r>
        <w:rPr>
          <w:rFonts w:hint="cs"/>
          <w:rtl/>
          <w:lang w:val="fr-CH" w:bidi="ar-SY"/>
        </w:rPr>
        <w:t>.</w:t>
      </w:r>
    </w:p>
    <w:p w:rsidR="002F4FFC" w:rsidRPr="002F4FFC" w:rsidRDefault="002F4FFC" w:rsidP="00176EFC">
      <w:pPr>
        <w:pStyle w:val="ONUMA"/>
      </w:pPr>
      <w:r>
        <w:rPr>
          <w:rFonts w:hint="cs"/>
          <w:rtl/>
        </w:rPr>
        <w:t>وأحاطت اللجنة</w:t>
      </w:r>
      <w:r w:rsidR="00176EFC">
        <w:rPr>
          <w:rFonts w:hint="cs"/>
          <w:rtl/>
        </w:rPr>
        <w:t xml:space="preserve"> علماً</w:t>
      </w:r>
      <w:r>
        <w:rPr>
          <w:rFonts w:hint="cs"/>
          <w:rtl/>
        </w:rPr>
        <w:t xml:space="preserve">، خلال دورتها السادسة، </w:t>
      </w:r>
      <w:r w:rsidR="00176EFC">
        <w:rPr>
          <w:rFonts w:hint="cs"/>
          <w:rtl/>
        </w:rPr>
        <w:t>ب</w:t>
      </w:r>
      <w:r>
        <w:rPr>
          <w:rFonts w:hint="cs"/>
          <w:rtl/>
        </w:rPr>
        <w:t xml:space="preserve">أن 11 مكتباً من مكاتب الملكية </w:t>
      </w:r>
      <w:r w:rsidR="00176EFC">
        <w:rPr>
          <w:rFonts w:hint="cs"/>
          <w:rtl/>
        </w:rPr>
        <w:t>الفكرية</w:t>
      </w:r>
      <w:r>
        <w:rPr>
          <w:rFonts w:hint="cs"/>
          <w:rtl/>
        </w:rPr>
        <w:t xml:space="preserve"> قدمت، </w:t>
      </w:r>
      <w:r w:rsidR="00176EFC">
        <w:rPr>
          <w:rFonts w:hint="cs"/>
          <w:rtl/>
        </w:rPr>
        <w:t>ردّاً على ا</w:t>
      </w:r>
      <w:r>
        <w:rPr>
          <w:rFonts w:hint="cs"/>
          <w:rtl/>
        </w:rPr>
        <w:t xml:space="preserve">لتعميم، خططها الخاصة بتنفيذ معيار الويبو </w:t>
      </w:r>
      <w:r>
        <w:t>ST.27</w:t>
      </w:r>
      <w:r>
        <w:rPr>
          <w:rFonts w:hint="cs"/>
          <w:rtl/>
          <w:lang w:val="fr-CH" w:bidi="ar-SY"/>
        </w:rPr>
        <w:t xml:space="preserve">، وأشارت معظم هذه المكاتب إلى حاجتها إلى إجراء مزيد من التحليل الداخلي قبل الإبلاغ عن الجدول الزمني للتنفيذ (انظر الفقرة 89 من الوثيقة </w:t>
      </w:r>
      <w:r>
        <w:rPr>
          <w:lang w:bidi="ar-SY"/>
        </w:rPr>
        <w:t>CWS/6/34</w:t>
      </w:r>
      <w:r>
        <w:rPr>
          <w:rFonts w:hint="cs"/>
          <w:rtl/>
          <w:lang w:val="fr-CH" w:bidi="ar-SY"/>
        </w:rPr>
        <w:t>).</w:t>
      </w:r>
    </w:p>
    <w:p w:rsidR="000D7E81" w:rsidRDefault="002F4FFC" w:rsidP="00176EFC">
      <w:pPr>
        <w:pStyle w:val="ONUMA"/>
      </w:pPr>
      <w:r>
        <w:rPr>
          <w:rFonts w:hint="cs"/>
          <w:rtl/>
        </w:rPr>
        <w:t xml:space="preserve">ووافقت اللجنة، في دورتها السادسة على النسخة المنقحة لمعيار الويبو </w:t>
      </w:r>
      <w:r>
        <w:t>ST.27</w:t>
      </w:r>
      <w:r>
        <w:rPr>
          <w:rFonts w:hint="cs"/>
          <w:rtl/>
          <w:lang w:val="fr-CH" w:bidi="ar-SY"/>
        </w:rPr>
        <w:t xml:space="preserve">، بما في ذلك تعديل الأحداث المتعلقة برسوم الحفاظ على الحقوق، وتحسين </w:t>
      </w:r>
      <w:r w:rsidR="00176EFC">
        <w:rPr>
          <w:rFonts w:hint="cs"/>
          <w:rtl/>
          <w:lang w:val="fr-CH" w:bidi="ar-SY"/>
        </w:rPr>
        <w:t xml:space="preserve">أوصاف الأحداث </w:t>
      </w:r>
      <w:r>
        <w:rPr>
          <w:rFonts w:hint="cs"/>
          <w:rtl/>
          <w:lang w:val="fr-CH" w:bidi="ar-SY"/>
        </w:rPr>
        <w:t xml:space="preserve">المتعلقة </w:t>
      </w:r>
      <w:r w:rsidR="00176EFC">
        <w:rPr>
          <w:rFonts w:hint="cs"/>
          <w:rtl/>
          <w:lang w:val="fr-CH" w:bidi="ar-SY"/>
        </w:rPr>
        <w:t>ب</w:t>
      </w:r>
      <w:r>
        <w:rPr>
          <w:rFonts w:hint="cs"/>
          <w:rtl/>
          <w:lang w:val="fr-CH" w:bidi="ar-SY"/>
        </w:rPr>
        <w:t>تغيير الاس</w:t>
      </w:r>
      <w:r w:rsidR="009F04AC">
        <w:rPr>
          <w:rFonts w:hint="cs"/>
          <w:rtl/>
          <w:lang w:val="fr-CH" w:bidi="ar-SY"/>
        </w:rPr>
        <w:t xml:space="preserve">م ونقل الملكية. وأُحيلت مسائل عديدة إلى </w:t>
      </w:r>
      <w:r w:rsidR="009F04AC">
        <w:rPr>
          <w:rFonts w:hint="cs"/>
          <w:rtl/>
        </w:rPr>
        <w:t xml:space="preserve">فرقة العمل المعنية بالوضع القانوني لمزيد من الدراسة (انظر الفقرات من 73 إلى 86 في الوثيقة </w:t>
      </w:r>
      <w:r w:rsidR="009F04AC">
        <w:t>CWS/6/34</w:t>
      </w:r>
      <w:r w:rsidR="009F04AC">
        <w:rPr>
          <w:rFonts w:hint="cs"/>
          <w:rtl/>
        </w:rPr>
        <w:t>)</w:t>
      </w:r>
      <w:r w:rsidR="009F04AC">
        <w:t>.</w:t>
      </w:r>
    </w:p>
    <w:p w:rsidR="00FD6D15" w:rsidRPr="009F04AC" w:rsidRDefault="009F04AC" w:rsidP="00176EFC">
      <w:pPr>
        <w:pStyle w:val="ONUMA"/>
      </w:pPr>
      <w:r>
        <w:rPr>
          <w:rFonts w:hint="cs"/>
          <w:rtl/>
          <w:lang w:val="fr-CH" w:bidi="ar-SY"/>
        </w:rPr>
        <w:lastRenderedPageBreak/>
        <w:t xml:space="preserve">وشجعت لجنة المعايير، خلال دورتها السادسة، مكاتب الملكية </w:t>
      </w:r>
      <w:r w:rsidR="00176EFC">
        <w:rPr>
          <w:rFonts w:hint="cs"/>
          <w:rtl/>
          <w:lang w:val="fr-CH" w:bidi="ar-SY"/>
        </w:rPr>
        <w:t>الفكرية</w:t>
      </w:r>
      <w:r>
        <w:rPr>
          <w:rFonts w:hint="cs"/>
          <w:rtl/>
          <w:lang w:val="fr-CH" w:bidi="ar-SY"/>
        </w:rPr>
        <w:t xml:space="preserve"> على المشاركة في مناقشات فرقة العمل وأن تقدم المكاتب المتبقية جداول الربط</w:t>
      </w:r>
      <w:r w:rsidR="00176EFC">
        <w:rPr>
          <w:rFonts w:hint="cs"/>
          <w:rtl/>
          <w:lang w:val="fr-CH" w:bidi="ar-SY"/>
        </w:rPr>
        <w:t xml:space="preserve"> الخاصة بها</w:t>
      </w:r>
      <w:r>
        <w:rPr>
          <w:rFonts w:hint="cs"/>
          <w:rtl/>
          <w:lang w:val="fr-CH" w:bidi="ar-SY"/>
        </w:rPr>
        <w:t xml:space="preserve">. وعدّلت لجنة المعايير وصف المهمة رقم 47 ليصبح كالآتي: </w:t>
      </w:r>
      <w:r w:rsidRPr="009F04AC">
        <w:rPr>
          <w:rtl/>
          <w:lang w:val="fr-CH" w:bidi="ar-SY"/>
        </w:rPr>
        <w:t>"إعداد اقتراح نهائي للأحداث المفصّلة واقتراح نهائي للوثيقة الإرشادية فيما يتعلق ببيانات الوضع القانوني للبراءات، وإعداد اقتراح نهائي للوثيقة الإرشادية فيما يتعلق ببيانات الوضع القانوني للتصاميم الصناعية، وإعداد توصية بشأن تبادل مكاتب الملكية الصناعية لبيانات ال</w:t>
      </w:r>
      <w:r>
        <w:rPr>
          <w:rtl/>
          <w:lang w:val="fr-CH" w:bidi="ar-SY"/>
        </w:rPr>
        <w:t>وضع القانوني للعلامات التجارية"</w:t>
      </w:r>
      <w:r>
        <w:rPr>
          <w:rFonts w:hint="cs"/>
          <w:rtl/>
          <w:lang w:val="fr-CH" w:bidi="ar-SY"/>
        </w:rPr>
        <w:t xml:space="preserve">. (انظر الفقرتين 71 و72 من الوثيقة </w:t>
      </w:r>
      <w:r>
        <w:rPr>
          <w:lang w:bidi="ar-SY"/>
        </w:rPr>
        <w:t>CWS/6/34</w:t>
      </w:r>
      <w:r>
        <w:rPr>
          <w:rFonts w:hint="cs"/>
          <w:rtl/>
          <w:lang w:val="fr-CH" w:bidi="ar-SY"/>
        </w:rPr>
        <w:t>).</w:t>
      </w:r>
    </w:p>
    <w:p w:rsidR="009F04AC" w:rsidRPr="00C41AE0" w:rsidRDefault="009F04AC" w:rsidP="00176EFC">
      <w:pPr>
        <w:pStyle w:val="ONUMA"/>
        <w:rPr>
          <w:rtl/>
        </w:rPr>
      </w:pPr>
      <w:r>
        <w:rPr>
          <w:rFonts w:hint="cs"/>
          <w:rtl/>
        </w:rPr>
        <w:t xml:space="preserve">ووافقت لجنة المعايير، في دورتها السادسة، على المعيار الجديد "معيار الويبو </w:t>
      </w:r>
      <w:r>
        <w:t>ST.87</w:t>
      </w:r>
      <w:r>
        <w:rPr>
          <w:rFonts w:hint="cs"/>
          <w:rtl/>
          <w:lang w:val="fr-CH" w:bidi="ar-SY"/>
        </w:rPr>
        <w:t xml:space="preserve"> - </w:t>
      </w:r>
      <w:r>
        <w:rPr>
          <w:rFonts w:hint="cs"/>
          <w:rtl/>
          <w:lang w:bidi="ar-SY"/>
        </w:rPr>
        <w:t>توصية بشأن تبادل بيانات الوضع القانوني للبراءات</w:t>
      </w:r>
      <w:r>
        <w:rPr>
          <w:rFonts w:hint="cs"/>
          <w:rtl/>
        </w:rPr>
        <w:t xml:space="preserve">". </w:t>
      </w:r>
      <w:r w:rsidRPr="009F04AC">
        <w:rPr>
          <w:rtl/>
        </w:rPr>
        <w:t xml:space="preserve">والتمست لجنة المعايير من الأمانة إصدار تعميم لدعوة مكاتب الملكية </w:t>
      </w:r>
      <w:r w:rsidR="00176EFC">
        <w:rPr>
          <w:rFonts w:hint="cs"/>
          <w:rtl/>
        </w:rPr>
        <w:t>الفكرية</w:t>
      </w:r>
      <w:r w:rsidRPr="009F04AC">
        <w:rPr>
          <w:rtl/>
        </w:rPr>
        <w:t xml:space="preserve"> إلى تقييم ممارساتها العملية وأنظمتها المعلوماتية واستعراض الأحداث المفصّلة المؤقتة.</w:t>
      </w:r>
      <w:r>
        <w:rPr>
          <w:rFonts w:hint="cs"/>
          <w:rtl/>
        </w:rPr>
        <w:t xml:space="preserve"> </w:t>
      </w:r>
      <w:r w:rsidRPr="009F04AC">
        <w:rPr>
          <w:rtl/>
        </w:rPr>
        <w:t xml:space="preserve">وطلبت لجنة المعايير إلى فرقة العمل المعنية بالوضع القانوني </w:t>
      </w:r>
      <w:r w:rsidR="00176EFC">
        <w:rPr>
          <w:rFonts w:hint="cs"/>
          <w:rtl/>
        </w:rPr>
        <w:t>استكمال</w:t>
      </w:r>
      <w:r w:rsidRPr="009F04AC">
        <w:rPr>
          <w:rtl/>
        </w:rPr>
        <w:t xml:space="preserve"> من وضع قائمة الأحداث المفصلة، وإعداد وثيقة إرشادية بشأن بيانات الوضع القانوني للتصاميم الصناعية وتقديمها إلى اللجنة في دورتها السابعة للنظر فيها والموافقة عليها</w:t>
      </w:r>
      <w:r w:rsidR="006A6932">
        <w:rPr>
          <w:rFonts w:hint="cs"/>
          <w:rtl/>
        </w:rPr>
        <w:t xml:space="preserve">. (انظر الفقرات من 102 إلى 105 في الوثيقة </w:t>
      </w:r>
      <w:r w:rsidR="006A6932">
        <w:t>CWS/6/34</w:t>
      </w:r>
      <w:r w:rsidR="006A6932">
        <w:rPr>
          <w:rFonts w:hint="cs"/>
          <w:rtl/>
        </w:rPr>
        <w:t>).</w:t>
      </w:r>
    </w:p>
    <w:p w:rsidR="00C50A61" w:rsidRDefault="006A6932" w:rsidP="006A6932">
      <w:pPr>
        <w:pStyle w:val="Heading3"/>
        <w:rPr>
          <w:rtl/>
        </w:rPr>
      </w:pPr>
      <w:bookmarkStart w:id="13" w:name="ExtraPara"/>
      <w:bookmarkEnd w:id="13"/>
      <w:r>
        <w:rPr>
          <w:rFonts w:hint="cs"/>
          <w:rtl/>
        </w:rPr>
        <w:t>التقرير المرحلي</w:t>
      </w:r>
    </w:p>
    <w:p w:rsidR="006A6932" w:rsidRDefault="006A6932" w:rsidP="006A6932">
      <w:pPr>
        <w:pStyle w:val="ONUMA"/>
      </w:pPr>
      <w:r>
        <w:rPr>
          <w:rFonts w:hint="cs"/>
          <w:rtl/>
        </w:rPr>
        <w:t>عقب الدورة السادسة للجنة المعايير، عملت فرقة العمل المعنية بالوضع القانوني على إعداد ما يلي:</w:t>
      </w:r>
    </w:p>
    <w:p w:rsidR="006A6932" w:rsidRDefault="006A6932" w:rsidP="00176EFC">
      <w:pPr>
        <w:pStyle w:val="BodyTextFirstIndent"/>
        <w:numPr>
          <w:ilvl w:val="0"/>
          <w:numId w:val="45"/>
        </w:numPr>
      </w:pPr>
      <w:r w:rsidRPr="006A6932">
        <w:rPr>
          <w:rtl/>
        </w:rPr>
        <w:t>اقتراح نهائي للأحداث المفصّلة بناء</w:t>
      </w:r>
      <w:r w:rsidR="00176EFC">
        <w:rPr>
          <w:rFonts w:hint="cs"/>
          <w:rtl/>
        </w:rPr>
        <w:t>ً</w:t>
      </w:r>
      <w:r w:rsidRPr="006A6932">
        <w:rPr>
          <w:rtl/>
        </w:rPr>
        <w:t xml:space="preserve"> على المعلومات بشأن الربط بين الأحداث الوطنية أو الإقليمية للوضع القانوني وأحداث المعيار </w:t>
      </w:r>
      <w:r w:rsidRPr="006A6932">
        <w:t>ST.27</w:t>
      </w:r>
      <w:r w:rsidRPr="006A6932">
        <w:rPr>
          <w:rtl/>
        </w:rPr>
        <w:t xml:space="preserve"> التي قدمتها مكاتب الملكية </w:t>
      </w:r>
      <w:r w:rsidR="00176EFC">
        <w:rPr>
          <w:rFonts w:hint="cs"/>
          <w:rtl/>
        </w:rPr>
        <w:t>الفكرية</w:t>
      </w:r>
      <w:r w:rsidRPr="006A6932">
        <w:rPr>
          <w:rtl/>
        </w:rPr>
        <w:t>؛</w:t>
      </w:r>
    </w:p>
    <w:p w:rsidR="006A6932" w:rsidRPr="006A6932" w:rsidRDefault="00176EFC" w:rsidP="00176EFC">
      <w:pPr>
        <w:pStyle w:val="BodyTextFirstIndent"/>
        <w:numPr>
          <w:ilvl w:val="0"/>
          <w:numId w:val="45"/>
        </w:numPr>
      </w:pPr>
      <w:r>
        <w:rPr>
          <w:rFonts w:hint="cs"/>
          <w:rtl/>
        </w:rPr>
        <w:t xml:space="preserve">نسخة محدّثة </w:t>
      </w:r>
      <w:r w:rsidR="006A6932">
        <w:rPr>
          <w:rFonts w:hint="cs"/>
          <w:rtl/>
        </w:rPr>
        <w:t>للوثيقة الارشادية</w:t>
      </w:r>
      <w:r>
        <w:rPr>
          <w:rFonts w:hint="cs"/>
          <w:rtl/>
        </w:rPr>
        <w:t xml:space="preserve"> المدرجة</w:t>
      </w:r>
      <w:r w:rsidR="006A6932">
        <w:rPr>
          <w:rFonts w:hint="cs"/>
          <w:rtl/>
        </w:rPr>
        <w:t xml:space="preserve"> في المعيار </w:t>
      </w:r>
      <w:r w:rsidR="006A6932">
        <w:t>ST.27</w:t>
      </w:r>
      <w:r w:rsidR="006A6932">
        <w:rPr>
          <w:rFonts w:hint="cs"/>
          <w:rtl/>
          <w:lang w:val="fr-CH" w:bidi="ar-SY"/>
        </w:rPr>
        <w:t>.</w:t>
      </w:r>
    </w:p>
    <w:p w:rsidR="006A6932" w:rsidRDefault="006A6932" w:rsidP="006A6932">
      <w:pPr>
        <w:pStyle w:val="ONUMA"/>
      </w:pPr>
      <w:r>
        <w:rPr>
          <w:rFonts w:hint="cs"/>
          <w:rtl/>
        </w:rPr>
        <w:t>وتُعرض نتائج أنشطة فرقة العمل كي تنظر فيها اللجنة في دورتها السابعة كما يلي:</w:t>
      </w:r>
    </w:p>
    <w:p w:rsidR="006A6932" w:rsidRDefault="006A6932" w:rsidP="006A6932">
      <w:pPr>
        <w:pStyle w:val="BodyTextFirstIndent"/>
        <w:numPr>
          <w:ilvl w:val="0"/>
          <w:numId w:val="45"/>
        </w:numPr>
      </w:pPr>
      <w:r w:rsidRPr="006A6932">
        <w:rPr>
          <w:rtl/>
        </w:rPr>
        <w:t xml:space="preserve">المراجعة المقترحة لمعيار الويبو </w:t>
      </w:r>
      <w:r w:rsidRPr="006A6932">
        <w:t>ST.27</w:t>
      </w:r>
      <w:r w:rsidRPr="006A6932">
        <w:rPr>
          <w:rtl/>
        </w:rPr>
        <w:t xml:space="preserve">، بما في ذلك آخر الأحداث المفصلة ووثيقة إرشادية مؤقتة (انظر الوثيقة </w:t>
      </w:r>
      <w:r w:rsidRPr="006A6932">
        <w:t>CWS/</w:t>
      </w:r>
      <w:r>
        <w:t>7</w:t>
      </w:r>
      <w:r w:rsidRPr="006A6932">
        <w:t>/12</w:t>
      </w:r>
      <w:r>
        <w:rPr>
          <w:rtl/>
        </w:rPr>
        <w:t>)</w:t>
      </w:r>
      <w:r>
        <w:rPr>
          <w:rFonts w:hint="cs"/>
          <w:rtl/>
        </w:rPr>
        <w:t>.</w:t>
      </w:r>
    </w:p>
    <w:p w:rsidR="006A6932" w:rsidRDefault="00176EFC" w:rsidP="006A6932">
      <w:pPr>
        <w:pStyle w:val="Heading4"/>
        <w:rPr>
          <w:rtl/>
        </w:rPr>
      </w:pPr>
      <w:r>
        <w:rPr>
          <w:rtl/>
        </w:rPr>
        <w:t>ربط الأحداث الوطنية</w:t>
      </w:r>
      <w:r>
        <w:rPr>
          <w:rFonts w:hint="cs"/>
          <w:rtl/>
        </w:rPr>
        <w:t>/</w:t>
      </w:r>
      <w:r w:rsidR="006A6932" w:rsidRPr="006A6932">
        <w:rPr>
          <w:rtl/>
        </w:rPr>
        <w:t>الإقليمية ب</w:t>
      </w:r>
      <w:r>
        <w:rPr>
          <w:rFonts w:hint="cs"/>
          <w:rtl/>
        </w:rPr>
        <w:t xml:space="preserve">أحداث </w:t>
      </w:r>
      <w:r w:rsidR="006A6932" w:rsidRPr="006A6932">
        <w:rPr>
          <w:rtl/>
        </w:rPr>
        <w:t xml:space="preserve">المعيار </w:t>
      </w:r>
      <w:r w:rsidR="006A6932" w:rsidRPr="006A6932">
        <w:t>ST.27</w:t>
      </w:r>
    </w:p>
    <w:p w:rsidR="006A6932" w:rsidRPr="006A6932" w:rsidRDefault="006A6932" w:rsidP="00176EFC">
      <w:pPr>
        <w:pStyle w:val="ONUMA"/>
      </w:pPr>
      <w:r>
        <w:rPr>
          <w:rFonts w:hint="cs"/>
          <w:rtl/>
        </w:rPr>
        <w:t xml:space="preserve">وافقت لجنة المعايير على جداول الربط الموحدة المؤقتة </w:t>
      </w:r>
      <w:r w:rsidR="00176EFC">
        <w:rPr>
          <w:rFonts w:hint="cs"/>
          <w:rtl/>
        </w:rPr>
        <w:t>التي وردتها</w:t>
      </w:r>
      <w:r>
        <w:rPr>
          <w:rFonts w:hint="cs"/>
          <w:rtl/>
        </w:rPr>
        <w:t xml:space="preserve"> من 12 مكتباً للملكية الصناعية </w:t>
      </w:r>
      <w:r w:rsidR="00176EFC">
        <w:rPr>
          <w:rFonts w:hint="cs"/>
          <w:rtl/>
        </w:rPr>
        <w:t>خلال</w:t>
      </w:r>
      <w:r>
        <w:rPr>
          <w:rFonts w:hint="cs"/>
          <w:rtl/>
        </w:rPr>
        <w:t xml:space="preserve"> دورتها السادسة، وطلبت إلى الأمانة أن تنشره</w:t>
      </w:r>
      <w:r w:rsidR="00176EFC">
        <w:rPr>
          <w:rFonts w:hint="cs"/>
          <w:rtl/>
        </w:rPr>
        <w:t>ا</w:t>
      </w:r>
      <w:r>
        <w:rPr>
          <w:rFonts w:hint="cs"/>
          <w:rtl/>
        </w:rPr>
        <w:t xml:space="preserve"> على موقع الويبو الإلكتروني. (انظر الفقرة 91 من الوثيقة </w:t>
      </w:r>
      <w:r>
        <w:t>CWS/6/24</w:t>
      </w:r>
      <w:r>
        <w:rPr>
          <w:rFonts w:hint="cs"/>
          <w:rtl/>
        </w:rPr>
        <w:t>).</w:t>
      </w:r>
      <w:r>
        <w:rPr>
          <w:rFonts w:hint="cs"/>
          <w:rtl/>
          <w:lang w:val="fr-CH" w:bidi="ar-SY"/>
        </w:rPr>
        <w:t xml:space="preserve"> وفي يناير 2019، نشر المكتب ا</w:t>
      </w:r>
      <w:r w:rsidR="00176EFC">
        <w:rPr>
          <w:rFonts w:hint="cs"/>
          <w:rtl/>
          <w:lang w:val="fr-CH" w:bidi="ar-SY"/>
        </w:rPr>
        <w:t>لدولي جداول الربط فيما يتعلق ب</w:t>
      </w:r>
      <w:r>
        <w:rPr>
          <w:rFonts w:hint="cs"/>
          <w:rtl/>
          <w:lang w:val="fr-CH" w:bidi="ar-SY"/>
        </w:rPr>
        <w:t xml:space="preserve">المعيار </w:t>
      </w:r>
      <w:r>
        <w:rPr>
          <w:lang w:bidi="ar-SY"/>
        </w:rPr>
        <w:t>ST.27</w:t>
      </w:r>
      <w:r>
        <w:rPr>
          <w:rFonts w:hint="cs"/>
          <w:rtl/>
          <w:lang w:val="fr-CH" w:bidi="ar-SY"/>
        </w:rPr>
        <w:t xml:space="preserve">، الواردة من 12 مكتباً للملكية </w:t>
      </w:r>
      <w:r w:rsidR="00176EFC">
        <w:rPr>
          <w:rFonts w:hint="cs"/>
          <w:rtl/>
          <w:lang w:val="fr-CH" w:bidi="ar-SY"/>
        </w:rPr>
        <w:t>الفكرية</w:t>
      </w:r>
      <w:r>
        <w:rPr>
          <w:rFonts w:hint="cs"/>
          <w:rtl/>
          <w:lang w:val="fr-CH" w:bidi="ar-SY"/>
        </w:rPr>
        <w:t xml:space="preserve">، </w:t>
      </w:r>
      <w:r w:rsidR="00176EFC">
        <w:rPr>
          <w:rFonts w:hint="cs"/>
          <w:rtl/>
          <w:lang w:val="fr-CH" w:bidi="ar-SY"/>
        </w:rPr>
        <w:t>في</w:t>
      </w:r>
      <w:r>
        <w:rPr>
          <w:rFonts w:hint="cs"/>
          <w:rtl/>
          <w:lang w:val="fr-CH" w:bidi="ar-SY"/>
        </w:rPr>
        <w:t xml:space="preserve"> الجزء 7.13 من </w:t>
      </w:r>
      <w:r w:rsidR="00B8312C">
        <w:rPr>
          <w:rFonts w:hint="cs"/>
          <w:rtl/>
          <w:lang w:val="fr-CH" w:bidi="ar-SY"/>
        </w:rPr>
        <w:t>دليل</w:t>
      </w:r>
      <w:r>
        <w:rPr>
          <w:rFonts w:hint="cs"/>
          <w:rtl/>
          <w:lang w:val="fr-CH" w:bidi="ar-SY"/>
        </w:rPr>
        <w:t xml:space="preserve"> الويبو.</w:t>
      </w:r>
    </w:p>
    <w:p w:rsidR="006A6932" w:rsidRPr="006A6932" w:rsidRDefault="006A6932" w:rsidP="00CF7775">
      <w:pPr>
        <w:pStyle w:val="ONUMA"/>
        <w:rPr>
          <w:rtl/>
        </w:rPr>
      </w:pPr>
      <w:r>
        <w:rPr>
          <w:rFonts w:hint="cs"/>
          <w:rtl/>
        </w:rPr>
        <w:t xml:space="preserve">وإضافة إلى ذلك، واصل </w:t>
      </w:r>
      <w:r w:rsidRPr="006A6932">
        <w:rPr>
          <w:rtl/>
        </w:rPr>
        <w:t xml:space="preserve">المكتب الدولي </w:t>
      </w:r>
      <w:r>
        <w:rPr>
          <w:rFonts w:hint="cs"/>
          <w:rtl/>
        </w:rPr>
        <w:t>ال</w:t>
      </w:r>
      <w:r w:rsidRPr="006A6932">
        <w:rPr>
          <w:rtl/>
        </w:rPr>
        <w:t>تعاون مع المكتب الأوروبي للبراءات لإعداد جداول ربط للأحداث الوطنية أو الإقليمية للوضع القانوني للبراءات، الواردة في قاعدة بيانات المركز الدولي لوثائق البراءات (</w:t>
      </w:r>
      <w:r w:rsidRPr="006A6932">
        <w:t>INPADOC</w:t>
      </w:r>
      <w:r w:rsidRPr="006A6932">
        <w:rPr>
          <w:rtl/>
        </w:rPr>
        <w:t>)، التي يزودها حوالي 50 مكتباً من مكاتب الملكية الصناعية بمعلومات.</w:t>
      </w:r>
      <w:r>
        <w:rPr>
          <w:rFonts w:hint="cs"/>
          <w:rtl/>
        </w:rPr>
        <w:t xml:space="preserve"> </w:t>
      </w:r>
      <w:r w:rsidR="00CF7775" w:rsidRPr="00CF7775">
        <w:rPr>
          <w:rtl/>
        </w:rPr>
        <w:t xml:space="preserve">ويعتبر المكتب الدولي أن هذا العمل التعاوني يكتسي أهمية بالغة من أجل تقديم معلومات أكثر اتساقاً ودقةً عن الوضع القانوني وفقاً لمعيار الويبو </w:t>
      </w:r>
      <w:r w:rsidR="00CF7775" w:rsidRPr="00CF7775">
        <w:t>ST.27</w:t>
      </w:r>
      <w:r w:rsidR="00CF7775" w:rsidRPr="00CF7775">
        <w:rPr>
          <w:rtl/>
        </w:rPr>
        <w:t>، مما سيفيد مجتمع الملكية الفكرية عموماً والمستخدمين خصوصاً.</w:t>
      </w:r>
    </w:p>
    <w:p w:rsidR="006A6932" w:rsidRDefault="00CF7775" w:rsidP="00CF7775">
      <w:pPr>
        <w:pStyle w:val="Heading4"/>
        <w:rPr>
          <w:rtl/>
          <w:lang w:val="fr-CH" w:bidi="ar-SY"/>
        </w:rPr>
      </w:pPr>
      <w:r>
        <w:rPr>
          <w:rFonts w:hint="cs"/>
          <w:rtl/>
        </w:rPr>
        <w:lastRenderedPageBreak/>
        <w:t xml:space="preserve">اقتراح مراجعة معيار الويبو </w:t>
      </w:r>
      <w:r>
        <w:t>ST.27</w:t>
      </w:r>
    </w:p>
    <w:p w:rsidR="00CF7775" w:rsidRDefault="00CF7775" w:rsidP="00176EFC">
      <w:pPr>
        <w:pStyle w:val="ONUMA"/>
        <w:rPr>
          <w:lang w:val="fr-CH" w:bidi="ar-SY"/>
        </w:rPr>
      </w:pPr>
      <w:r>
        <w:rPr>
          <w:rFonts w:hint="cs"/>
          <w:rtl/>
          <w:lang w:val="fr-CH" w:bidi="ar-SY"/>
        </w:rPr>
        <w:t>منذ الدورة السادسة للجنة المعايير، واصلت فرقة العمل المعنية بالوضع الق</w:t>
      </w:r>
      <w:r w:rsidR="00176EFC">
        <w:rPr>
          <w:rFonts w:hint="cs"/>
          <w:rtl/>
          <w:lang w:val="fr-CH" w:bidi="ar-SY"/>
        </w:rPr>
        <w:t xml:space="preserve">انوني العمل على تنفيذ المهمة 47، </w:t>
      </w:r>
      <w:r>
        <w:rPr>
          <w:rFonts w:hint="cs"/>
          <w:rtl/>
          <w:lang w:val="fr-CH" w:bidi="ar-SY"/>
        </w:rPr>
        <w:t xml:space="preserve">ولاحظت </w:t>
      </w:r>
      <w:r w:rsidR="00176EFC">
        <w:rPr>
          <w:rFonts w:hint="cs"/>
          <w:rtl/>
          <w:lang w:val="fr-CH" w:bidi="ar-SY"/>
        </w:rPr>
        <w:t>ضرورة إجراء</w:t>
      </w:r>
      <w:r>
        <w:rPr>
          <w:rFonts w:hint="cs"/>
          <w:rtl/>
          <w:lang w:val="fr-CH" w:bidi="ar-SY"/>
        </w:rPr>
        <w:t xml:space="preserve"> مراجعة أخرى للمعيار </w:t>
      </w:r>
      <w:r>
        <w:rPr>
          <w:lang w:bidi="ar-SY"/>
        </w:rPr>
        <w:t>ST.27</w:t>
      </w:r>
      <w:r>
        <w:rPr>
          <w:rFonts w:hint="cs"/>
          <w:rtl/>
          <w:lang w:val="fr-CH" w:bidi="ar-SY"/>
        </w:rPr>
        <w:t>. وعقدت فرقة العمل ستة اجتماعات عبر الإنترنت لمناقشة التغييرات</w:t>
      </w:r>
      <w:r w:rsidR="00176EFC">
        <w:rPr>
          <w:rFonts w:hint="cs"/>
          <w:rtl/>
          <w:lang w:val="fr-CH" w:bidi="ar-SY"/>
        </w:rPr>
        <w:t>: كانت</w:t>
      </w:r>
      <w:r>
        <w:rPr>
          <w:rFonts w:hint="cs"/>
          <w:rtl/>
          <w:lang w:val="fr-CH" w:bidi="ar-SY"/>
        </w:rPr>
        <w:t xml:space="preserve"> </w:t>
      </w:r>
      <w:r w:rsidRPr="00CF7775">
        <w:rPr>
          <w:rtl/>
          <w:lang w:val="fr-CH" w:bidi="ar-SY"/>
        </w:rPr>
        <w:t>ثلاثة اجتماعات حول أمثلة السيناريوهات الشائعة و</w:t>
      </w:r>
      <w:r>
        <w:rPr>
          <w:rtl/>
          <w:lang w:val="fr-CH" w:bidi="ar-SY"/>
        </w:rPr>
        <w:t xml:space="preserve">ثلاثة اجتماعات حول مراجعات </w:t>
      </w:r>
      <w:r w:rsidRPr="00CF7775">
        <w:rPr>
          <w:rtl/>
          <w:lang w:val="fr-CH" w:bidi="ar-SY"/>
        </w:rPr>
        <w:t>أحداث</w:t>
      </w:r>
      <w:r>
        <w:rPr>
          <w:rFonts w:hint="cs"/>
          <w:rtl/>
          <w:lang w:val="fr-CH" w:bidi="ar-SY"/>
        </w:rPr>
        <w:t xml:space="preserve"> المعيار</w:t>
      </w:r>
      <w:r w:rsidRPr="00CF7775">
        <w:rPr>
          <w:rtl/>
          <w:lang w:val="fr-CH" w:bidi="ar-SY"/>
        </w:rPr>
        <w:t xml:space="preserve"> </w:t>
      </w:r>
      <w:r w:rsidRPr="00CF7775">
        <w:rPr>
          <w:lang w:val="fr-CH" w:bidi="ar-SY"/>
        </w:rPr>
        <w:t>ST.27</w:t>
      </w:r>
      <w:r w:rsidRPr="00CF7775">
        <w:rPr>
          <w:rtl/>
          <w:lang w:val="fr-CH" w:bidi="ar-SY"/>
        </w:rPr>
        <w:t>.</w:t>
      </w:r>
    </w:p>
    <w:p w:rsidR="00CF7775" w:rsidRDefault="00CF7775" w:rsidP="00CF7775">
      <w:pPr>
        <w:pStyle w:val="ONUMA"/>
        <w:rPr>
          <w:lang w:val="fr-CH" w:bidi="ar-SY"/>
        </w:rPr>
      </w:pPr>
      <w:r>
        <w:rPr>
          <w:rFonts w:hint="cs"/>
          <w:rtl/>
          <w:lang w:val="fr-CH" w:bidi="ar-SY"/>
        </w:rPr>
        <w:t>وتشمل التنقيحات المقترحة خلال الدورة السابعة للجنة المعايير ما يلي:</w:t>
      </w:r>
    </w:p>
    <w:p w:rsidR="00CF7775" w:rsidRDefault="00CF7775" w:rsidP="004E0745">
      <w:pPr>
        <w:pStyle w:val="BodyTextFirstIndent"/>
        <w:numPr>
          <w:ilvl w:val="0"/>
          <w:numId w:val="45"/>
        </w:numPr>
        <w:spacing w:before="0"/>
        <w:ind w:left="922"/>
        <w:rPr>
          <w:lang w:val="fr-CH"/>
        </w:rPr>
      </w:pPr>
      <w:r>
        <w:rPr>
          <w:rFonts w:hint="cs"/>
          <w:rtl/>
          <w:lang w:val="fr-CH"/>
        </w:rPr>
        <w:t xml:space="preserve">توضيح التحديثات فيما يتعلق بالحدثين </w:t>
      </w:r>
      <w:r w:rsidRPr="00107574">
        <w:rPr>
          <w:lang w:val="fr-CH"/>
        </w:rPr>
        <w:t>R13</w:t>
      </w:r>
      <w:r>
        <w:rPr>
          <w:rFonts w:hint="cs"/>
          <w:rtl/>
          <w:lang w:val="fr-CH" w:bidi="ar-SY"/>
        </w:rPr>
        <w:t xml:space="preserve"> و</w:t>
      </w:r>
      <w:r w:rsidRPr="00107574">
        <w:rPr>
          <w:lang w:val="fr-CH" w:bidi="ar-SY"/>
        </w:rPr>
        <w:t>R14</w:t>
      </w:r>
      <w:r>
        <w:rPr>
          <w:rFonts w:hint="cs"/>
          <w:rtl/>
          <w:lang w:val="fr-CH" w:bidi="ar-SY"/>
        </w:rPr>
        <w:t xml:space="preserve"> (تحديثات الأسماء ونقل الملكية)؛</w:t>
      </w:r>
    </w:p>
    <w:p w:rsidR="00CF7775" w:rsidRPr="00CF7775" w:rsidRDefault="00CF7775" w:rsidP="00176EFC">
      <w:pPr>
        <w:pStyle w:val="BodyTextFirstIndent"/>
        <w:numPr>
          <w:ilvl w:val="0"/>
          <w:numId w:val="45"/>
        </w:numPr>
        <w:spacing w:before="0"/>
        <w:ind w:left="922"/>
        <w:rPr>
          <w:lang w:val="fr-CH"/>
        </w:rPr>
      </w:pPr>
      <w:r>
        <w:rPr>
          <w:rFonts w:hint="cs"/>
          <w:rtl/>
          <w:lang w:val="fr-CH" w:bidi="ar-SY"/>
        </w:rPr>
        <w:t>تغيير المصطلح "</w:t>
      </w:r>
      <w:proofErr w:type="spellStart"/>
      <w:r w:rsidR="00176EFC">
        <w:rPr>
          <w:lang w:val="fr-CH" w:bidi="ar-SY"/>
        </w:rPr>
        <w:t>issued</w:t>
      </w:r>
      <w:proofErr w:type="spellEnd"/>
      <w:r>
        <w:rPr>
          <w:rFonts w:hint="cs"/>
          <w:rtl/>
          <w:lang w:val="fr-CH" w:bidi="ar-SY"/>
        </w:rPr>
        <w:t>" إلى "</w:t>
      </w:r>
      <w:proofErr w:type="spellStart"/>
      <w:r w:rsidR="00176EFC">
        <w:rPr>
          <w:lang w:val="fr-CH" w:bidi="ar-SY"/>
        </w:rPr>
        <w:t>completed</w:t>
      </w:r>
      <w:proofErr w:type="spellEnd"/>
      <w:r>
        <w:rPr>
          <w:rFonts w:hint="cs"/>
          <w:rtl/>
          <w:lang w:val="fr-CH" w:bidi="ar-SY"/>
        </w:rPr>
        <w:t xml:space="preserve">" في الحدثين </w:t>
      </w:r>
      <w:r w:rsidRPr="00107574">
        <w:rPr>
          <w:lang w:val="fr-CH"/>
        </w:rPr>
        <w:t>D14</w:t>
      </w:r>
      <w:r>
        <w:rPr>
          <w:rFonts w:hint="cs"/>
          <w:rtl/>
          <w:lang w:val="fr-CH" w:bidi="ar-SY"/>
        </w:rPr>
        <w:t xml:space="preserve"> و</w:t>
      </w:r>
      <w:r w:rsidRPr="00107574">
        <w:rPr>
          <w:lang w:val="fr-CH" w:bidi="ar-SY"/>
        </w:rPr>
        <w:t>D15</w:t>
      </w:r>
      <w:r>
        <w:rPr>
          <w:rFonts w:hint="cs"/>
          <w:rtl/>
          <w:lang w:bidi="ar-SY"/>
        </w:rPr>
        <w:t xml:space="preserve"> (تقارير البحث والفحص)؛</w:t>
      </w:r>
    </w:p>
    <w:p w:rsidR="00CF7775" w:rsidRDefault="00CF7775" w:rsidP="004E0745">
      <w:pPr>
        <w:pStyle w:val="BodyTextFirstIndent"/>
        <w:numPr>
          <w:ilvl w:val="0"/>
          <w:numId w:val="45"/>
        </w:numPr>
        <w:spacing w:before="0"/>
        <w:ind w:left="922"/>
        <w:rPr>
          <w:lang w:val="fr-CH"/>
        </w:rPr>
      </w:pPr>
      <w:r>
        <w:rPr>
          <w:rFonts w:hint="cs"/>
          <w:rtl/>
          <w:lang w:val="fr-CH"/>
        </w:rPr>
        <w:t>توضيح أنواع الطلبات وحقوق الملكية الفكرية المشمولة في أوصاف الفئات؛</w:t>
      </w:r>
    </w:p>
    <w:p w:rsidR="00CF7775" w:rsidRDefault="00CF7775" w:rsidP="004E0745">
      <w:pPr>
        <w:pStyle w:val="BodyTextFirstIndent"/>
        <w:numPr>
          <w:ilvl w:val="0"/>
          <w:numId w:val="45"/>
        </w:numPr>
        <w:spacing w:before="0"/>
        <w:ind w:left="922"/>
        <w:rPr>
          <w:lang w:val="fr-CH"/>
        </w:rPr>
      </w:pPr>
      <w:r>
        <w:rPr>
          <w:rFonts w:hint="cs"/>
          <w:rtl/>
          <w:lang w:val="fr-CH"/>
        </w:rPr>
        <w:t>تحديث الوثيقة الارشادية بإضافة "</w:t>
      </w:r>
      <w:r w:rsidR="00176EFC">
        <w:rPr>
          <w:rFonts w:hint="cs"/>
          <w:rtl/>
          <w:lang w:val="fr-CH" w:bidi="ar-SY"/>
        </w:rPr>
        <w:t>ال</w:t>
      </w:r>
      <w:r>
        <w:rPr>
          <w:rFonts w:hint="cs"/>
          <w:rtl/>
          <w:lang w:val="fr-CH"/>
        </w:rPr>
        <w:t xml:space="preserve">سيناريوهات </w:t>
      </w:r>
      <w:r w:rsidR="0046424C">
        <w:rPr>
          <w:rFonts w:hint="cs"/>
          <w:rtl/>
          <w:lang w:val="fr-CH"/>
        </w:rPr>
        <w:t>الشائعة</w:t>
      </w:r>
      <w:r>
        <w:rPr>
          <w:rFonts w:hint="cs"/>
          <w:rtl/>
          <w:lang w:val="fr-CH"/>
        </w:rPr>
        <w:t>"</w:t>
      </w:r>
      <w:r w:rsidR="0046424C">
        <w:rPr>
          <w:rFonts w:hint="cs"/>
          <w:rtl/>
          <w:lang w:val="fr-CH"/>
        </w:rPr>
        <w:t>، التي توضح كيف تقوم عدة مكاتب مختلفة بتحديد خمسة أمثلة شائعة لسيناريوهات دورة حياة البراءات؛</w:t>
      </w:r>
    </w:p>
    <w:p w:rsidR="0046424C" w:rsidRDefault="0046424C" w:rsidP="00176EFC">
      <w:pPr>
        <w:pStyle w:val="BodyTextFirstIndent"/>
        <w:numPr>
          <w:ilvl w:val="0"/>
          <w:numId w:val="45"/>
        </w:numPr>
        <w:spacing w:before="0"/>
        <w:ind w:left="922"/>
        <w:rPr>
          <w:lang w:val="fr-CH"/>
        </w:rPr>
      </w:pPr>
      <w:r>
        <w:rPr>
          <w:rFonts w:hint="cs"/>
          <w:rtl/>
          <w:lang w:val="fr-CH"/>
        </w:rPr>
        <w:t xml:space="preserve">تغيير اسم الفئة </w:t>
      </w:r>
      <w:r w:rsidRPr="00107574">
        <w:rPr>
          <w:lang w:val="fr-CH"/>
        </w:rPr>
        <w:t>S</w:t>
      </w:r>
      <w:r>
        <w:rPr>
          <w:rFonts w:hint="cs"/>
          <w:rtl/>
          <w:lang w:val="fr-CH" w:bidi="ar-SY"/>
        </w:rPr>
        <w:t xml:space="preserve"> من "</w:t>
      </w:r>
      <w:r w:rsidR="00176EFC" w:rsidRPr="00107574">
        <w:rPr>
          <w:lang w:val="fr-CH" w:bidi="ar-SY"/>
        </w:rPr>
        <w:t>licensing</w:t>
      </w:r>
      <w:r>
        <w:rPr>
          <w:rFonts w:hint="cs"/>
          <w:rtl/>
          <w:lang w:val="fr-CH" w:bidi="ar-SY"/>
        </w:rPr>
        <w:t>" إلى "</w:t>
      </w:r>
      <w:r w:rsidR="00176EFC" w:rsidRPr="00107574">
        <w:rPr>
          <w:lang w:val="fr-CH" w:bidi="ar-SY"/>
        </w:rPr>
        <w:t>licensing</w:t>
      </w:r>
      <w:r w:rsidR="00176EFC">
        <w:rPr>
          <w:lang w:val="fr-CH" w:bidi="ar-SY"/>
        </w:rPr>
        <w:t xml:space="preserve"> and </w:t>
      </w:r>
      <w:proofErr w:type="spellStart"/>
      <w:r w:rsidR="00176EFC">
        <w:rPr>
          <w:lang w:val="fr-CH" w:bidi="ar-SY"/>
        </w:rPr>
        <w:t>related</w:t>
      </w:r>
      <w:proofErr w:type="spellEnd"/>
      <w:r w:rsidR="00176EFC">
        <w:rPr>
          <w:lang w:val="fr-CH" w:bidi="ar-SY"/>
        </w:rPr>
        <w:t xml:space="preserve"> </w:t>
      </w:r>
      <w:proofErr w:type="spellStart"/>
      <w:r w:rsidR="00176EFC">
        <w:rPr>
          <w:lang w:val="fr-CH" w:bidi="ar-SY"/>
        </w:rPr>
        <w:t>transations</w:t>
      </w:r>
      <w:proofErr w:type="spellEnd"/>
      <w:r w:rsidR="00176EFC">
        <w:rPr>
          <w:lang w:val="fr-CH" w:bidi="ar-SY"/>
        </w:rPr>
        <w:t xml:space="preserve"> </w:t>
      </w:r>
      <w:r>
        <w:rPr>
          <w:rFonts w:hint="cs"/>
          <w:rtl/>
          <w:lang w:val="fr-CH" w:bidi="ar-SY"/>
        </w:rPr>
        <w:t>"</w:t>
      </w:r>
      <w:r w:rsidR="004E0745">
        <w:rPr>
          <w:rFonts w:hint="cs"/>
          <w:rtl/>
          <w:lang w:val="fr-CH" w:bidi="ar-SY"/>
        </w:rPr>
        <w:t xml:space="preserve"> ليعكس محتويات الفئة بشكل أفضل؛</w:t>
      </w:r>
    </w:p>
    <w:p w:rsidR="004E0745" w:rsidRPr="004E0745" w:rsidRDefault="004E0745" w:rsidP="004E0745">
      <w:pPr>
        <w:pStyle w:val="BodyTextFirstIndent"/>
        <w:numPr>
          <w:ilvl w:val="0"/>
          <w:numId w:val="45"/>
        </w:numPr>
        <w:spacing w:before="0"/>
        <w:ind w:left="922"/>
        <w:rPr>
          <w:lang w:val="fr-CH"/>
        </w:rPr>
      </w:pPr>
      <w:r>
        <w:rPr>
          <w:rFonts w:hint="cs"/>
          <w:rtl/>
          <w:lang w:val="fr-CH"/>
        </w:rPr>
        <w:t xml:space="preserve">الجمع بين الأحداث في الفئة </w:t>
      </w:r>
      <w:r w:rsidRPr="00107574">
        <w:rPr>
          <w:lang w:val="fr-CH"/>
        </w:rPr>
        <w:t>S</w:t>
      </w:r>
      <w:r>
        <w:rPr>
          <w:rFonts w:hint="cs"/>
          <w:rtl/>
          <w:lang w:bidi="ar-SY"/>
        </w:rPr>
        <w:t xml:space="preserve"> من أجل تحقيق مستوى أكثر ملاءمة من التفاصيل؛</w:t>
      </w:r>
    </w:p>
    <w:p w:rsidR="004E0745" w:rsidRPr="004E0745" w:rsidRDefault="004E0745" w:rsidP="004E0745">
      <w:pPr>
        <w:pStyle w:val="BodyTextFirstIndent"/>
        <w:numPr>
          <w:ilvl w:val="0"/>
          <w:numId w:val="45"/>
        </w:numPr>
        <w:spacing w:before="0"/>
        <w:ind w:left="922"/>
        <w:rPr>
          <w:lang w:val="fr-CH"/>
        </w:rPr>
      </w:pPr>
      <w:r>
        <w:rPr>
          <w:rFonts w:hint="cs"/>
          <w:rtl/>
          <w:lang w:bidi="ar-SY"/>
        </w:rPr>
        <w:t>إضافة قسم خاص بالسيناريوهات الشائعة في الوثيقة الإرشادية مع أمثلة عن الحالات الشائعة في العديد من المكاتب؛</w:t>
      </w:r>
    </w:p>
    <w:p w:rsidR="004E0745" w:rsidRDefault="004E0745" w:rsidP="00176EFC">
      <w:pPr>
        <w:pStyle w:val="BodyTextFirstIndent"/>
        <w:numPr>
          <w:ilvl w:val="0"/>
          <w:numId w:val="45"/>
        </w:numPr>
        <w:spacing w:before="0"/>
        <w:ind w:left="922"/>
        <w:rPr>
          <w:lang w:val="fr-CH"/>
        </w:rPr>
      </w:pPr>
      <w:r>
        <w:rPr>
          <w:rFonts w:hint="cs"/>
          <w:rtl/>
          <w:lang w:val="fr-CH"/>
        </w:rPr>
        <w:t xml:space="preserve">إضافة عدد ثابت من الرموز إلى شفرات المعيار </w:t>
      </w:r>
      <w:r w:rsidRPr="00107574">
        <w:rPr>
          <w:lang w:val="fr-CH"/>
        </w:rPr>
        <w:t>ST.27</w:t>
      </w:r>
      <w:r>
        <w:rPr>
          <w:rFonts w:hint="cs"/>
          <w:rtl/>
          <w:lang w:val="fr-CH" w:bidi="ar-SY"/>
        </w:rPr>
        <w:t xml:space="preserve"> كحقل </w:t>
      </w:r>
      <w:r w:rsidR="00176EFC">
        <w:rPr>
          <w:rFonts w:hint="cs"/>
          <w:rtl/>
          <w:lang w:val="fr-CH" w:bidi="ar-SY"/>
        </w:rPr>
        <w:t>مخصّص</w:t>
      </w:r>
      <w:r>
        <w:rPr>
          <w:rFonts w:hint="cs"/>
          <w:rtl/>
          <w:lang w:val="fr-CH" w:bidi="ar-SY"/>
        </w:rPr>
        <w:t xml:space="preserve"> للاستخدام المستقبلي.</w:t>
      </w:r>
    </w:p>
    <w:p w:rsidR="00CF7775" w:rsidRPr="004E0745" w:rsidRDefault="004E0745" w:rsidP="00176EFC">
      <w:pPr>
        <w:pStyle w:val="BodyText"/>
        <w:rPr>
          <w:rtl/>
        </w:rPr>
      </w:pPr>
      <w:r w:rsidRPr="004E0745">
        <w:rPr>
          <w:rtl/>
        </w:rPr>
        <w:t xml:space="preserve">وترد </w:t>
      </w:r>
      <w:r w:rsidR="00176EFC">
        <w:rPr>
          <w:rFonts w:hint="cs"/>
          <w:rtl/>
        </w:rPr>
        <w:t>النسخة المنقحة</w:t>
      </w:r>
      <w:r w:rsidRPr="004E0745">
        <w:rPr>
          <w:rtl/>
        </w:rPr>
        <w:t xml:space="preserve"> المقترحة لمعيار الويبو </w:t>
      </w:r>
      <w:r w:rsidRPr="00107574">
        <w:rPr>
          <w:lang w:val="fr-CH"/>
        </w:rPr>
        <w:t>ST.27</w:t>
      </w:r>
      <w:r w:rsidRPr="004E0745">
        <w:rPr>
          <w:rtl/>
        </w:rPr>
        <w:t xml:space="preserve"> في مرفق الوثيقة </w:t>
      </w:r>
      <w:r w:rsidRPr="00107574">
        <w:rPr>
          <w:lang w:val="fr-CH"/>
        </w:rPr>
        <w:t>CWS/7/12</w:t>
      </w:r>
      <w:r w:rsidRPr="004E0745">
        <w:rPr>
          <w:rtl/>
        </w:rPr>
        <w:t>.</w:t>
      </w:r>
    </w:p>
    <w:p w:rsidR="00CF7775" w:rsidRPr="00CF7775" w:rsidRDefault="004E0745" w:rsidP="00176EFC">
      <w:pPr>
        <w:pStyle w:val="ONUMA"/>
        <w:rPr>
          <w:rtl/>
          <w:lang w:val="fr-CH"/>
        </w:rPr>
      </w:pPr>
      <w:r>
        <w:rPr>
          <w:rFonts w:hint="cs"/>
          <w:rtl/>
          <w:lang w:val="fr-CH"/>
        </w:rPr>
        <w:t>و</w:t>
      </w:r>
      <w:r w:rsidRPr="004E0745">
        <w:rPr>
          <w:rtl/>
          <w:lang w:val="fr-CH"/>
        </w:rPr>
        <w:t xml:space="preserve">تقترح فرقة العمل مواصلة مراجعة </w:t>
      </w:r>
      <w:r>
        <w:rPr>
          <w:rFonts w:hint="cs"/>
          <w:rtl/>
          <w:lang w:val="fr-CH"/>
        </w:rPr>
        <w:t>العناوين</w:t>
      </w:r>
      <w:r>
        <w:rPr>
          <w:rtl/>
          <w:lang w:val="fr-CH"/>
        </w:rPr>
        <w:t xml:space="preserve"> والأوصاف </w:t>
      </w:r>
      <w:r>
        <w:rPr>
          <w:rFonts w:hint="cs"/>
          <w:rtl/>
          <w:lang w:val="fr-CH"/>
        </w:rPr>
        <w:t>فيما يتعلق با</w:t>
      </w:r>
      <w:r>
        <w:rPr>
          <w:rtl/>
          <w:lang w:val="fr-CH"/>
        </w:rPr>
        <w:t>لفئات والأحداث حسب الحاجة</w:t>
      </w:r>
      <w:r w:rsidRPr="004E0745">
        <w:rPr>
          <w:rtl/>
          <w:lang w:val="fr-CH"/>
        </w:rPr>
        <w:t xml:space="preserve">، </w:t>
      </w:r>
      <w:r>
        <w:rPr>
          <w:rFonts w:hint="cs"/>
          <w:rtl/>
          <w:lang w:val="fr-CH"/>
        </w:rPr>
        <w:t>في حين</w:t>
      </w:r>
      <w:r w:rsidRPr="004E0745">
        <w:rPr>
          <w:rtl/>
          <w:lang w:val="fr-CH"/>
        </w:rPr>
        <w:t xml:space="preserve"> تواصل </w:t>
      </w:r>
      <w:r>
        <w:rPr>
          <w:rFonts w:hint="cs"/>
          <w:rtl/>
          <w:lang w:val="fr-CH"/>
        </w:rPr>
        <w:t xml:space="preserve">مكاتب الملكية </w:t>
      </w:r>
      <w:r w:rsidR="00176EFC">
        <w:rPr>
          <w:rFonts w:hint="cs"/>
          <w:rtl/>
          <w:lang w:val="fr-CH"/>
        </w:rPr>
        <w:t>الفكرية</w:t>
      </w:r>
      <w:r w:rsidRPr="004E0745">
        <w:rPr>
          <w:rtl/>
          <w:lang w:val="fr-CH"/>
        </w:rPr>
        <w:t xml:space="preserve"> تحديد </w:t>
      </w:r>
      <w:r>
        <w:rPr>
          <w:rFonts w:hint="cs"/>
          <w:rtl/>
          <w:lang w:val="fr-CH"/>
        </w:rPr>
        <w:t>جداول الربط الخاصة بها</w:t>
      </w:r>
      <w:r w:rsidR="00B74BF3">
        <w:rPr>
          <w:rtl/>
          <w:lang w:val="fr-CH"/>
        </w:rPr>
        <w:t xml:space="preserve"> واكتشاف المشكلات </w:t>
      </w:r>
      <w:r w:rsidR="00B74BF3">
        <w:rPr>
          <w:rFonts w:hint="cs"/>
          <w:rtl/>
          <w:lang w:val="fr-CH"/>
        </w:rPr>
        <w:t>من خلال ت</w:t>
      </w:r>
      <w:r w:rsidR="00B74BF3">
        <w:rPr>
          <w:rtl/>
          <w:lang w:val="fr-CH"/>
        </w:rPr>
        <w:t>وض</w:t>
      </w:r>
      <w:r w:rsidR="00B74BF3">
        <w:rPr>
          <w:rFonts w:hint="cs"/>
          <w:rtl/>
          <w:lang w:val="fr-CH"/>
        </w:rPr>
        <w:t>ي</w:t>
      </w:r>
      <w:r w:rsidRPr="004E0745">
        <w:rPr>
          <w:rtl/>
          <w:lang w:val="fr-CH"/>
        </w:rPr>
        <w:t xml:space="preserve">ح </w:t>
      </w:r>
      <w:r w:rsidR="00B74BF3" w:rsidRPr="004E0745">
        <w:rPr>
          <w:rtl/>
          <w:lang w:val="fr-CH"/>
        </w:rPr>
        <w:t xml:space="preserve">التغطية </w:t>
      </w:r>
      <w:r w:rsidRPr="004E0745">
        <w:rPr>
          <w:rtl/>
          <w:lang w:val="fr-CH"/>
        </w:rPr>
        <w:t xml:space="preserve">أو </w:t>
      </w:r>
      <w:r w:rsidR="00B74BF3">
        <w:rPr>
          <w:rFonts w:hint="cs"/>
          <w:rtl/>
          <w:lang w:val="fr-CH"/>
        </w:rPr>
        <w:t>استكمالها</w:t>
      </w:r>
      <w:r w:rsidRPr="004E0745">
        <w:rPr>
          <w:rtl/>
          <w:lang w:val="fr-CH"/>
        </w:rPr>
        <w:t>.</w:t>
      </w:r>
    </w:p>
    <w:p w:rsidR="00CF7775" w:rsidRDefault="00B74BF3" w:rsidP="00B74BF3">
      <w:pPr>
        <w:pStyle w:val="Heading4"/>
        <w:rPr>
          <w:rtl/>
          <w:lang w:val="fr-CH" w:bidi="ar-SY"/>
        </w:rPr>
      </w:pPr>
      <w:r w:rsidRPr="00B74BF3">
        <w:rPr>
          <w:rtl/>
          <w:lang w:val="fr-CH"/>
        </w:rPr>
        <w:t>خطة تنفيذ معيار الويبو</w:t>
      </w:r>
      <w:r>
        <w:rPr>
          <w:rFonts w:hint="cs"/>
          <w:rtl/>
          <w:lang w:val="fr-CH"/>
        </w:rPr>
        <w:t xml:space="preserve"> </w:t>
      </w:r>
      <w:r>
        <w:t>ST.87</w:t>
      </w:r>
    </w:p>
    <w:p w:rsidR="00B74BF3" w:rsidRPr="00B74BF3" w:rsidRDefault="00B74BF3" w:rsidP="00176EFC">
      <w:pPr>
        <w:pStyle w:val="ONUMA"/>
      </w:pPr>
      <w:r>
        <w:rPr>
          <w:rFonts w:hint="cs"/>
          <w:rtl/>
          <w:lang w:bidi="ar-SY"/>
        </w:rPr>
        <w:t xml:space="preserve">عملاً بالقرار الذي اتخذته لجنة المعايير في دورتها السادسة، </w:t>
      </w:r>
      <w:r w:rsidR="00176EFC">
        <w:rPr>
          <w:rFonts w:hint="cs"/>
          <w:rtl/>
          <w:lang w:bidi="ar-SY"/>
        </w:rPr>
        <w:t xml:space="preserve">أصدرت الأمانة، في 14 فبراير 2019، </w:t>
      </w:r>
      <w:r>
        <w:rPr>
          <w:rFonts w:hint="cs"/>
          <w:rtl/>
          <w:lang w:bidi="ar-SY"/>
        </w:rPr>
        <w:t xml:space="preserve">التعميم </w:t>
      </w:r>
      <w:r>
        <w:rPr>
          <w:lang w:bidi="ar-SY"/>
        </w:rPr>
        <w:t>C.CWS 113</w:t>
      </w:r>
      <w:r>
        <w:rPr>
          <w:rFonts w:hint="cs"/>
          <w:rtl/>
          <w:lang w:bidi="ar-SY"/>
        </w:rPr>
        <w:t xml:space="preserve"> الذي تدعو فيه مكاتب الملكية </w:t>
      </w:r>
      <w:r w:rsidR="00176EFC">
        <w:rPr>
          <w:rFonts w:hint="cs"/>
          <w:rtl/>
          <w:lang w:bidi="ar-SY"/>
        </w:rPr>
        <w:t>الفكرية</w:t>
      </w:r>
      <w:r>
        <w:rPr>
          <w:rFonts w:hint="cs"/>
          <w:rtl/>
          <w:lang w:bidi="ar-SY"/>
        </w:rPr>
        <w:t xml:space="preserve"> إلى تقديم نتائج (أ) تقييم ممارسات عملها وأنظمتها المعلوماتية من أجل التنفيذ التجريبي لمعيار الويبو </w:t>
      </w:r>
      <w:r>
        <w:rPr>
          <w:lang w:bidi="ar-SY"/>
        </w:rPr>
        <w:t>ST.87</w:t>
      </w:r>
      <w:r>
        <w:rPr>
          <w:rFonts w:hint="cs"/>
          <w:rtl/>
          <w:lang w:bidi="ar-SY"/>
        </w:rPr>
        <w:t xml:space="preserve"> و(ب) استعراض الأحداث المفصلة المؤقتة وفقاً للقوانين والممارسات الخاصة بكل منها</w:t>
      </w:r>
      <w:r>
        <w:rPr>
          <w:rFonts w:hint="cs"/>
          <w:rtl/>
          <w:lang w:val="fr-CH" w:bidi="ar-SY"/>
        </w:rPr>
        <w:t xml:space="preserve">. وطُلب من مكاتب الملكية </w:t>
      </w:r>
      <w:r w:rsidR="00176EFC">
        <w:rPr>
          <w:rFonts w:hint="cs"/>
          <w:rtl/>
          <w:lang w:val="fr-CH" w:bidi="ar-SY"/>
        </w:rPr>
        <w:t>الفكرية</w:t>
      </w:r>
      <w:r>
        <w:rPr>
          <w:rFonts w:hint="cs"/>
          <w:rtl/>
          <w:lang w:val="fr-CH" w:bidi="ar-SY"/>
        </w:rPr>
        <w:t xml:space="preserve"> تقديم جداول </w:t>
      </w:r>
      <w:r w:rsidR="00176EFC">
        <w:rPr>
          <w:rFonts w:hint="cs"/>
          <w:rtl/>
          <w:lang w:val="fr-CH" w:bidi="ar-SY"/>
        </w:rPr>
        <w:t>ال</w:t>
      </w:r>
      <w:r>
        <w:rPr>
          <w:rFonts w:hint="cs"/>
          <w:rtl/>
          <w:lang w:val="fr-CH" w:bidi="ar-SY"/>
        </w:rPr>
        <w:t xml:space="preserve">ربط </w:t>
      </w:r>
      <w:r w:rsidR="00176EFC">
        <w:rPr>
          <w:rFonts w:hint="cs"/>
          <w:rtl/>
          <w:lang w:val="fr-CH" w:bidi="ar-SY"/>
        </w:rPr>
        <w:t>مرفقة</w:t>
      </w:r>
      <w:r>
        <w:rPr>
          <w:rFonts w:hint="cs"/>
          <w:rtl/>
          <w:lang w:val="fr-CH" w:bidi="ar-SY"/>
        </w:rPr>
        <w:t xml:space="preserve"> </w:t>
      </w:r>
      <w:r w:rsidR="00176EFC">
        <w:rPr>
          <w:rFonts w:hint="cs"/>
          <w:rtl/>
          <w:lang w:val="fr-CH" w:bidi="ar-SY"/>
        </w:rPr>
        <w:t>ب</w:t>
      </w:r>
      <w:r>
        <w:rPr>
          <w:rFonts w:hint="cs"/>
          <w:rtl/>
          <w:lang w:val="fr-CH" w:bidi="ar-SY"/>
        </w:rPr>
        <w:t>بياناتها.</w:t>
      </w:r>
    </w:p>
    <w:p w:rsidR="00B74BF3" w:rsidRDefault="00B74BF3" w:rsidP="00B74BF3">
      <w:pPr>
        <w:pStyle w:val="ONUMA"/>
      </w:pPr>
      <w:r>
        <w:rPr>
          <w:rFonts w:hint="cs"/>
          <w:rtl/>
        </w:rPr>
        <w:t>ورد عشرة مكاتب على التعميم، وقدمت ثلاثة مكاتب (مولدوفا والاتحاد الروسي وأوكرانيا) جداول ربط مرفقة ببياناتها. و</w:t>
      </w:r>
      <w:r w:rsidRPr="00B74BF3">
        <w:rPr>
          <w:rtl/>
        </w:rPr>
        <w:t>يمكن إبداء المل</w:t>
      </w:r>
      <w:r>
        <w:rPr>
          <w:rtl/>
        </w:rPr>
        <w:t>احظات العامة التالية حول الردود</w:t>
      </w:r>
      <w:r w:rsidRPr="00B74BF3">
        <w:rPr>
          <w:rtl/>
        </w:rPr>
        <w:t>، وستتاح مزيد من المعلومات حول الرد</w:t>
      </w:r>
      <w:r w:rsidR="00176EFC">
        <w:rPr>
          <w:rtl/>
        </w:rPr>
        <w:t>ود على التعميم من خلال تقرير شف</w:t>
      </w:r>
      <w:r w:rsidR="00176EFC">
        <w:rPr>
          <w:rFonts w:hint="cs"/>
          <w:rtl/>
        </w:rPr>
        <w:t>ه</w:t>
      </w:r>
      <w:r w:rsidRPr="00B74BF3">
        <w:rPr>
          <w:rtl/>
        </w:rPr>
        <w:t xml:space="preserve">ي في إطار البند 11 (ج) من مشروع جدول الأعمال في الوثيقة </w:t>
      </w:r>
      <w:r w:rsidRPr="00B74BF3">
        <w:t>CWS</w:t>
      </w:r>
      <w:r>
        <w:t>/</w:t>
      </w:r>
      <w:r w:rsidRPr="00B74BF3">
        <w:t>7/1</w:t>
      </w:r>
      <w:r w:rsidRPr="00B74BF3">
        <w:rPr>
          <w:rtl/>
        </w:rPr>
        <w:t>:</w:t>
      </w:r>
    </w:p>
    <w:p w:rsidR="00B74BF3" w:rsidRDefault="00B74BF3" w:rsidP="007E293C">
      <w:pPr>
        <w:pStyle w:val="BodyTextFirstIndent"/>
        <w:numPr>
          <w:ilvl w:val="0"/>
          <w:numId w:val="45"/>
        </w:numPr>
      </w:pPr>
      <w:r w:rsidRPr="00B74BF3">
        <w:rPr>
          <w:rtl/>
        </w:rPr>
        <w:t xml:space="preserve">ردت </w:t>
      </w:r>
      <w:r w:rsidR="007E293C">
        <w:rPr>
          <w:rFonts w:hint="cs"/>
          <w:rtl/>
          <w:lang w:bidi="ar-SY"/>
        </w:rPr>
        <w:t>مكاتب عديدة</w:t>
      </w:r>
      <w:r w:rsidRPr="00B74BF3">
        <w:rPr>
          <w:rtl/>
        </w:rPr>
        <w:t xml:space="preserve"> بأن خطة تنفيذها ل</w:t>
      </w:r>
      <w:r w:rsidR="007E293C">
        <w:rPr>
          <w:rFonts w:hint="cs"/>
          <w:rtl/>
        </w:rPr>
        <w:t>معيار ا</w:t>
      </w:r>
      <w:r w:rsidRPr="00B74BF3">
        <w:rPr>
          <w:rtl/>
        </w:rPr>
        <w:t xml:space="preserve">لويبو </w:t>
      </w:r>
      <w:r w:rsidRPr="00B74BF3">
        <w:t>ST.87</w:t>
      </w:r>
      <w:r w:rsidRPr="00B74BF3">
        <w:rPr>
          <w:rtl/>
        </w:rPr>
        <w:t xml:space="preserve"> غير مؤكدة. </w:t>
      </w:r>
      <w:r w:rsidR="007E293C">
        <w:rPr>
          <w:rFonts w:hint="cs"/>
          <w:rtl/>
        </w:rPr>
        <w:t>و</w:t>
      </w:r>
      <w:r w:rsidRPr="00B74BF3">
        <w:rPr>
          <w:rtl/>
        </w:rPr>
        <w:t xml:space="preserve">تتطلب بعض المكاتب التمويل أولاً لإجراء تغييرات على </w:t>
      </w:r>
      <w:r w:rsidR="007E293C">
        <w:rPr>
          <w:rFonts w:hint="cs"/>
          <w:rtl/>
        </w:rPr>
        <w:t>أنظمتها المعلوماتية</w:t>
      </w:r>
      <w:r w:rsidRPr="00B74BF3">
        <w:rPr>
          <w:rtl/>
        </w:rPr>
        <w:t>؛</w:t>
      </w:r>
    </w:p>
    <w:p w:rsidR="007E293C" w:rsidRDefault="007E293C" w:rsidP="007E293C">
      <w:pPr>
        <w:pStyle w:val="BodyTextFirstIndent"/>
        <w:numPr>
          <w:ilvl w:val="0"/>
          <w:numId w:val="45"/>
        </w:numPr>
      </w:pPr>
      <w:r>
        <w:rPr>
          <w:rFonts w:hint="cs"/>
          <w:rtl/>
        </w:rPr>
        <w:t>و</w:t>
      </w:r>
      <w:r w:rsidRPr="007E293C">
        <w:rPr>
          <w:rtl/>
        </w:rPr>
        <w:t>قال مكتبان إنهما لا يزالان يجر</w:t>
      </w:r>
      <w:r>
        <w:rPr>
          <w:rFonts w:hint="cs"/>
          <w:rtl/>
        </w:rPr>
        <w:t>ي</w:t>
      </w:r>
      <w:r w:rsidRPr="007E293C">
        <w:rPr>
          <w:rtl/>
        </w:rPr>
        <w:t xml:space="preserve">ان تقييماتهما الداخلية </w:t>
      </w:r>
      <w:r>
        <w:rPr>
          <w:rFonts w:hint="cs"/>
          <w:rtl/>
        </w:rPr>
        <w:t>للمعيار</w:t>
      </w:r>
      <w:r w:rsidRPr="007E293C">
        <w:rPr>
          <w:rtl/>
        </w:rPr>
        <w:t xml:space="preserve"> </w:t>
      </w:r>
      <w:r w:rsidRPr="007E293C">
        <w:t>ST.87</w:t>
      </w:r>
      <w:r w:rsidR="00176EFC">
        <w:rPr>
          <w:rFonts w:hint="cs"/>
          <w:rtl/>
        </w:rPr>
        <w:t xml:space="preserve">، </w:t>
      </w:r>
      <w:r w:rsidRPr="007E293C">
        <w:rPr>
          <w:rtl/>
        </w:rPr>
        <w:t>ولم يكونا مستعدين لتقديم أي معلومات حتى الآن</w:t>
      </w:r>
      <w:r>
        <w:rPr>
          <w:rFonts w:hint="cs"/>
          <w:rtl/>
        </w:rPr>
        <w:t>؛</w:t>
      </w:r>
    </w:p>
    <w:p w:rsidR="007E293C" w:rsidRDefault="007E293C" w:rsidP="00176EFC">
      <w:pPr>
        <w:pStyle w:val="BodyTextFirstIndent"/>
        <w:numPr>
          <w:ilvl w:val="0"/>
          <w:numId w:val="45"/>
        </w:numPr>
      </w:pPr>
      <w:r>
        <w:rPr>
          <w:rFonts w:hint="cs"/>
          <w:rtl/>
        </w:rPr>
        <w:t>و</w:t>
      </w:r>
      <w:r w:rsidRPr="007E293C">
        <w:rPr>
          <w:rtl/>
        </w:rPr>
        <w:t>ذكرت الم</w:t>
      </w:r>
      <w:r>
        <w:rPr>
          <w:rtl/>
        </w:rPr>
        <w:t xml:space="preserve">كاتب الأخرى أنها تنتظر: </w:t>
      </w:r>
      <w:r>
        <w:rPr>
          <w:rFonts w:hint="cs"/>
          <w:rtl/>
        </w:rPr>
        <w:t xml:space="preserve">استكمال </w:t>
      </w:r>
      <w:r>
        <w:rPr>
          <w:rtl/>
        </w:rPr>
        <w:t xml:space="preserve">قائمة </w:t>
      </w:r>
      <w:r w:rsidRPr="007E293C">
        <w:rPr>
          <w:rtl/>
        </w:rPr>
        <w:t>أحداث</w:t>
      </w:r>
      <w:r>
        <w:rPr>
          <w:rFonts w:hint="cs"/>
          <w:rtl/>
        </w:rPr>
        <w:t xml:space="preserve"> المعيار</w:t>
      </w:r>
      <w:r w:rsidRPr="007E293C">
        <w:rPr>
          <w:rtl/>
        </w:rPr>
        <w:t xml:space="preserve"> </w:t>
      </w:r>
      <w:r w:rsidRPr="007E293C">
        <w:t>ST.87</w:t>
      </w:r>
      <w:r w:rsidRPr="007E293C">
        <w:rPr>
          <w:rtl/>
        </w:rPr>
        <w:t xml:space="preserve">، </w:t>
      </w:r>
      <w:r>
        <w:rPr>
          <w:rFonts w:hint="cs"/>
          <w:rtl/>
        </w:rPr>
        <w:t xml:space="preserve">أو تقديم </w:t>
      </w:r>
      <w:r w:rsidRPr="007E293C">
        <w:rPr>
          <w:rtl/>
        </w:rPr>
        <w:t>مكونات مخطط</w:t>
      </w:r>
      <w:r>
        <w:rPr>
          <w:rFonts w:hint="cs"/>
          <w:rtl/>
        </w:rPr>
        <w:t xml:space="preserve"> لغة الترميز الموسعة</w:t>
      </w:r>
      <w:r w:rsidRPr="007E293C">
        <w:rPr>
          <w:rtl/>
        </w:rPr>
        <w:t xml:space="preserve"> </w:t>
      </w:r>
      <w:r>
        <w:t>(XML)</w:t>
      </w:r>
      <w:r w:rsidRPr="007E293C">
        <w:rPr>
          <w:rtl/>
        </w:rPr>
        <w:t xml:space="preserve">؛ </w:t>
      </w:r>
      <w:r>
        <w:rPr>
          <w:rFonts w:hint="cs"/>
          <w:rtl/>
        </w:rPr>
        <w:t xml:space="preserve">أو بدء </w:t>
      </w:r>
      <w:r w:rsidRPr="007E293C">
        <w:rPr>
          <w:rtl/>
        </w:rPr>
        <w:t>ترقية نظام تكنول</w:t>
      </w:r>
      <w:r>
        <w:rPr>
          <w:rtl/>
        </w:rPr>
        <w:t xml:space="preserve">وجيا المعلومات المخطط؛ أو </w:t>
      </w:r>
      <w:r>
        <w:rPr>
          <w:rFonts w:hint="cs"/>
          <w:rtl/>
        </w:rPr>
        <w:t xml:space="preserve">استكمال </w:t>
      </w:r>
      <w:r w:rsidR="00176EFC">
        <w:rPr>
          <w:rFonts w:hint="cs"/>
          <w:rtl/>
        </w:rPr>
        <w:t>ال</w:t>
      </w:r>
      <w:r>
        <w:rPr>
          <w:rtl/>
        </w:rPr>
        <w:t>تحديث</w:t>
      </w:r>
      <w:r w:rsidR="00176EFC">
        <w:rPr>
          <w:rFonts w:hint="cs"/>
          <w:rtl/>
        </w:rPr>
        <w:t xml:space="preserve"> الجاري</w:t>
      </w:r>
      <w:r>
        <w:rPr>
          <w:rtl/>
        </w:rPr>
        <w:t xml:space="preserve"> </w:t>
      </w:r>
      <w:r w:rsidR="00176EFC">
        <w:rPr>
          <w:rFonts w:hint="cs"/>
          <w:rtl/>
        </w:rPr>
        <w:t>ل</w:t>
      </w:r>
      <w:r>
        <w:rPr>
          <w:rtl/>
        </w:rPr>
        <w:t>تكنولوجيا المعلومات</w:t>
      </w:r>
      <w:r w:rsidRPr="007E293C">
        <w:rPr>
          <w:rtl/>
        </w:rPr>
        <w:t>؛</w:t>
      </w:r>
    </w:p>
    <w:p w:rsidR="007E293C" w:rsidRDefault="007E293C" w:rsidP="007E293C">
      <w:pPr>
        <w:pStyle w:val="BodyTextFirstIndent"/>
        <w:numPr>
          <w:ilvl w:val="0"/>
          <w:numId w:val="45"/>
        </w:numPr>
      </w:pPr>
      <w:r>
        <w:rPr>
          <w:rFonts w:hint="cs"/>
          <w:rtl/>
        </w:rPr>
        <w:t>و</w:t>
      </w:r>
      <w:r w:rsidRPr="007E293C">
        <w:rPr>
          <w:rtl/>
        </w:rPr>
        <w:t xml:space="preserve">قدمت أربعة مكاتب جداول </w:t>
      </w:r>
      <w:r>
        <w:rPr>
          <w:rFonts w:hint="cs"/>
          <w:rtl/>
        </w:rPr>
        <w:t>الربط</w:t>
      </w:r>
      <w:r w:rsidRPr="007E293C">
        <w:rPr>
          <w:rtl/>
        </w:rPr>
        <w:t xml:space="preserve"> </w:t>
      </w:r>
      <w:r>
        <w:rPr>
          <w:rFonts w:hint="cs"/>
          <w:rtl/>
        </w:rPr>
        <w:t xml:space="preserve">بين </w:t>
      </w:r>
      <w:r w:rsidRPr="007E293C">
        <w:rPr>
          <w:rtl/>
        </w:rPr>
        <w:t xml:space="preserve">الأحداث الوطنية </w:t>
      </w:r>
      <w:r>
        <w:rPr>
          <w:rFonts w:hint="cs"/>
          <w:rtl/>
        </w:rPr>
        <w:t>و</w:t>
      </w:r>
      <w:r w:rsidRPr="007E293C">
        <w:rPr>
          <w:rtl/>
        </w:rPr>
        <w:t>أحداث</w:t>
      </w:r>
      <w:r>
        <w:rPr>
          <w:rFonts w:hint="cs"/>
          <w:rtl/>
        </w:rPr>
        <w:t xml:space="preserve"> المعيار</w:t>
      </w:r>
      <w:r w:rsidRPr="007E293C">
        <w:rPr>
          <w:rtl/>
        </w:rPr>
        <w:t xml:space="preserve"> </w:t>
      </w:r>
      <w:r w:rsidRPr="007E293C">
        <w:t>ST.87</w:t>
      </w:r>
      <w:r>
        <w:rPr>
          <w:rtl/>
        </w:rPr>
        <w:t>؛</w:t>
      </w:r>
    </w:p>
    <w:p w:rsidR="007E293C" w:rsidRDefault="007E293C" w:rsidP="007E293C">
      <w:pPr>
        <w:pStyle w:val="BodyTextFirstIndent"/>
        <w:numPr>
          <w:ilvl w:val="0"/>
          <w:numId w:val="45"/>
        </w:numPr>
      </w:pPr>
      <w:r>
        <w:rPr>
          <w:rFonts w:hint="cs"/>
          <w:rtl/>
        </w:rPr>
        <w:t>و</w:t>
      </w:r>
      <w:r w:rsidRPr="007E293C">
        <w:rPr>
          <w:rtl/>
        </w:rPr>
        <w:t xml:space="preserve">أبلغت أربعة مكاتب عن عدم وجود خطط لتنفيذ </w:t>
      </w:r>
      <w:r w:rsidRPr="007E293C">
        <w:t>ST.87</w:t>
      </w:r>
      <w:r w:rsidRPr="007E293C">
        <w:rPr>
          <w:rtl/>
        </w:rPr>
        <w:t>.</w:t>
      </w:r>
    </w:p>
    <w:p w:rsidR="007E293C" w:rsidRDefault="007E293C" w:rsidP="007E293C">
      <w:pPr>
        <w:pStyle w:val="Heading3"/>
        <w:rPr>
          <w:rtl/>
        </w:rPr>
      </w:pPr>
      <w:r>
        <w:rPr>
          <w:rFonts w:hint="cs"/>
          <w:rtl/>
        </w:rPr>
        <w:t>خطة العمل</w:t>
      </w:r>
    </w:p>
    <w:p w:rsidR="007E293C" w:rsidRPr="007E293C" w:rsidRDefault="007E293C" w:rsidP="007E293C">
      <w:pPr>
        <w:pStyle w:val="Heading4"/>
      </w:pPr>
      <w:r>
        <w:rPr>
          <w:rFonts w:hint="cs"/>
          <w:rtl/>
        </w:rPr>
        <w:t>بيانات الوضع القانوني للبراءات</w:t>
      </w:r>
    </w:p>
    <w:p w:rsidR="007E293C" w:rsidRPr="002F4FFC" w:rsidRDefault="00E01843" w:rsidP="003E7ED6">
      <w:pPr>
        <w:pStyle w:val="ONUMA"/>
      </w:pPr>
      <w:r>
        <w:rPr>
          <w:rFonts w:hint="cs"/>
          <w:rtl/>
          <w:lang w:bidi="ar-SY"/>
        </w:rPr>
        <w:t>تعتزم</w:t>
      </w:r>
      <w:r w:rsidRPr="00E01843">
        <w:rPr>
          <w:rtl/>
        </w:rPr>
        <w:t xml:space="preserve"> فرقة </w:t>
      </w:r>
      <w:r>
        <w:rPr>
          <w:rtl/>
        </w:rPr>
        <w:t xml:space="preserve">العمل المعنية بالوضع القانوني </w:t>
      </w:r>
      <w:r>
        <w:rPr>
          <w:rFonts w:hint="cs"/>
          <w:rtl/>
        </w:rPr>
        <w:t>م</w:t>
      </w:r>
      <w:r w:rsidRPr="00E01843">
        <w:rPr>
          <w:rtl/>
        </w:rPr>
        <w:t>واصلة تحسين قوائم أحداث</w:t>
      </w:r>
      <w:r>
        <w:rPr>
          <w:rFonts w:hint="cs"/>
          <w:rtl/>
        </w:rPr>
        <w:t xml:space="preserve"> المعيارين</w:t>
      </w:r>
      <w:r w:rsidRPr="00E01843">
        <w:rPr>
          <w:rtl/>
        </w:rPr>
        <w:t xml:space="preserve"> </w:t>
      </w:r>
      <w:r w:rsidRPr="00E01843">
        <w:t>ST.27</w:t>
      </w:r>
      <w:r w:rsidRPr="00E01843">
        <w:rPr>
          <w:rtl/>
        </w:rPr>
        <w:t xml:space="preserve"> و </w:t>
      </w:r>
      <w:r w:rsidRPr="00E01843">
        <w:t>ST.87</w:t>
      </w:r>
      <w:r>
        <w:rPr>
          <w:rtl/>
        </w:rPr>
        <w:t xml:space="preserve"> حسب الضرورة. </w:t>
      </w:r>
      <w:r>
        <w:rPr>
          <w:rFonts w:hint="cs"/>
          <w:rtl/>
        </w:rPr>
        <w:t>و</w:t>
      </w:r>
      <w:r>
        <w:rPr>
          <w:rtl/>
        </w:rPr>
        <w:t>على وجه الخصوص</w:t>
      </w:r>
      <w:r w:rsidRPr="00E01843">
        <w:rPr>
          <w:rtl/>
        </w:rPr>
        <w:t>، من المتوقع</w:t>
      </w:r>
      <w:r w:rsidR="00176EFC">
        <w:rPr>
          <w:rtl/>
        </w:rPr>
        <w:t xml:space="preserve"> أن</w:t>
      </w:r>
      <w:r w:rsidRPr="00E01843">
        <w:rPr>
          <w:rtl/>
        </w:rPr>
        <w:t xml:space="preserve"> </w:t>
      </w:r>
      <w:r w:rsidR="00176EFC">
        <w:rPr>
          <w:rFonts w:hint="cs"/>
          <w:rtl/>
        </w:rPr>
        <w:t xml:space="preserve">تواصل مكاتب الملكية الفكرية </w:t>
      </w:r>
      <w:r w:rsidRPr="00E01843">
        <w:rPr>
          <w:rtl/>
        </w:rPr>
        <w:t>تح</w:t>
      </w:r>
      <w:r>
        <w:rPr>
          <w:rtl/>
        </w:rPr>
        <w:t xml:space="preserve">سين </w:t>
      </w:r>
      <w:r>
        <w:rPr>
          <w:rFonts w:hint="cs"/>
          <w:rtl/>
        </w:rPr>
        <w:t xml:space="preserve">جداول ربط </w:t>
      </w:r>
      <w:r>
        <w:rPr>
          <w:rtl/>
        </w:rPr>
        <w:t>الأحداث الخاصة به</w:t>
      </w:r>
      <w:r>
        <w:rPr>
          <w:rFonts w:hint="cs"/>
          <w:rtl/>
        </w:rPr>
        <w:t>ا،</w:t>
      </w:r>
      <w:r w:rsidRPr="00E01843">
        <w:rPr>
          <w:rtl/>
        </w:rPr>
        <w:t xml:space="preserve"> </w:t>
      </w:r>
      <w:r w:rsidR="00176EFC">
        <w:rPr>
          <w:rFonts w:hint="cs"/>
          <w:rtl/>
        </w:rPr>
        <w:t xml:space="preserve">مما يتيح </w:t>
      </w:r>
      <w:r w:rsidRPr="00E01843">
        <w:rPr>
          <w:rtl/>
        </w:rPr>
        <w:t xml:space="preserve">اكتشاف مزيد من </w:t>
      </w:r>
      <w:r>
        <w:rPr>
          <w:rFonts w:hint="cs"/>
          <w:rtl/>
        </w:rPr>
        <w:t xml:space="preserve">حالات عدم الاتساق </w:t>
      </w:r>
      <w:r w:rsidRPr="00E01843">
        <w:rPr>
          <w:rtl/>
        </w:rPr>
        <w:t xml:space="preserve">أو </w:t>
      </w:r>
      <w:r>
        <w:rPr>
          <w:rFonts w:hint="cs"/>
          <w:rtl/>
        </w:rPr>
        <w:t>الاسقاطات</w:t>
      </w:r>
      <w:r w:rsidRPr="00E01843">
        <w:rPr>
          <w:rtl/>
        </w:rPr>
        <w:t xml:space="preserve">. </w:t>
      </w:r>
      <w:r>
        <w:rPr>
          <w:rFonts w:hint="cs"/>
          <w:rtl/>
        </w:rPr>
        <w:t>و</w:t>
      </w:r>
      <w:r w:rsidRPr="00E01843">
        <w:rPr>
          <w:rtl/>
        </w:rPr>
        <w:t xml:space="preserve">ستحاول فرقة العمل </w:t>
      </w:r>
      <w:r>
        <w:rPr>
          <w:rtl/>
        </w:rPr>
        <w:t>قدر الإمكان</w:t>
      </w:r>
      <w:r w:rsidRPr="00E01843">
        <w:rPr>
          <w:rtl/>
        </w:rPr>
        <w:t xml:space="preserve"> حل هذه المشكلات دون </w:t>
      </w:r>
      <w:r w:rsidR="003E7ED6">
        <w:rPr>
          <w:rFonts w:hint="cs"/>
          <w:rtl/>
        </w:rPr>
        <w:t>إدخال</w:t>
      </w:r>
      <w:r w:rsidRPr="00E01843">
        <w:rPr>
          <w:rtl/>
        </w:rPr>
        <w:t xml:space="preserve"> تغييرات على عنا</w:t>
      </w:r>
      <w:r>
        <w:rPr>
          <w:rtl/>
        </w:rPr>
        <w:t xml:space="preserve">وين الأحداث ورموزها؛ ولكن في بعض الحالات، قد </w:t>
      </w:r>
      <w:r>
        <w:rPr>
          <w:rFonts w:hint="cs"/>
          <w:rtl/>
        </w:rPr>
        <w:t>يلزم إدخال</w:t>
      </w:r>
      <w:r>
        <w:rPr>
          <w:rtl/>
        </w:rPr>
        <w:t xml:space="preserve"> تعديلات</w:t>
      </w:r>
      <w:r w:rsidR="003E7ED6">
        <w:rPr>
          <w:rFonts w:hint="cs"/>
          <w:rtl/>
        </w:rPr>
        <w:t xml:space="preserve"> تحريرية</w:t>
      </w:r>
      <w:r>
        <w:rPr>
          <w:rtl/>
        </w:rPr>
        <w:t xml:space="preserve"> </w:t>
      </w:r>
      <w:r w:rsidRPr="00E01843">
        <w:rPr>
          <w:rtl/>
        </w:rPr>
        <w:t xml:space="preserve">طفيفة. </w:t>
      </w:r>
      <w:r>
        <w:rPr>
          <w:rFonts w:hint="cs"/>
          <w:rtl/>
        </w:rPr>
        <w:t>و</w:t>
      </w:r>
      <w:r>
        <w:rPr>
          <w:rtl/>
        </w:rPr>
        <w:t>قد تحتاج فرقة العمل أيض</w:t>
      </w:r>
      <w:r>
        <w:rPr>
          <w:rFonts w:hint="cs"/>
          <w:rtl/>
        </w:rPr>
        <w:t>اً</w:t>
      </w:r>
      <w:r w:rsidRPr="00E01843">
        <w:rPr>
          <w:rtl/>
        </w:rPr>
        <w:t xml:space="preserve"> إلى إضافة أحداث </w:t>
      </w:r>
      <w:r>
        <w:rPr>
          <w:rFonts w:hint="cs"/>
          <w:rtl/>
        </w:rPr>
        <w:t>مفصّلة</w:t>
      </w:r>
      <w:r w:rsidRPr="00E01843">
        <w:rPr>
          <w:rtl/>
        </w:rPr>
        <w:t xml:space="preserve"> جديدة أو حتى ت</w:t>
      </w:r>
      <w:r>
        <w:rPr>
          <w:rtl/>
        </w:rPr>
        <w:t>غيير فئة حدث مفص</w:t>
      </w:r>
      <w:r w:rsidR="003E7ED6">
        <w:rPr>
          <w:rFonts w:hint="cs"/>
          <w:rtl/>
        </w:rPr>
        <w:t>ّ</w:t>
      </w:r>
      <w:r>
        <w:rPr>
          <w:rtl/>
        </w:rPr>
        <w:t>ل معي</w:t>
      </w:r>
      <w:r w:rsidR="003E7ED6">
        <w:rPr>
          <w:rFonts w:hint="cs"/>
          <w:rtl/>
        </w:rPr>
        <w:t>ّ</w:t>
      </w:r>
      <w:r>
        <w:rPr>
          <w:rtl/>
        </w:rPr>
        <w:t>ن. ومع ذلك</w:t>
      </w:r>
      <w:r w:rsidRPr="00E01843">
        <w:rPr>
          <w:rtl/>
        </w:rPr>
        <w:t xml:space="preserve">، </w:t>
      </w:r>
      <w:r>
        <w:rPr>
          <w:rFonts w:hint="cs"/>
          <w:rtl/>
        </w:rPr>
        <w:t>يُفضّل</w:t>
      </w:r>
      <w:r w:rsidRPr="00E01843">
        <w:rPr>
          <w:rtl/>
        </w:rPr>
        <w:t xml:space="preserve"> تجنب مثل هذه التغييرات إذا </w:t>
      </w:r>
      <w:r>
        <w:rPr>
          <w:rFonts w:hint="cs"/>
          <w:rtl/>
        </w:rPr>
        <w:t>وُجِد</w:t>
      </w:r>
      <w:r w:rsidRPr="00E01843">
        <w:rPr>
          <w:rtl/>
        </w:rPr>
        <w:t xml:space="preserve"> حل معقول آخر. </w:t>
      </w:r>
      <w:r>
        <w:rPr>
          <w:rFonts w:hint="cs"/>
          <w:rtl/>
        </w:rPr>
        <w:t>و</w:t>
      </w:r>
      <w:r w:rsidRPr="00E01843">
        <w:rPr>
          <w:rtl/>
        </w:rPr>
        <w:t xml:space="preserve">لا يتوقع </w:t>
      </w:r>
      <w:r>
        <w:rPr>
          <w:rFonts w:hint="cs"/>
          <w:rtl/>
        </w:rPr>
        <w:t>إدخال</w:t>
      </w:r>
      <w:r w:rsidRPr="00E01843">
        <w:rPr>
          <w:rtl/>
        </w:rPr>
        <w:t xml:space="preserve"> تغييرات كبيرة </w:t>
      </w:r>
      <w:r>
        <w:rPr>
          <w:rFonts w:hint="cs"/>
          <w:rtl/>
        </w:rPr>
        <w:t>على</w:t>
      </w:r>
      <w:r w:rsidRPr="00E01843">
        <w:rPr>
          <w:rtl/>
        </w:rPr>
        <w:t xml:space="preserve"> قائمة الأحداث أو الفئات في المستقبل المنظور.</w:t>
      </w:r>
    </w:p>
    <w:p w:rsidR="00B74BF3" w:rsidRDefault="00A62D4A" w:rsidP="00A62D4A">
      <w:pPr>
        <w:pStyle w:val="ONUMA"/>
        <w:rPr>
          <w:lang w:bidi="ar-SY"/>
        </w:rPr>
      </w:pPr>
      <w:r>
        <w:rPr>
          <w:rFonts w:hint="cs"/>
          <w:rtl/>
          <w:lang w:bidi="ar-SY"/>
        </w:rPr>
        <w:t>وتط</w:t>
      </w:r>
      <w:r w:rsidRPr="00A62D4A">
        <w:rPr>
          <w:rtl/>
          <w:lang w:bidi="ar-SY"/>
        </w:rPr>
        <w:t xml:space="preserve">لب فرقة العمل من </w:t>
      </w:r>
      <w:r>
        <w:rPr>
          <w:rFonts w:hint="cs"/>
          <w:rtl/>
          <w:lang w:bidi="ar-SY"/>
        </w:rPr>
        <w:t>لجنة المعايير</w:t>
      </w:r>
      <w:r w:rsidRPr="00A62D4A">
        <w:rPr>
          <w:rtl/>
          <w:lang w:bidi="ar-SY"/>
        </w:rPr>
        <w:t xml:space="preserve"> تشجيع </w:t>
      </w:r>
      <w:r>
        <w:rPr>
          <w:rFonts w:hint="cs"/>
          <w:rtl/>
          <w:lang w:bidi="ar-SY"/>
        </w:rPr>
        <w:t>مكاتب الملكية الفكرية</w:t>
      </w:r>
      <w:r w:rsidRPr="00A62D4A">
        <w:rPr>
          <w:rtl/>
          <w:lang w:bidi="ar-SY"/>
        </w:rPr>
        <w:t xml:space="preserve"> على </w:t>
      </w:r>
      <w:r w:rsidR="003E7ED6">
        <w:rPr>
          <w:rFonts w:hint="cs"/>
          <w:rtl/>
          <w:lang w:bidi="ar-SY"/>
        </w:rPr>
        <w:t xml:space="preserve">تقديم </w:t>
      </w:r>
      <w:r w:rsidRPr="00D74693">
        <w:rPr>
          <w:rtl/>
          <w:lang w:bidi="ar-SY"/>
        </w:rPr>
        <w:t>جداول</w:t>
      </w:r>
      <w:r>
        <w:rPr>
          <w:rFonts w:hint="cs"/>
          <w:rtl/>
          <w:lang w:bidi="ar-SY"/>
        </w:rPr>
        <w:t xml:space="preserve"> الربط</w:t>
      </w:r>
      <w:r w:rsidRPr="00D74693">
        <w:rPr>
          <w:rtl/>
          <w:lang w:bidi="ar-SY"/>
        </w:rPr>
        <w:t xml:space="preserve"> </w:t>
      </w:r>
      <w:r>
        <w:rPr>
          <w:rtl/>
          <w:lang w:bidi="ar-SY"/>
        </w:rPr>
        <w:t>الخاصة به</w:t>
      </w:r>
      <w:r>
        <w:rPr>
          <w:rFonts w:hint="cs"/>
          <w:rtl/>
          <w:lang w:bidi="ar-SY"/>
        </w:rPr>
        <w:t>ا</w:t>
      </w:r>
      <w:r w:rsidRPr="00D74693">
        <w:rPr>
          <w:rtl/>
          <w:lang w:bidi="ar-SY"/>
        </w:rPr>
        <w:t xml:space="preserve"> فيما يتعلق بالمعيار </w:t>
      </w:r>
      <w:r w:rsidRPr="00D74693">
        <w:rPr>
          <w:lang w:bidi="ar-SY"/>
        </w:rPr>
        <w:t>ST.</w:t>
      </w:r>
      <w:r>
        <w:rPr>
          <w:lang w:bidi="ar-SY"/>
        </w:rPr>
        <w:t>2</w:t>
      </w:r>
      <w:r w:rsidRPr="00D74693">
        <w:rPr>
          <w:lang w:bidi="ar-SY"/>
        </w:rPr>
        <w:t>7</w:t>
      </w:r>
      <w:r w:rsidRPr="00B8312C">
        <w:rPr>
          <w:rtl/>
          <w:lang w:bidi="ar-SY"/>
        </w:rPr>
        <w:t xml:space="preserve"> </w:t>
      </w:r>
      <w:r w:rsidRPr="00D74693">
        <w:rPr>
          <w:rtl/>
          <w:lang w:bidi="ar-SY"/>
        </w:rPr>
        <w:t>أو تحديث</w:t>
      </w:r>
      <w:r>
        <w:rPr>
          <w:rFonts w:hint="cs"/>
          <w:rtl/>
          <w:lang w:bidi="ar-SY"/>
        </w:rPr>
        <w:t>ها</w:t>
      </w:r>
      <w:r w:rsidRPr="00A62D4A">
        <w:rPr>
          <w:rtl/>
          <w:lang w:bidi="ar-SY"/>
        </w:rPr>
        <w:t xml:space="preserve">. </w:t>
      </w:r>
      <w:r>
        <w:rPr>
          <w:rFonts w:hint="cs"/>
          <w:rtl/>
          <w:lang w:bidi="ar-SY"/>
        </w:rPr>
        <w:t>وسيرجي تحديث</w:t>
      </w:r>
      <w:r w:rsidRPr="00A62D4A">
        <w:rPr>
          <w:rtl/>
          <w:lang w:bidi="ar-SY"/>
        </w:rPr>
        <w:t xml:space="preserve"> جداول </w:t>
      </w:r>
      <w:r>
        <w:rPr>
          <w:rFonts w:hint="cs"/>
          <w:rtl/>
          <w:lang w:bidi="ar-SY"/>
        </w:rPr>
        <w:t>الربط</w:t>
      </w:r>
      <w:r w:rsidRPr="00A62D4A">
        <w:rPr>
          <w:rtl/>
          <w:lang w:bidi="ar-SY"/>
        </w:rPr>
        <w:t xml:space="preserve"> الموحدة المنشورة في </w:t>
      </w:r>
      <w:r>
        <w:rPr>
          <w:rFonts w:hint="cs"/>
          <w:rtl/>
          <w:lang w:bidi="ar-SY"/>
        </w:rPr>
        <w:t>دليل</w:t>
      </w:r>
      <w:r w:rsidRPr="00A62D4A">
        <w:rPr>
          <w:rtl/>
          <w:lang w:bidi="ar-SY"/>
        </w:rPr>
        <w:t xml:space="preserve"> الويبو عند تلقي </w:t>
      </w:r>
      <w:r>
        <w:rPr>
          <w:rFonts w:hint="cs"/>
          <w:rtl/>
          <w:lang w:bidi="ar-SY"/>
        </w:rPr>
        <w:t>مساهمات</w:t>
      </w:r>
      <w:r>
        <w:rPr>
          <w:rtl/>
          <w:lang w:bidi="ar-SY"/>
        </w:rPr>
        <w:t xml:space="preserve"> </w:t>
      </w:r>
      <w:r>
        <w:rPr>
          <w:rFonts w:hint="cs"/>
          <w:rtl/>
          <w:lang w:bidi="ar-SY"/>
        </w:rPr>
        <w:t>ج</w:t>
      </w:r>
      <w:r w:rsidRPr="00A62D4A">
        <w:rPr>
          <w:rtl/>
          <w:lang w:bidi="ar-SY"/>
        </w:rPr>
        <w:t>ديدة.</w:t>
      </w:r>
    </w:p>
    <w:p w:rsidR="007E293C" w:rsidRDefault="007E293C" w:rsidP="007E293C">
      <w:pPr>
        <w:pStyle w:val="ONUMA"/>
        <w:rPr>
          <w:lang w:bidi="ar-SY"/>
        </w:rPr>
      </w:pPr>
      <w:r w:rsidRPr="007E293C">
        <w:rPr>
          <w:rtl/>
          <w:lang w:bidi="ar-SY"/>
        </w:rPr>
        <w:t xml:space="preserve">ويعتزم كل من المكتب الدولي والمكتب الأوروبي للبراءات مواصلة ربط بيانات قاعدة بيانات المركز الدولي لوثائق البراءات بمعيار الويبو </w:t>
      </w:r>
      <w:r w:rsidRPr="007E293C">
        <w:rPr>
          <w:lang w:bidi="ar-SY"/>
        </w:rPr>
        <w:t>ST.27</w:t>
      </w:r>
      <w:r w:rsidRPr="007E293C">
        <w:rPr>
          <w:rtl/>
          <w:lang w:bidi="ar-SY"/>
        </w:rPr>
        <w:t xml:space="preserve"> ب</w:t>
      </w:r>
      <w:r>
        <w:rPr>
          <w:rFonts w:hint="cs"/>
          <w:rtl/>
          <w:lang w:bidi="ar-SY"/>
        </w:rPr>
        <w:t>ال</w:t>
      </w:r>
      <w:r w:rsidRPr="007E293C">
        <w:rPr>
          <w:rtl/>
          <w:lang w:bidi="ar-SY"/>
        </w:rPr>
        <w:t>تعاون مع مكاتب الملكية الصناعية التي تُعد مكاتب منشأ بيانات الوضع القانوني للبراءات في قاعدة البيانات المذكورة، وذلك طالما توافرت الموارد.</w:t>
      </w:r>
    </w:p>
    <w:p w:rsidR="0032790E" w:rsidRDefault="0032790E" w:rsidP="0032790E">
      <w:pPr>
        <w:pStyle w:val="Heading4"/>
        <w:rPr>
          <w:rtl/>
          <w:lang w:bidi="ar-SY"/>
        </w:rPr>
      </w:pPr>
      <w:r w:rsidRPr="0032790E">
        <w:rPr>
          <w:rtl/>
          <w:lang w:bidi="ar-SY"/>
        </w:rPr>
        <w:t>بيانات الوضع القانوني للتصاميم الصناعية</w:t>
      </w:r>
    </w:p>
    <w:p w:rsidR="0032790E" w:rsidRDefault="00D74693" w:rsidP="003E7ED6">
      <w:pPr>
        <w:pStyle w:val="ONUMA"/>
        <w:rPr>
          <w:lang w:bidi="ar-SY"/>
        </w:rPr>
      </w:pPr>
      <w:r>
        <w:rPr>
          <w:rFonts w:hint="cs"/>
          <w:rtl/>
          <w:lang w:bidi="ar-SY"/>
        </w:rPr>
        <w:t>تعتزم</w:t>
      </w:r>
      <w:r>
        <w:rPr>
          <w:rtl/>
          <w:lang w:bidi="ar-SY"/>
        </w:rPr>
        <w:t xml:space="preserve"> فرقة العمل </w:t>
      </w:r>
      <w:r w:rsidRPr="00D74693">
        <w:rPr>
          <w:rtl/>
          <w:lang w:bidi="ar-SY"/>
        </w:rPr>
        <w:t xml:space="preserve">تحديث الأحداث </w:t>
      </w:r>
      <w:r>
        <w:rPr>
          <w:rFonts w:hint="cs"/>
          <w:rtl/>
          <w:lang w:bidi="ar-SY"/>
        </w:rPr>
        <w:t>المفصّلة</w:t>
      </w:r>
      <w:r w:rsidRPr="00D74693">
        <w:rPr>
          <w:rtl/>
          <w:lang w:bidi="ar-SY"/>
        </w:rPr>
        <w:t xml:space="preserve"> للمعيار </w:t>
      </w:r>
      <w:r w:rsidR="003E7ED6">
        <w:rPr>
          <w:rFonts w:hint="cs"/>
          <w:rtl/>
          <w:lang w:bidi="ar-SY"/>
        </w:rPr>
        <w:t>الخاص</w:t>
      </w:r>
      <w:r w:rsidRPr="00D74693">
        <w:rPr>
          <w:rtl/>
          <w:lang w:bidi="ar-SY"/>
        </w:rPr>
        <w:t xml:space="preserve"> </w:t>
      </w:r>
      <w:r w:rsidR="003E7ED6">
        <w:rPr>
          <w:rFonts w:hint="cs"/>
          <w:rtl/>
          <w:lang w:bidi="ar-SY"/>
        </w:rPr>
        <w:t>ب</w:t>
      </w:r>
      <w:r w:rsidRPr="00D74693">
        <w:rPr>
          <w:rtl/>
          <w:lang w:bidi="ar-SY"/>
        </w:rPr>
        <w:t xml:space="preserve">بيانات </w:t>
      </w:r>
      <w:r>
        <w:rPr>
          <w:rFonts w:hint="cs"/>
          <w:rtl/>
          <w:lang w:bidi="ar-SY"/>
        </w:rPr>
        <w:t>الوضع</w:t>
      </w:r>
      <w:r>
        <w:rPr>
          <w:rtl/>
          <w:lang w:bidi="ar-SY"/>
        </w:rPr>
        <w:t xml:space="preserve"> القانوني</w:t>
      </w:r>
      <w:r w:rsidRPr="00D74693">
        <w:rPr>
          <w:rtl/>
          <w:lang w:bidi="ar-SY"/>
        </w:rPr>
        <w:t xml:space="preserve"> للتص</w:t>
      </w:r>
      <w:r>
        <w:rPr>
          <w:rFonts w:hint="cs"/>
          <w:rtl/>
          <w:lang w:bidi="ar-SY"/>
        </w:rPr>
        <w:t>ا</w:t>
      </w:r>
      <w:r w:rsidRPr="00D74693">
        <w:rPr>
          <w:rtl/>
          <w:lang w:bidi="ar-SY"/>
        </w:rPr>
        <w:t>ميم الصناعي</w:t>
      </w:r>
      <w:r>
        <w:rPr>
          <w:rFonts w:hint="cs"/>
          <w:rtl/>
          <w:lang w:bidi="ar-SY"/>
        </w:rPr>
        <w:t>ة</w:t>
      </w:r>
      <w:r w:rsidRPr="00D74693">
        <w:rPr>
          <w:rtl/>
          <w:lang w:bidi="ar-SY"/>
        </w:rPr>
        <w:t xml:space="preserve"> حسب </w:t>
      </w:r>
      <w:r>
        <w:rPr>
          <w:rFonts w:hint="cs"/>
          <w:rtl/>
          <w:lang w:bidi="ar-SY"/>
        </w:rPr>
        <w:t>الاقتضاء،</w:t>
      </w:r>
      <w:r w:rsidRPr="00D74693">
        <w:rPr>
          <w:rtl/>
          <w:lang w:bidi="ar-SY"/>
        </w:rPr>
        <w:t xml:space="preserve"> وإعداد وثيقة </w:t>
      </w:r>
      <w:r>
        <w:rPr>
          <w:rFonts w:hint="cs"/>
          <w:rtl/>
          <w:lang w:bidi="ar-SY"/>
        </w:rPr>
        <w:t>إرشادية</w:t>
      </w:r>
      <w:r w:rsidRPr="00D74693">
        <w:rPr>
          <w:rtl/>
          <w:lang w:bidi="ar-SY"/>
        </w:rPr>
        <w:t xml:space="preserve"> للنظر فيها في الدورة </w:t>
      </w:r>
      <w:r>
        <w:rPr>
          <w:rFonts w:hint="cs"/>
          <w:rtl/>
          <w:lang w:bidi="ar-SY"/>
        </w:rPr>
        <w:t>المقبلة</w:t>
      </w:r>
      <w:r w:rsidRPr="00D74693">
        <w:rPr>
          <w:rtl/>
          <w:lang w:bidi="ar-SY"/>
        </w:rPr>
        <w:t xml:space="preserve"> للجنة</w:t>
      </w:r>
      <w:r>
        <w:rPr>
          <w:rFonts w:hint="cs"/>
          <w:rtl/>
          <w:lang w:bidi="ar-SY"/>
        </w:rPr>
        <w:t xml:space="preserve"> المعايير</w:t>
      </w:r>
      <w:r w:rsidRPr="00D74693">
        <w:rPr>
          <w:rtl/>
          <w:lang w:bidi="ar-SY"/>
        </w:rPr>
        <w:t xml:space="preserve">. </w:t>
      </w:r>
      <w:r>
        <w:rPr>
          <w:rFonts w:hint="cs"/>
          <w:rtl/>
          <w:lang w:bidi="ar-SY"/>
        </w:rPr>
        <w:t>و</w:t>
      </w:r>
      <w:r w:rsidRPr="00D74693">
        <w:rPr>
          <w:rtl/>
          <w:lang w:bidi="ar-SY"/>
        </w:rPr>
        <w:t xml:space="preserve">تطلب فرقة العمل من </w:t>
      </w:r>
      <w:r>
        <w:rPr>
          <w:rFonts w:hint="cs"/>
          <w:rtl/>
          <w:lang w:bidi="ar-SY"/>
        </w:rPr>
        <w:t>لجنة المعايير</w:t>
      </w:r>
      <w:r w:rsidRPr="00D74693">
        <w:rPr>
          <w:rtl/>
          <w:lang w:bidi="ar-SY"/>
        </w:rPr>
        <w:t xml:space="preserve"> تشجيع </w:t>
      </w:r>
      <w:r>
        <w:rPr>
          <w:rFonts w:hint="cs"/>
          <w:rtl/>
          <w:lang w:bidi="ar-SY"/>
        </w:rPr>
        <w:t>مكاتب الملكية الصناعية</w:t>
      </w:r>
      <w:r w:rsidRPr="00D74693">
        <w:rPr>
          <w:rtl/>
          <w:lang w:bidi="ar-SY"/>
        </w:rPr>
        <w:t xml:space="preserve"> على </w:t>
      </w:r>
      <w:r w:rsidR="00B8312C">
        <w:rPr>
          <w:rFonts w:hint="cs"/>
          <w:rtl/>
          <w:lang w:bidi="ar-SY"/>
        </w:rPr>
        <w:t>تقديم</w:t>
      </w:r>
      <w:r w:rsidRPr="00D74693">
        <w:rPr>
          <w:rtl/>
          <w:lang w:bidi="ar-SY"/>
        </w:rPr>
        <w:t xml:space="preserve"> جداول</w:t>
      </w:r>
      <w:r w:rsidR="00B8312C">
        <w:rPr>
          <w:rFonts w:hint="cs"/>
          <w:rtl/>
          <w:lang w:bidi="ar-SY"/>
        </w:rPr>
        <w:t xml:space="preserve"> الربط</w:t>
      </w:r>
      <w:r w:rsidRPr="00D74693">
        <w:rPr>
          <w:rtl/>
          <w:lang w:bidi="ar-SY"/>
        </w:rPr>
        <w:t xml:space="preserve"> </w:t>
      </w:r>
      <w:r w:rsidR="00B8312C">
        <w:rPr>
          <w:rtl/>
          <w:lang w:bidi="ar-SY"/>
        </w:rPr>
        <w:t>الخاصة به</w:t>
      </w:r>
      <w:r w:rsidR="00B8312C">
        <w:rPr>
          <w:rFonts w:hint="cs"/>
          <w:rtl/>
          <w:lang w:bidi="ar-SY"/>
        </w:rPr>
        <w:t>ا</w:t>
      </w:r>
      <w:r w:rsidRPr="00D74693">
        <w:rPr>
          <w:rtl/>
          <w:lang w:bidi="ar-SY"/>
        </w:rPr>
        <w:t xml:space="preserve"> فيما يتعلق بالمعيار </w:t>
      </w:r>
      <w:r w:rsidRPr="00D74693">
        <w:rPr>
          <w:lang w:bidi="ar-SY"/>
        </w:rPr>
        <w:t>ST.87</w:t>
      </w:r>
      <w:r w:rsidR="00B8312C" w:rsidRPr="00B8312C">
        <w:rPr>
          <w:rtl/>
          <w:lang w:bidi="ar-SY"/>
        </w:rPr>
        <w:t xml:space="preserve"> </w:t>
      </w:r>
      <w:r w:rsidR="00B8312C" w:rsidRPr="00D74693">
        <w:rPr>
          <w:rtl/>
          <w:lang w:bidi="ar-SY"/>
        </w:rPr>
        <w:t>أو تحديث</w:t>
      </w:r>
      <w:r w:rsidR="00B8312C">
        <w:rPr>
          <w:rFonts w:hint="cs"/>
          <w:rtl/>
          <w:lang w:bidi="ar-SY"/>
        </w:rPr>
        <w:t>ها</w:t>
      </w:r>
      <w:r w:rsidRPr="00D74693">
        <w:rPr>
          <w:rtl/>
          <w:lang w:bidi="ar-SY"/>
        </w:rPr>
        <w:t xml:space="preserve">. </w:t>
      </w:r>
      <w:r w:rsidR="00B8312C">
        <w:rPr>
          <w:rFonts w:hint="cs"/>
          <w:rtl/>
          <w:lang w:bidi="ar-SY"/>
        </w:rPr>
        <w:t>و</w:t>
      </w:r>
      <w:r w:rsidRPr="00D74693">
        <w:rPr>
          <w:rtl/>
          <w:lang w:bidi="ar-SY"/>
        </w:rPr>
        <w:t xml:space="preserve">يقترح المكتب الدولي أن توافق </w:t>
      </w:r>
      <w:r w:rsidR="00B8312C">
        <w:rPr>
          <w:rFonts w:hint="cs"/>
          <w:rtl/>
          <w:lang w:bidi="ar-SY"/>
        </w:rPr>
        <w:t xml:space="preserve">لجنة المعايير </w:t>
      </w:r>
      <w:r w:rsidR="00B8312C">
        <w:rPr>
          <w:rtl/>
          <w:lang w:bidi="ar-SY"/>
        </w:rPr>
        <w:t xml:space="preserve">على نشر </w:t>
      </w:r>
      <w:r w:rsidR="00B8312C">
        <w:rPr>
          <w:rFonts w:hint="cs"/>
          <w:rtl/>
          <w:lang w:bidi="ar-SY"/>
        </w:rPr>
        <w:t>ج</w:t>
      </w:r>
      <w:r w:rsidRPr="00D74693">
        <w:rPr>
          <w:rtl/>
          <w:lang w:bidi="ar-SY"/>
        </w:rPr>
        <w:t xml:space="preserve">داول </w:t>
      </w:r>
      <w:r w:rsidR="00B8312C">
        <w:rPr>
          <w:rFonts w:hint="cs"/>
          <w:rtl/>
          <w:lang w:bidi="ar-SY"/>
        </w:rPr>
        <w:t xml:space="preserve">الربط </w:t>
      </w:r>
      <w:r w:rsidRPr="00D74693">
        <w:rPr>
          <w:rtl/>
          <w:lang w:bidi="ar-SY"/>
        </w:rPr>
        <w:t>الثلاثة</w:t>
      </w:r>
      <w:r w:rsidR="00B8312C">
        <w:rPr>
          <w:rFonts w:hint="cs"/>
          <w:rtl/>
          <w:lang w:bidi="ar-SY"/>
        </w:rPr>
        <w:t xml:space="preserve"> الواردة، فيما يتعلق بالمعيار</w:t>
      </w:r>
      <w:r w:rsidRPr="00D74693">
        <w:rPr>
          <w:rtl/>
          <w:lang w:bidi="ar-SY"/>
        </w:rPr>
        <w:t xml:space="preserve"> </w:t>
      </w:r>
      <w:r w:rsidRPr="00D74693">
        <w:rPr>
          <w:lang w:bidi="ar-SY"/>
        </w:rPr>
        <w:t>ST.87</w:t>
      </w:r>
      <w:r w:rsidR="00B8312C">
        <w:rPr>
          <w:rFonts w:hint="cs"/>
          <w:rtl/>
          <w:lang w:bidi="ar-SY"/>
        </w:rPr>
        <w:t xml:space="preserve">، </w:t>
      </w:r>
      <w:r w:rsidRPr="00D74693">
        <w:rPr>
          <w:rtl/>
          <w:lang w:bidi="ar-SY"/>
        </w:rPr>
        <w:t>في الجزء 7.13 من دليل ا</w:t>
      </w:r>
      <w:r w:rsidR="00B8312C">
        <w:rPr>
          <w:rtl/>
          <w:lang w:bidi="ar-SY"/>
        </w:rPr>
        <w:t xml:space="preserve">لويبو. </w:t>
      </w:r>
      <w:r w:rsidR="00B8312C">
        <w:rPr>
          <w:rFonts w:hint="cs"/>
          <w:rtl/>
          <w:lang w:bidi="ar-SY"/>
        </w:rPr>
        <w:t>و</w:t>
      </w:r>
      <w:r w:rsidR="00B8312C">
        <w:rPr>
          <w:rtl/>
          <w:lang w:bidi="ar-SY"/>
        </w:rPr>
        <w:t xml:space="preserve">عند تلقي </w:t>
      </w:r>
      <w:r w:rsidR="00B8312C">
        <w:rPr>
          <w:rFonts w:hint="cs"/>
          <w:rtl/>
          <w:lang w:bidi="ar-SY"/>
        </w:rPr>
        <w:t xml:space="preserve">مساهمات </w:t>
      </w:r>
      <w:r w:rsidR="00B8312C">
        <w:rPr>
          <w:rtl/>
          <w:lang w:bidi="ar-SY"/>
        </w:rPr>
        <w:t>جديدة</w:t>
      </w:r>
      <w:r w:rsidRPr="00D74693">
        <w:rPr>
          <w:rtl/>
          <w:lang w:bidi="ar-SY"/>
        </w:rPr>
        <w:t xml:space="preserve">، </w:t>
      </w:r>
      <w:r w:rsidR="00B8312C">
        <w:rPr>
          <w:rFonts w:hint="cs"/>
          <w:rtl/>
          <w:lang w:bidi="ar-SY"/>
        </w:rPr>
        <w:t>سيُحدّث</w:t>
      </w:r>
      <w:r w:rsidRPr="00D74693">
        <w:rPr>
          <w:rtl/>
          <w:lang w:bidi="ar-SY"/>
        </w:rPr>
        <w:t xml:space="preserve"> الجزء 7.13 من دليل الويبو.</w:t>
      </w:r>
    </w:p>
    <w:p w:rsidR="0032790E" w:rsidRDefault="0032790E" w:rsidP="0032790E">
      <w:pPr>
        <w:pStyle w:val="Heading4"/>
        <w:rPr>
          <w:rtl/>
          <w:lang w:bidi="ar-SY"/>
        </w:rPr>
      </w:pPr>
      <w:r w:rsidRPr="0032790E">
        <w:rPr>
          <w:rtl/>
          <w:lang w:bidi="ar-SY"/>
        </w:rPr>
        <w:t>بيانات الوضع القانوني للعلامات التجارية</w:t>
      </w:r>
    </w:p>
    <w:p w:rsidR="00D74693" w:rsidRPr="00D74693" w:rsidRDefault="00D74693" w:rsidP="003E7ED6">
      <w:pPr>
        <w:pStyle w:val="ONUMA"/>
        <w:rPr>
          <w:lang w:bidi="ar-SY"/>
        </w:rPr>
      </w:pPr>
      <w:r>
        <w:rPr>
          <w:rFonts w:hint="cs"/>
          <w:rtl/>
          <w:lang w:bidi="ar-SY"/>
        </w:rPr>
        <w:t xml:space="preserve">تعتزم فرقة العمل مباشرة عملها </w:t>
      </w:r>
      <w:r w:rsidR="003E7ED6">
        <w:rPr>
          <w:rFonts w:hint="cs"/>
          <w:rtl/>
          <w:lang w:bidi="ar-SY"/>
        </w:rPr>
        <w:t xml:space="preserve">لوضع </w:t>
      </w:r>
      <w:r>
        <w:rPr>
          <w:rFonts w:hint="cs"/>
          <w:rtl/>
          <w:lang w:bidi="ar-SY"/>
        </w:rPr>
        <w:t xml:space="preserve">معيار جديد </w:t>
      </w:r>
      <w:r w:rsidR="003E7ED6">
        <w:rPr>
          <w:rFonts w:hint="cs"/>
          <w:rtl/>
          <w:lang w:bidi="ar-SY"/>
        </w:rPr>
        <w:t xml:space="preserve">بشأن </w:t>
      </w:r>
      <w:r>
        <w:rPr>
          <w:rFonts w:hint="cs"/>
          <w:rtl/>
          <w:lang w:bidi="ar-SY"/>
        </w:rPr>
        <w:t>بيانات ا</w:t>
      </w:r>
      <w:r w:rsidR="003E7ED6">
        <w:rPr>
          <w:rFonts w:hint="cs"/>
          <w:rtl/>
          <w:lang w:bidi="ar-SY"/>
        </w:rPr>
        <w:t xml:space="preserve">لوضع القانوني للعلامات التجارية، وذلك </w:t>
      </w:r>
      <w:r>
        <w:rPr>
          <w:rFonts w:hint="cs"/>
          <w:rtl/>
          <w:lang w:bidi="ar-SY"/>
        </w:rPr>
        <w:t xml:space="preserve">بعد إتمام العمل العالق بشأن معياري الويبو </w:t>
      </w:r>
      <w:r>
        <w:rPr>
          <w:lang w:bidi="ar-SY"/>
        </w:rPr>
        <w:t>ST.27</w:t>
      </w:r>
      <w:r>
        <w:rPr>
          <w:rFonts w:hint="cs"/>
          <w:rtl/>
          <w:lang w:val="fr-CH" w:bidi="ar-SY"/>
        </w:rPr>
        <w:t xml:space="preserve"> و</w:t>
      </w:r>
      <w:r>
        <w:rPr>
          <w:lang w:bidi="ar-SY"/>
        </w:rPr>
        <w:t>ST.87</w:t>
      </w:r>
      <w:r>
        <w:rPr>
          <w:rFonts w:hint="cs"/>
          <w:rtl/>
          <w:lang w:bidi="ar-SY"/>
        </w:rPr>
        <w:t>. و</w:t>
      </w:r>
      <w:r>
        <w:rPr>
          <w:rtl/>
          <w:lang w:bidi="ar-SY"/>
        </w:rPr>
        <w:t>على وجه الخصوص</w:t>
      </w:r>
      <w:r w:rsidRPr="00D74693">
        <w:rPr>
          <w:rtl/>
          <w:lang w:bidi="ar-SY"/>
        </w:rPr>
        <w:t>، تود</w:t>
      </w:r>
      <w:r w:rsidR="003E7ED6">
        <w:rPr>
          <w:rFonts w:hint="cs"/>
          <w:rtl/>
          <w:lang w:bidi="ar-SY"/>
        </w:rPr>
        <w:t>ّ</w:t>
      </w:r>
      <w:r w:rsidRPr="00D74693">
        <w:rPr>
          <w:rtl/>
          <w:lang w:bidi="ar-SY"/>
        </w:rPr>
        <w:t xml:space="preserve"> فرقة العمل أن ترى تجارب المكاتب التي تبدأ في تطبيق</w:t>
      </w:r>
      <w:r>
        <w:rPr>
          <w:rFonts w:hint="cs"/>
          <w:rtl/>
          <w:lang w:bidi="ar-SY"/>
        </w:rPr>
        <w:t xml:space="preserve"> المعيارين</w:t>
      </w:r>
      <w:r w:rsidRPr="00D74693">
        <w:rPr>
          <w:rtl/>
          <w:lang w:bidi="ar-SY"/>
        </w:rPr>
        <w:t xml:space="preserve"> </w:t>
      </w:r>
      <w:r w:rsidRPr="00D74693">
        <w:rPr>
          <w:lang w:bidi="ar-SY"/>
        </w:rPr>
        <w:t>ST.27</w:t>
      </w:r>
      <w:r w:rsidRPr="00D74693">
        <w:rPr>
          <w:rtl/>
          <w:lang w:bidi="ar-SY"/>
        </w:rPr>
        <w:t xml:space="preserve"> أو </w:t>
      </w:r>
      <w:r w:rsidRPr="00D74693">
        <w:rPr>
          <w:lang w:bidi="ar-SY"/>
        </w:rPr>
        <w:t>ST.87</w:t>
      </w:r>
      <w:r w:rsidRPr="00D74693">
        <w:rPr>
          <w:rtl/>
          <w:lang w:bidi="ar-SY"/>
        </w:rPr>
        <w:t xml:space="preserve"> لضمان عدم وجود مشاكل غير متوقعة.</w:t>
      </w:r>
    </w:p>
    <w:p w:rsidR="0032790E" w:rsidRDefault="0032790E" w:rsidP="00D74693">
      <w:pPr>
        <w:pStyle w:val="Heading3"/>
        <w:rPr>
          <w:rtl/>
          <w:lang w:bidi="ar-SY"/>
        </w:rPr>
      </w:pPr>
      <w:r w:rsidRPr="0032790E">
        <w:rPr>
          <w:rtl/>
          <w:lang w:bidi="ar-SY"/>
        </w:rPr>
        <w:t>اقتراح لمراجعة وصف المهمة رقم 47</w:t>
      </w:r>
    </w:p>
    <w:p w:rsidR="0032790E" w:rsidRDefault="00565CC5" w:rsidP="003E7ED6">
      <w:pPr>
        <w:pStyle w:val="ONUMA"/>
        <w:rPr>
          <w:lang w:bidi="ar-SY"/>
        </w:rPr>
      </w:pPr>
      <w:r>
        <w:rPr>
          <w:rFonts w:hint="cs"/>
          <w:rtl/>
          <w:lang w:bidi="ar-SY"/>
        </w:rPr>
        <w:t xml:space="preserve">مع </w:t>
      </w:r>
      <w:r w:rsidR="003E7ED6">
        <w:rPr>
          <w:rFonts w:hint="cs"/>
          <w:rtl/>
          <w:lang w:bidi="ar-SY"/>
        </w:rPr>
        <w:t>مراعاة</w:t>
      </w:r>
      <w:r>
        <w:rPr>
          <w:rFonts w:hint="cs"/>
          <w:rtl/>
          <w:lang w:bidi="ar-SY"/>
        </w:rPr>
        <w:t xml:space="preserve"> الأعمال المنجزة والعالقة بشأن معياري الويبو </w:t>
      </w:r>
      <w:r>
        <w:rPr>
          <w:lang w:bidi="ar-SY"/>
        </w:rPr>
        <w:t>ST.27</w:t>
      </w:r>
      <w:r>
        <w:rPr>
          <w:rFonts w:hint="cs"/>
          <w:rtl/>
          <w:lang w:val="fr-CH" w:bidi="ar-SY"/>
        </w:rPr>
        <w:t xml:space="preserve"> و</w:t>
      </w:r>
      <w:r>
        <w:rPr>
          <w:lang w:bidi="ar-SY"/>
        </w:rPr>
        <w:t>ST.87</w:t>
      </w:r>
      <w:r>
        <w:rPr>
          <w:rFonts w:hint="cs"/>
          <w:rtl/>
          <w:lang w:val="fr-CH" w:bidi="ar-SY"/>
        </w:rPr>
        <w:t xml:space="preserve">، يُقترح مراجعة وصف المهمة رقم 47 على النحو التالي: "إعداد اقتراحين لمراجعة </w:t>
      </w:r>
      <w:r>
        <w:rPr>
          <w:rFonts w:hint="cs"/>
          <w:rtl/>
          <w:lang w:bidi="ar-SY"/>
        </w:rPr>
        <w:t xml:space="preserve">معياري الويبو </w:t>
      </w:r>
      <w:r>
        <w:rPr>
          <w:lang w:bidi="ar-SY"/>
        </w:rPr>
        <w:t>ST.27</w:t>
      </w:r>
      <w:r>
        <w:rPr>
          <w:rFonts w:hint="cs"/>
          <w:rtl/>
          <w:lang w:val="fr-CH" w:bidi="ar-SY"/>
        </w:rPr>
        <w:t xml:space="preserve"> و</w:t>
      </w:r>
      <w:r>
        <w:rPr>
          <w:lang w:bidi="ar-SY"/>
        </w:rPr>
        <w:t>ST.87</w:t>
      </w:r>
      <w:r>
        <w:rPr>
          <w:rFonts w:hint="cs"/>
          <w:rtl/>
          <w:lang w:bidi="ar-SY"/>
        </w:rPr>
        <w:t xml:space="preserve">، حسب الاقتضاء؛ </w:t>
      </w:r>
      <w:r w:rsidR="003E7ED6">
        <w:rPr>
          <w:rFonts w:hint="cs"/>
          <w:rtl/>
          <w:lang w:bidi="ar-SY"/>
        </w:rPr>
        <w:t>واقتراح</w:t>
      </w:r>
      <w:r>
        <w:rPr>
          <w:rFonts w:hint="cs"/>
          <w:rtl/>
          <w:lang w:bidi="ar-SY"/>
        </w:rPr>
        <w:t xml:space="preserve"> وثيقة إرشادية بشأن بيانات الوضع القانوني للتصاميم الصناعية؛ وإعداد توصية بشأن تبادل مكاتب الملكية الصناعية لبيانات الوضع القانوني للعلامات التجارية؛ ودعم فرقة عمل </w:t>
      </w:r>
      <w:r>
        <w:rPr>
          <w:lang w:bidi="ar-SY"/>
        </w:rPr>
        <w:t>XML4IP</w:t>
      </w:r>
      <w:r>
        <w:rPr>
          <w:rFonts w:hint="cs"/>
          <w:rtl/>
          <w:lang w:val="fr-CH" w:bidi="ar-SY"/>
        </w:rPr>
        <w:t xml:space="preserve"> لتطوير مكونات </w:t>
      </w:r>
      <w:r>
        <w:rPr>
          <w:lang w:bidi="ar-SY"/>
        </w:rPr>
        <w:t>XML</w:t>
      </w:r>
      <w:r>
        <w:rPr>
          <w:rFonts w:hint="cs"/>
          <w:rtl/>
          <w:lang w:val="fr-CH" w:bidi="ar-SY"/>
        </w:rPr>
        <w:t xml:space="preserve"> فيما يتعلق ببيانات أحداث الوضع القانوني".</w:t>
      </w:r>
    </w:p>
    <w:p w:rsidR="0032790E" w:rsidRDefault="0032790E" w:rsidP="0032790E">
      <w:pPr>
        <w:pStyle w:val="Decision"/>
        <w:rPr>
          <w:rtl/>
          <w:lang w:bidi="ar-SY"/>
        </w:rPr>
      </w:pPr>
      <w:r>
        <w:rPr>
          <w:rtl/>
          <w:lang w:bidi="ar-SY"/>
        </w:rPr>
        <w:t>إن لجنة المعايير مدعوة للقيام بما يلي:</w:t>
      </w:r>
    </w:p>
    <w:p w:rsidR="0032790E" w:rsidRDefault="0032790E" w:rsidP="003E7ED6">
      <w:pPr>
        <w:pStyle w:val="Decision"/>
        <w:numPr>
          <w:ilvl w:val="0"/>
          <w:numId w:val="0"/>
        </w:numPr>
        <w:spacing w:before="120"/>
        <w:ind w:left="5530"/>
        <w:rPr>
          <w:rtl/>
          <w:lang w:bidi="ar-SY"/>
        </w:rPr>
      </w:pPr>
      <w:r>
        <w:rPr>
          <w:rtl/>
          <w:lang w:bidi="ar-SY"/>
        </w:rPr>
        <w:t>(</w:t>
      </w:r>
      <w:r>
        <w:rPr>
          <w:rFonts w:hint="cs"/>
          <w:rtl/>
          <w:lang w:bidi="ar-SY"/>
        </w:rPr>
        <w:t>أ</w:t>
      </w:r>
      <w:r>
        <w:rPr>
          <w:rtl/>
          <w:lang w:bidi="ar-SY"/>
        </w:rPr>
        <w:t>)</w:t>
      </w:r>
      <w:r>
        <w:rPr>
          <w:rtl/>
          <w:lang w:bidi="ar-SY"/>
        </w:rPr>
        <w:tab/>
        <w:t>الإحاطة علما بنتائج عمل فرقة العمل المعنية بالوضع القانوني وتقرير المشرف على فرقة العمل، على النحو الوارد في هذه الوثيقة؛</w:t>
      </w:r>
    </w:p>
    <w:p w:rsidR="0032790E" w:rsidRDefault="0032790E" w:rsidP="003E7ED6">
      <w:pPr>
        <w:pStyle w:val="Decision"/>
        <w:numPr>
          <w:ilvl w:val="0"/>
          <w:numId w:val="0"/>
        </w:numPr>
        <w:spacing w:before="120"/>
        <w:ind w:left="5530"/>
        <w:rPr>
          <w:rtl/>
          <w:lang w:bidi="ar-SY"/>
        </w:rPr>
      </w:pPr>
      <w:r>
        <w:rPr>
          <w:rtl/>
          <w:lang w:bidi="ar-SY"/>
        </w:rPr>
        <w:t>(</w:t>
      </w:r>
      <w:r>
        <w:rPr>
          <w:rFonts w:hint="cs"/>
          <w:rtl/>
          <w:lang w:bidi="ar-SY"/>
        </w:rPr>
        <w:t>ب</w:t>
      </w:r>
      <w:r>
        <w:rPr>
          <w:rtl/>
          <w:lang w:bidi="ar-SY"/>
        </w:rPr>
        <w:t>)</w:t>
      </w:r>
      <w:r>
        <w:rPr>
          <w:rtl/>
          <w:lang w:bidi="ar-SY"/>
        </w:rPr>
        <w:tab/>
        <w:t>والإحاطة علما بخطة عمل فرقة العمل المعنية بالوضع القانوني وتشجيع مكاتب الملكية الصناعية على المشاركة في مناقشات فرقة العمل على النحو المشار إليه في الفقرات من 15 إلى 19 أعلاه؛</w:t>
      </w:r>
    </w:p>
    <w:p w:rsidR="0032790E" w:rsidRDefault="0032790E" w:rsidP="003E7ED6">
      <w:pPr>
        <w:pStyle w:val="Decision"/>
        <w:numPr>
          <w:ilvl w:val="0"/>
          <w:numId w:val="0"/>
        </w:numPr>
        <w:spacing w:before="120"/>
        <w:ind w:left="5530"/>
        <w:rPr>
          <w:rtl/>
          <w:lang w:bidi="ar-SY"/>
        </w:rPr>
      </w:pPr>
      <w:r>
        <w:rPr>
          <w:rtl/>
          <w:lang w:bidi="ar-SY"/>
        </w:rPr>
        <w:t>(</w:t>
      </w:r>
      <w:r>
        <w:rPr>
          <w:rFonts w:hint="cs"/>
          <w:rtl/>
          <w:lang w:bidi="ar-SY"/>
        </w:rPr>
        <w:t>ج</w:t>
      </w:r>
      <w:r>
        <w:rPr>
          <w:rtl/>
          <w:lang w:bidi="ar-SY"/>
        </w:rPr>
        <w:t>)</w:t>
      </w:r>
      <w:r>
        <w:rPr>
          <w:rtl/>
          <w:lang w:bidi="ar-SY"/>
        </w:rPr>
        <w:tab/>
        <w:t xml:space="preserve">وتشجيع مكاتب الملكية </w:t>
      </w:r>
      <w:r w:rsidR="003E7ED6">
        <w:rPr>
          <w:rFonts w:hint="cs"/>
          <w:rtl/>
          <w:lang w:bidi="ar-SY"/>
        </w:rPr>
        <w:t>الفكرية</w:t>
      </w:r>
      <w:r>
        <w:rPr>
          <w:rtl/>
          <w:lang w:bidi="ar-SY"/>
        </w:rPr>
        <w:t xml:space="preserve"> على تقديم</w:t>
      </w:r>
      <w:r>
        <w:rPr>
          <w:rFonts w:hint="cs"/>
          <w:rtl/>
          <w:lang w:bidi="ar-SY"/>
        </w:rPr>
        <w:t xml:space="preserve"> جداول الربط الخاصة بها فيما يتعلق بمعياري الويبو </w:t>
      </w:r>
      <w:r>
        <w:rPr>
          <w:lang w:bidi="ar-SY"/>
        </w:rPr>
        <w:t>ST.27</w:t>
      </w:r>
      <w:r>
        <w:rPr>
          <w:rFonts w:hint="cs"/>
          <w:rtl/>
          <w:lang w:val="fr-CH" w:bidi="ar-SY"/>
        </w:rPr>
        <w:t xml:space="preserve"> و</w:t>
      </w:r>
      <w:r w:rsidR="00565CC5">
        <w:rPr>
          <w:lang w:bidi="ar-SY"/>
        </w:rPr>
        <w:t>ST</w:t>
      </w:r>
      <w:r>
        <w:rPr>
          <w:lang w:bidi="ar-SY"/>
        </w:rPr>
        <w:t>.87</w:t>
      </w:r>
      <w:r>
        <w:rPr>
          <w:rFonts w:hint="cs"/>
          <w:rtl/>
          <w:lang w:val="fr-CH" w:bidi="ar-SY"/>
        </w:rPr>
        <w:t xml:space="preserve">، على النحو المشار إليه في الفقرات </w:t>
      </w:r>
      <w:r>
        <w:rPr>
          <w:rFonts w:hint="cs"/>
          <w:rtl/>
          <w:lang w:bidi="ar-SY"/>
        </w:rPr>
        <w:t>8 و9 و13 و14 أعلاه؛</w:t>
      </w:r>
    </w:p>
    <w:p w:rsidR="0032790E" w:rsidRDefault="0032790E" w:rsidP="003E7ED6">
      <w:pPr>
        <w:pStyle w:val="Decision"/>
        <w:numPr>
          <w:ilvl w:val="0"/>
          <w:numId w:val="0"/>
        </w:numPr>
        <w:spacing w:before="120"/>
        <w:ind w:left="5530"/>
        <w:rPr>
          <w:rtl/>
          <w:lang w:bidi="ar-SY"/>
        </w:rPr>
      </w:pPr>
      <w:r>
        <w:rPr>
          <w:rFonts w:hint="cs"/>
          <w:rtl/>
          <w:lang w:bidi="ar-SY"/>
        </w:rPr>
        <w:t>(د)</w:t>
      </w:r>
      <w:r>
        <w:rPr>
          <w:rtl/>
          <w:lang w:bidi="ar-SY"/>
        </w:rPr>
        <w:tab/>
      </w:r>
      <w:r>
        <w:rPr>
          <w:rFonts w:hint="cs"/>
          <w:rtl/>
          <w:lang w:bidi="ar-SY"/>
        </w:rPr>
        <w:t xml:space="preserve">والنظر في نشر جداول الربط الواردة </w:t>
      </w:r>
      <w:r w:rsidR="003E7ED6">
        <w:rPr>
          <w:rFonts w:hint="cs"/>
          <w:rtl/>
          <w:lang w:bidi="ar-SY"/>
        </w:rPr>
        <w:t>من المكاتب، في</w:t>
      </w:r>
      <w:r>
        <w:rPr>
          <w:rFonts w:hint="cs"/>
          <w:rtl/>
          <w:lang w:bidi="ar-SY"/>
        </w:rPr>
        <w:t xml:space="preserve"> الجزء 7.13 من </w:t>
      </w:r>
      <w:r w:rsidR="00B8312C">
        <w:rPr>
          <w:rFonts w:hint="cs"/>
          <w:rtl/>
          <w:lang w:bidi="ar-SY"/>
        </w:rPr>
        <w:t>دليل</w:t>
      </w:r>
      <w:r>
        <w:rPr>
          <w:rFonts w:hint="cs"/>
          <w:rtl/>
          <w:lang w:bidi="ar-SY"/>
        </w:rPr>
        <w:t xml:space="preserve"> الويبو، على النحو المشار إليه في الفقرتين 14 و18 أعلاه؛</w:t>
      </w:r>
    </w:p>
    <w:p w:rsidR="0032790E" w:rsidRDefault="0032790E" w:rsidP="003E7ED6">
      <w:pPr>
        <w:pStyle w:val="Decision"/>
        <w:numPr>
          <w:ilvl w:val="0"/>
          <w:numId w:val="0"/>
        </w:numPr>
        <w:spacing w:before="120"/>
        <w:ind w:left="5530"/>
        <w:rPr>
          <w:rtl/>
          <w:lang w:bidi="ar-SY"/>
        </w:rPr>
      </w:pPr>
      <w:r>
        <w:rPr>
          <w:rFonts w:hint="cs"/>
          <w:rtl/>
          <w:lang w:bidi="ar-SY"/>
        </w:rPr>
        <w:t>(ه)</w:t>
      </w:r>
      <w:r>
        <w:rPr>
          <w:rtl/>
          <w:lang w:bidi="ar-SY"/>
        </w:rPr>
        <w:tab/>
      </w:r>
      <w:r w:rsidRPr="0032790E">
        <w:rPr>
          <w:rtl/>
          <w:lang w:bidi="ar-SY"/>
        </w:rPr>
        <w:t>والنظر في التعديل المقترح للمهمة رقم 47 والموافقة عليه وإسناد المهمة المعدَّلة رقم 47 إلى فرقة العمل المعنية بالوضع القانوني، كما هو مبيّن في الفقرة 20 أعلاه.</w:t>
      </w:r>
    </w:p>
    <w:p w:rsidR="0032790E" w:rsidRPr="0032790E" w:rsidRDefault="0032790E" w:rsidP="008B35F6">
      <w:pPr>
        <w:pStyle w:val="Endofdocument-Annex"/>
        <w:rPr>
          <w:rtl/>
          <w:lang w:bidi="ar-SY"/>
        </w:rPr>
      </w:pPr>
      <w:r>
        <w:rPr>
          <w:rtl/>
          <w:lang w:bidi="ar-SY"/>
        </w:rPr>
        <w:t>[</w:t>
      </w:r>
      <w:r>
        <w:rPr>
          <w:rFonts w:hint="cs"/>
          <w:rtl/>
          <w:lang w:bidi="ar-SY"/>
        </w:rPr>
        <w:t>نهاية الوثيقة</w:t>
      </w:r>
      <w:r>
        <w:rPr>
          <w:rtl/>
          <w:lang w:bidi="ar-SY"/>
        </w:rPr>
        <w:t>]</w:t>
      </w:r>
    </w:p>
    <w:sectPr w:rsidR="0032790E" w:rsidRPr="0032790E"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DEC" w:rsidRDefault="00C43DEC">
      <w:r>
        <w:separator/>
      </w:r>
    </w:p>
  </w:endnote>
  <w:endnote w:type="continuationSeparator" w:id="0">
    <w:p w:rsidR="00C43DEC" w:rsidRDefault="00C43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DEC" w:rsidRDefault="00C43DEC" w:rsidP="009622BF">
      <w:bookmarkStart w:id="0" w:name="OLE_LINK1"/>
      <w:bookmarkStart w:id="1" w:name="OLE_LINK2"/>
      <w:r>
        <w:separator/>
      </w:r>
      <w:bookmarkEnd w:id="0"/>
      <w:bookmarkEnd w:id="1"/>
    </w:p>
  </w:footnote>
  <w:footnote w:type="continuationSeparator" w:id="0">
    <w:p w:rsidR="00C43DEC" w:rsidRDefault="00C43DEC"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34B" w:rsidRDefault="00D6234B" w:rsidP="0023693F">
    <w:pPr>
      <w:bidi w:val="0"/>
      <w:rPr>
        <w:rFonts w:ascii="Arial" w:hAnsi="Arial" w:cs="Arial"/>
        <w:sz w:val="22"/>
        <w:szCs w:val="22"/>
      </w:rPr>
    </w:pPr>
    <w:bookmarkStart w:id="14" w:name="Code3"/>
    <w:bookmarkEnd w:id="14"/>
    <w:r>
      <w:rPr>
        <w:rFonts w:ascii="Arial" w:hAnsi="Arial" w:cs="Arial"/>
        <w:sz w:val="22"/>
        <w:szCs w:val="22"/>
      </w:rPr>
      <w:t>CWS/7/11</w:t>
    </w:r>
  </w:p>
  <w:p w:rsidR="004C495B" w:rsidRPr="00C50A61" w:rsidRDefault="004C495B" w:rsidP="00D6234B">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107574">
      <w:rPr>
        <w:rFonts w:ascii="Arial" w:hAnsi="Arial" w:cs="Arial"/>
        <w:noProof/>
        <w:sz w:val="22"/>
        <w:szCs w:val="22"/>
        <w:lang w:bidi="ar-EG"/>
      </w:rPr>
      <w:t>5</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966DDF"/>
    <w:multiLevelType w:val="hybridMultilevel"/>
    <w:tmpl w:val="DF148738"/>
    <w:lvl w:ilvl="0" w:tplc="D6227368">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0"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1"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2"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3"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7"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8"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0"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2"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6"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5"/>
  </w:num>
  <w:num w:numId="3">
    <w:abstractNumId w:val="14"/>
  </w:num>
  <w:num w:numId="4">
    <w:abstractNumId w:val="37"/>
  </w:num>
  <w:num w:numId="5">
    <w:abstractNumId w:val="8"/>
  </w:num>
  <w:num w:numId="6">
    <w:abstractNumId w:val="38"/>
  </w:num>
  <w:num w:numId="7">
    <w:abstractNumId w:val="21"/>
  </w:num>
  <w:num w:numId="8">
    <w:abstractNumId w:val="36"/>
  </w:num>
  <w:num w:numId="9">
    <w:abstractNumId w:val="32"/>
  </w:num>
  <w:num w:numId="10">
    <w:abstractNumId w:val="39"/>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4"/>
  </w:num>
  <w:num w:numId="23">
    <w:abstractNumId w:val="12"/>
  </w:num>
  <w:num w:numId="24">
    <w:abstractNumId w:val="11"/>
  </w:num>
  <w:num w:numId="25">
    <w:abstractNumId w:val="11"/>
  </w:num>
  <w:num w:numId="26">
    <w:abstractNumId w:val="11"/>
  </w:num>
  <w:num w:numId="27">
    <w:abstractNumId w:val="11"/>
  </w:num>
  <w:num w:numId="28">
    <w:abstractNumId w:val="18"/>
  </w:num>
  <w:num w:numId="29">
    <w:abstractNumId w:val="11"/>
  </w:num>
  <w:num w:numId="30">
    <w:abstractNumId w:val="30"/>
  </w:num>
  <w:num w:numId="31">
    <w:abstractNumId w:val="22"/>
  </w:num>
  <w:num w:numId="32">
    <w:abstractNumId w:val="27"/>
  </w:num>
  <w:num w:numId="33">
    <w:abstractNumId w:val="35"/>
  </w:num>
  <w:num w:numId="34">
    <w:abstractNumId w:val="13"/>
  </w:num>
  <w:num w:numId="35">
    <w:abstractNumId w:val="34"/>
  </w:num>
  <w:num w:numId="36">
    <w:abstractNumId w:val="26"/>
  </w:num>
  <w:num w:numId="37">
    <w:abstractNumId w:val="33"/>
  </w:num>
  <w:num w:numId="38">
    <w:abstractNumId w:val="17"/>
  </w:num>
  <w:num w:numId="39">
    <w:abstractNumId w:val="29"/>
  </w:num>
  <w:num w:numId="40">
    <w:abstractNumId w:val="28"/>
  </w:num>
  <w:num w:numId="41">
    <w:abstractNumId w:val="19"/>
  </w:num>
  <w:num w:numId="42">
    <w:abstractNumId w:val="10"/>
  </w:num>
  <w:num w:numId="43">
    <w:abstractNumId w:val="23"/>
  </w:num>
  <w:num w:numId="44">
    <w:abstractNumId w:val="31"/>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252"/>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03A"/>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07574"/>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6EF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039"/>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4FFC"/>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2790E"/>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E7ED6"/>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24C"/>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0745"/>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1BC4"/>
    <w:rsid w:val="0056248F"/>
    <w:rsid w:val="00564985"/>
    <w:rsid w:val="00565379"/>
    <w:rsid w:val="0056579D"/>
    <w:rsid w:val="00565CC5"/>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932"/>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293C"/>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223F"/>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35F6"/>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4AC"/>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2D4A"/>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4BF3"/>
    <w:rsid w:val="00B751C3"/>
    <w:rsid w:val="00B76AF5"/>
    <w:rsid w:val="00B76C0D"/>
    <w:rsid w:val="00B77D0D"/>
    <w:rsid w:val="00B80817"/>
    <w:rsid w:val="00B827E6"/>
    <w:rsid w:val="00B82A28"/>
    <w:rsid w:val="00B82B8D"/>
    <w:rsid w:val="00B82C97"/>
    <w:rsid w:val="00B8312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3DEC"/>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3FD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775"/>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34B"/>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3"/>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84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252"/>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A1D"/>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83F79D4-71E7-47F3-A4E5-167F89959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0223F"/>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93DC1-B82F-4874-ADCF-57E899155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1569</Words>
  <Characters>8209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CWS/7/11 (in Arabic)</vt:lpstr>
    </vt:vector>
  </TitlesOfParts>
  <Company>World Intellectual Property Organization</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CWS/7/11 (in Arabic)</dc:title>
  <dc:subject>تقرير عن المهمة رقم 47</dc:subject>
  <dc:creator>WIPO</dc:creator>
  <cp:keywords>CWS, WIPO</cp:keywords>
  <cp:lastModifiedBy>DRAKE Sophie</cp:lastModifiedBy>
  <cp:revision>10</cp:revision>
  <cp:lastPrinted>2019-06-05T12:24:00Z</cp:lastPrinted>
  <dcterms:created xsi:type="dcterms:W3CDTF">2019-06-05T09:23:00Z</dcterms:created>
  <dcterms:modified xsi:type="dcterms:W3CDTF">2019-06-11T10:23:00Z</dcterms:modified>
</cp:coreProperties>
</file>