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51A4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25</w:t>
      </w:r>
    </w:p>
    <w:bookmarkEnd w:id="3"/>
    <w:p w:rsidR="003F7284" w:rsidRPr="00251A4B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251A4B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251A4B">
        <w:rPr>
          <w:rFonts w:hint="cs"/>
          <w:b/>
          <w:bCs/>
          <w:sz w:val="30"/>
          <w:szCs w:val="30"/>
          <w:rtl/>
        </w:rPr>
        <w:t>21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251A4B" w:rsidP="00142BED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Start w:id="10" w:name="_GoBack"/>
      <w:bookmarkEnd w:id="9"/>
      <w:r>
        <w:rPr>
          <w:rFonts w:ascii="Arial Black" w:hAnsi="Arial Black" w:cs="PT Bold Heading" w:hint="cs"/>
          <w:sz w:val="26"/>
          <w:szCs w:val="26"/>
          <w:rtl/>
        </w:rPr>
        <w:t>م</w:t>
      </w:r>
      <w:r>
        <w:rPr>
          <w:rFonts w:ascii="Arial Black" w:hAnsi="Arial Black" w:cs="PT Bold Heading"/>
          <w:sz w:val="26"/>
          <w:szCs w:val="26"/>
          <w:rtl/>
        </w:rPr>
        <w:t>قتر</w:t>
      </w:r>
      <w:r w:rsidRPr="00251A4B">
        <w:rPr>
          <w:rFonts w:ascii="Arial Black" w:hAnsi="Arial Black" w:cs="PT Bold Heading"/>
          <w:sz w:val="26"/>
          <w:szCs w:val="26"/>
          <w:rtl/>
        </w:rPr>
        <w:t>ح من فرقة العمل المعنية بنفاذ الجمهور إ</w:t>
      </w:r>
      <w:r w:rsidR="00142BED">
        <w:rPr>
          <w:rFonts w:ascii="Arial Black" w:hAnsi="Arial Black" w:cs="PT Bold Heading"/>
          <w:sz w:val="26"/>
          <w:szCs w:val="26"/>
          <w:rtl/>
        </w:rPr>
        <w:t xml:space="preserve">لى </w:t>
      </w:r>
      <w:r w:rsidR="00142BED">
        <w:rPr>
          <w:rFonts w:ascii="Arial Black" w:hAnsi="Arial Black" w:cs="PT Bold Heading" w:hint="cs"/>
          <w:sz w:val="26"/>
          <w:szCs w:val="26"/>
          <w:rtl/>
        </w:rPr>
        <w:t>م</w:t>
      </w:r>
      <w:r>
        <w:rPr>
          <w:rFonts w:ascii="Arial Black" w:hAnsi="Arial Black" w:cs="PT Bold Heading"/>
          <w:sz w:val="26"/>
          <w:szCs w:val="26"/>
          <w:rtl/>
        </w:rPr>
        <w:t>علومات البراءات</w:t>
      </w:r>
      <w:r w:rsidRPr="00251A4B">
        <w:rPr>
          <w:rFonts w:ascii="Arial Black" w:hAnsi="Arial Black" w:cs="PT Bold Heading"/>
          <w:sz w:val="26"/>
          <w:szCs w:val="26"/>
          <w:rtl/>
        </w:rPr>
        <w:t xml:space="preserve"> حول استبيان بشأن توفير النفاذ إلى معلومات البراءات المتاحة للجمهور</w:t>
      </w:r>
    </w:p>
    <w:p w:rsidR="003F7284" w:rsidRPr="00BB6440" w:rsidRDefault="00251A4B" w:rsidP="00874721">
      <w:pPr>
        <w:spacing w:before="200" w:after="960"/>
        <w:rPr>
          <w:i/>
          <w:iCs/>
          <w:rtl/>
        </w:rPr>
      </w:pPr>
      <w:bookmarkStart w:id="11" w:name="Doc"/>
      <w:bookmarkEnd w:id="11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المكتب الدولي</w:t>
      </w:r>
    </w:p>
    <w:p w:rsidR="00E3612C" w:rsidRPr="00FD6D15" w:rsidRDefault="00251A4B" w:rsidP="00251A4B">
      <w:pPr>
        <w:pStyle w:val="Heading3"/>
        <w:rPr>
          <w:rtl/>
        </w:rPr>
      </w:pPr>
      <w:r>
        <w:rPr>
          <w:rFonts w:hint="cs"/>
          <w:rtl/>
        </w:rPr>
        <w:t>معلومات أساسية</w:t>
      </w:r>
    </w:p>
    <w:p w:rsidR="00C41AE0" w:rsidRDefault="00251A4B" w:rsidP="00251A4B">
      <w:pPr>
        <w:pStyle w:val="ONUMA"/>
      </w:pPr>
      <w:r w:rsidRPr="00251A4B">
        <w:rPr>
          <w:rtl/>
        </w:rPr>
        <w:t xml:space="preserve">أحاطت اللجنة المعنية بمعايير الويبو (لجنة المعايير)، في دورتها الرابعة المجتمعة مجدداً </w:t>
      </w:r>
      <w:r>
        <w:rPr>
          <w:rFonts w:hint="cs"/>
          <w:rtl/>
        </w:rPr>
        <w:t xml:space="preserve">التي عُقدت </w:t>
      </w:r>
      <w:r w:rsidRPr="00251A4B">
        <w:rPr>
          <w:rtl/>
        </w:rPr>
        <w:t>في مارس 2016، علماً بما ورد من فري</w:t>
      </w:r>
      <w:r>
        <w:rPr>
          <w:rtl/>
        </w:rPr>
        <w:t>ق وثائق البراءات</w:t>
      </w:r>
      <w:r w:rsidRPr="00251A4B">
        <w:rPr>
          <w:rtl/>
        </w:rPr>
        <w:t xml:space="preserve"> من التماس ومعلومات بشأن متطلبات سجلات البراءات الوطنية والإقليمية.</w:t>
      </w:r>
      <w:r>
        <w:rPr>
          <w:rFonts w:hint="cs"/>
          <w:rtl/>
        </w:rPr>
        <w:t xml:space="preserve"> </w:t>
      </w:r>
      <w:r w:rsidRPr="00251A4B">
        <w:rPr>
          <w:rtl/>
        </w:rPr>
        <w:t xml:space="preserve">ووافقت لجنة المعايير، بصفة خاصة، على جمع ممارسات مكاتب الملكية الصناعية بشأن المحتوى والوظائف والخطط المستقبلية فيما يخص سجلات براءاتها (انظر المرفق الثالث للوثيقة </w:t>
      </w:r>
      <w:r w:rsidRPr="00251A4B">
        <w:t>CWS/4BIS/6</w:t>
      </w:r>
      <w:r w:rsidRPr="00251A4B">
        <w:rPr>
          <w:rtl/>
        </w:rPr>
        <w:t>).</w:t>
      </w:r>
    </w:p>
    <w:p w:rsidR="00251A4B" w:rsidRDefault="00251A4B" w:rsidP="00251A4B">
      <w:pPr>
        <w:pStyle w:val="ONUMA"/>
      </w:pPr>
      <w:r w:rsidRPr="00251A4B">
        <w:rPr>
          <w:rtl/>
        </w:rPr>
        <w:t xml:space="preserve">وأنشأت لجنة المعايير، خلال دورتها الخامسة </w:t>
      </w:r>
      <w:r>
        <w:rPr>
          <w:rFonts w:hint="cs"/>
          <w:rtl/>
        </w:rPr>
        <w:t>التي عُقدت</w:t>
      </w:r>
      <w:r w:rsidRPr="00251A4B">
        <w:rPr>
          <w:rtl/>
        </w:rPr>
        <w:t xml:space="preserve"> في </w:t>
      </w:r>
      <w:r w:rsidR="00142BED">
        <w:rPr>
          <w:rtl/>
        </w:rPr>
        <w:t>2017، مهمة جديدة رقم 52</w:t>
      </w:r>
      <w:r w:rsidRPr="00251A4B">
        <w:rPr>
          <w:rtl/>
        </w:rPr>
        <w:t>:</w:t>
      </w:r>
    </w:p>
    <w:p w:rsidR="00251A4B" w:rsidRDefault="00251A4B" w:rsidP="00251A4B">
      <w:pPr>
        <w:pStyle w:val="BodyTextFirstIndent"/>
        <w:rPr>
          <w:rtl/>
        </w:rPr>
      </w:pPr>
      <w:r w:rsidRPr="00251A4B">
        <w:rPr>
          <w:rtl/>
        </w:rPr>
        <w:t>"إجراء دراسة استقصائية عن محتوى ووظائف أنظمة النفاذ إلى معلومات البراءات التي تتيحها مكاتب الملكية الصناعية للجمهور، فضلا</w:t>
      </w:r>
      <w:r>
        <w:rPr>
          <w:rFonts w:hint="cs"/>
          <w:rtl/>
        </w:rPr>
        <w:t>ً</w:t>
      </w:r>
      <w:r w:rsidRPr="00251A4B">
        <w:rPr>
          <w:rtl/>
        </w:rPr>
        <w:t xml:space="preserve"> عن الخطط المستقبلية فيما يخص ممارساتها المتعلقة بالنشر؛ وإعداد توصيات بشأن أنظمة النفاذ إلى معلومات البراءات التي تتيحها مكاتب الملكية الصناعية للجمهور (انظر الفقرات من 94 إلى 96 من الوثيقة </w:t>
      </w:r>
      <w:r w:rsidRPr="00251A4B">
        <w:t>CWS/5/22</w:t>
      </w:r>
      <w:r w:rsidRPr="00251A4B">
        <w:rPr>
          <w:rtl/>
        </w:rPr>
        <w:t>).</w:t>
      </w:r>
    </w:p>
    <w:p w:rsidR="00251A4B" w:rsidRDefault="00251A4B" w:rsidP="00251A4B">
      <w:pPr>
        <w:pStyle w:val="ONUMA"/>
      </w:pPr>
      <w:r w:rsidRPr="00251A4B">
        <w:rPr>
          <w:rtl/>
        </w:rPr>
        <w:lastRenderedPageBreak/>
        <w:t xml:space="preserve">وأنشأت لجنة المعايير كذلك فرقة العمل المعنية بنفاذ الجمهور </w:t>
      </w:r>
      <w:r>
        <w:rPr>
          <w:rtl/>
        </w:rPr>
        <w:t>إلى معلومات البراءات</w:t>
      </w:r>
      <w:r w:rsidRPr="00251A4B">
        <w:rPr>
          <w:rtl/>
        </w:rPr>
        <w:t xml:space="preserve"> </w:t>
      </w:r>
      <w:r>
        <w:rPr>
          <w:rFonts w:hint="cs"/>
          <w:rtl/>
        </w:rPr>
        <w:t>لتتولى</w:t>
      </w:r>
      <w:r w:rsidRPr="00251A4B">
        <w:rPr>
          <w:rtl/>
        </w:rPr>
        <w:t xml:space="preserve"> المهمة رقم 52، وعيّنت المكتب الدولي للويبو مشرفاً عليها.</w:t>
      </w:r>
      <w:r>
        <w:rPr>
          <w:rFonts w:hint="cs"/>
          <w:rtl/>
        </w:rPr>
        <w:t xml:space="preserve"> </w:t>
      </w:r>
      <w:r w:rsidRPr="00251A4B">
        <w:rPr>
          <w:rtl/>
        </w:rPr>
        <w:t xml:space="preserve">والتمست لجنة المعايير من فرقة العمل المُنشأة أن تراعي المعارف المُجمّعة من بوابة سجلات البراءات ونتائج عمل فرقة العمل المعنية بالوضع القانوني. (انظر الفقرات من 97 إلى 100 من الوثيقة </w:t>
      </w:r>
      <w:r w:rsidRPr="00251A4B">
        <w:t>CWS/5/22</w:t>
      </w:r>
      <w:r w:rsidRPr="00251A4B">
        <w:rPr>
          <w:rtl/>
        </w:rPr>
        <w:t>).</w:t>
      </w:r>
    </w:p>
    <w:p w:rsidR="00251A4B" w:rsidRPr="005E65A5" w:rsidRDefault="00251A4B" w:rsidP="00D51423">
      <w:pPr>
        <w:pStyle w:val="ONUMA"/>
        <w:rPr>
          <w:rtl/>
        </w:rPr>
      </w:pPr>
      <w:r w:rsidRPr="00251A4B">
        <w:rPr>
          <w:rtl/>
        </w:rPr>
        <w:t xml:space="preserve">وباشرت فرقة العمل </w:t>
      </w:r>
      <w:r w:rsidR="00D51423">
        <w:rPr>
          <w:rtl/>
        </w:rPr>
        <w:t>أعمالها اعتباراً من سبتمبر 2017</w:t>
      </w:r>
      <w:r w:rsidR="00D51423">
        <w:rPr>
          <w:rFonts w:hint="cs"/>
          <w:rtl/>
          <w:lang w:val="fr-CH" w:bidi="ar-SY"/>
        </w:rPr>
        <w:t xml:space="preserve">، </w:t>
      </w:r>
      <w:r w:rsidRPr="00251A4B">
        <w:rPr>
          <w:rtl/>
        </w:rPr>
        <w:t>وع</w:t>
      </w:r>
      <w:r w:rsidR="005E65A5">
        <w:rPr>
          <w:rFonts w:hint="cs"/>
          <w:rtl/>
        </w:rPr>
        <w:t>ُ</w:t>
      </w:r>
      <w:r w:rsidRPr="00251A4B">
        <w:rPr>
          <w:rtl/>
        </w:rPr>
        <w:t>يّن حاليا</w:t>
      </w:r>
      <w:r w:rsidR="005E65A5">
        <w:rPr>
          <w:rFonts w:hint="cs"/>
          <w:rtl/>
        </w:rPr>
        <w:t>ً</w:t>
      </w:r>
      <w:r w:rsidRPr="00251A4B">
        <w:rPr>
          <w:rtl/>
        </w:rPr>
        <w:t xml:space="preserve"> 32 خبيرا</w:t>
      </w:r>
      <w:r w:rsidR="005E65A5">
        <w:rPr>
          <w:rtl/>
        </w:rPr>
        <w:t>ً من طرف مكاتب الملكية الصناعية</w:t>
      </w:r>
      <w:r w:rsidR="005E65A5">
        <w:rPr>
          <w:rFonts w:hint="cs"/>
          <w:rtl/>
        </w:rPr>
        <w:t>، إضافة إلى المجموعات الصناعية والمكتب الدولي، للمشاركة في فرقة العمل. و</w:t>
      </w:r>
      <w:r w:rsidR="00D51423">
        <w:rPr>
          <w:rFonts w:hint="cs"/>
          <w:rtl/>
        </w:rPr>
        <w:t>ت</w:t>
      </w:r>
      <w:r w:rsidR="005E65A5">
        <w:rPr>
          <w:rFonts w:hint="cs"/>
          <w:rtl/>
        </w:rPr>
        <w:t>شمل فرقة العمل</w:t>
      </w:r>
      <w:r w:rsidR="00D51423" w:rsidRPr="00D51423">
        <w:rPr>
          <w:rFonts w:hint="cs"/>
          <w:rtl/>
        </w:rPr>
        <w:t xml:space="preserve"> </w:t>
      </w:r>
      <w:r w:rsidR="00D51423">
        <w:rPr>
          <w:rFonts w:hint="cs"/>
          <w:rtl/>
        </w:rPr>
        <w:t>أعضاء من</w:t>
      </w:r>
      <w:r w:rsidR="005E65A5">
        <w:rPr>
          <w:rFonts w:hint="cs"/>
          <w:rtl/>
        </w:rPr>
        <w:t xml:space="preserve">: شيلي والصين وألمانيا والمملكة المتحدة والهند واليابان وجمهورية كوريا والاتحاد الروسي وسلوفاكيا وأوكرانيا، إضافة إلى </w:t>
      </w:r>
      <w:r w:rsidR="005E65A5" w:rsidRPr="005E65A5">
        <w:rPr>
          <w:rtl/>
        </w:rPr>
        <w:t>كونفدرالية مجموعات مستخدمي المعلومات المتعلقة بالبراءات</w:t>
      </w:r>
      <w:r w:rsidR="005E65A5">
        <w:rPr>
          <w:rFonts w:hint="cs"/>
          <w:rtl/>
        </w:rPr>
        <w:t xml:space="preserve"> الأوروبية، وفريق وثائق البراءات.</w:t>
      </w:r>
    </w:p>
    <w:p w:rsidR="000D7E81" w:rsidRPr="000D7E81" w:rsidRDefault="00D51423" w:rsidP="005E65A5">
      <w:pPr>
        <w:pStyle w:val="Heading3"/>
        <w:rPr>
          <w:rtl/>
        </w:rPr>
      </w:pPr>
      <w:r>
        <w:rPr>
          <w:rtl/>
        </w:rPr>
        <w:t>مشروع استبيان من أجل إجراء</w:t>
      </w:r>
      <w:r>
        <w:rPr>
          <w:rFonts w:hint="cs"/>
          <w:rtl/>
        </w:rPr>
        <w:t xml:space="preserve"> </w:t>
      </w:r>
      <w:r w:rsidR="005E65A5" w:rsidRPr="005E65A5">
        <w:rPr>
          <w:rtl/>
        </w:rPr>
        <w:t>دراسة الاستقصائية</w:t>
      </w:r>
    </w:p>
    <w:p w:rsidR="00FD6D15" w:rsidRDefault="005E65A5" w:rsidP="00D51423">
      <w:pPr>
        <w:pStyle w:val="ONUMA"/>
      </w:pPr>
      <w:r w:rsidRPr="005E65A5">
        <w:rPr>
          <w:rtl/>
        </w:rPr>
        <w:t>وفقاً لقرار لجنة المعايير، نظمت فر</w:t>
      </w:r>
      <w:r w:rsidR="00D51423">
        <w:rPr>
          <w:rtl/>
        </w:rPr>
        <w:t xml:space="preserve">قة العمل المعنية بنفاذ الجمهور </w:t>
      </w:r>
      <w:r w:rsidR="00D51423">
        <w:rPr>
          <w:rFonts w:hint="cs"/>
          <w:rtl/>
        </w:rPr>
        <w:t xml:space="preserve">إلى </w:t>
      </w:r>
      <w:r w:rsidRPr="005E65A5">
        <w:rPr>
          <w:rtl/>
        </w:rPr>
        <w:t>معلومات البراءات</w:t>
      </w:r>
      <w:r w:rsidR="00142BED">
        <w:rPr>
          <w:rFonts w:hint="cs"/>
          <w:rtl/>
        </w:rPr>
        <w:t>، قبل انعقاد الدورة السادسة للجنة المعايير،</w:t>
      </w:r>
      <w:r w:rsidRPr="005E65A5">
        <w:rPr>
          <w:rtl/>
        </w:rPr>
        <w:t xml:space="preserve"> خمس جولات من المناقشات لإعداد </w:t>
      </w:r>
      <w:r w:rsidR="00142BED" w:rsidRPr="005E65A5">
        <w:rPr>
          <w:rtl/>
        </w:rPr>
        <w:t xml:space="preserve">مقترح </w:t>
      </w:r>
      <w:r w:rsidRPr="005E65A5">
        <w:rPr>
          <w:rtl/>
        </w:rPr>
        <w:t>استبيان بشأن محتوى ووظائف أنظمة النفاذ إلى معلومات البراءات المتاحة للجمهور.</w:t>
      </w:r>
      <w:r w:rsidR="00142BED">
        <w:rPr>
          <w:rFonts w:hint="cs"/>
          <w:rtl/>
        </w:rPr>
        <w:t xml:space="preserve"> و</w:t>
      </w:r>
      <w:r w:rsidR="00D51423">
        <w:rPr>
          <w:rFonts w:hint="cs"/>
          <w:rtl/>
        </w:rPr>
        <w:t>قُ</w:t>
      </w:r>
      <w:r w:rsidR="00142BED">
        <w:rPr>
          <w:rFonts w:hint="cs"/>
          <w:rtl/>
        </w:rPr>
        <w:t xml:space="preserve">دّم الاستبيان خلال الدورة السادسة للجنة المعايير. </w:t>
      </w:r>
      <w:r w:rsidR="00142BED" w:rsidRPr="00142BED">
        <w:rPr>
          <w:rtl/>
        </w:rPr>
        <w:t xml:space="preserve">وطلب المكتب الدولي توضيحات من الوفود بشأن </w:t>
      </w:r>
      <w:r w:rsidR="00142BED">
        <w:rPr>
          <w:rFonts w:hint="cs"/>
          <w:rtl/>
        </w:rPr>
        <w:t>عدد من</w:t>
      </w:r>
      <w:r w:rsidR="00142BED" w:rsidRPr="00142BED">
        <w:rPr>
          <w:rtl/>
        </w:rPr>
        <w:t xml:space="preserve"> </w:t>
      </w:r>
      <w:r w:rsidR="00142BED">
        <w:rPr>
          <w:rFonts w:hint="cs"/>
          <w:rtl/>
        </w:rPr>
        <w:t>القضايا</w:t>
      </w:r>
      <w:r w:rsidR="00142BED" w:rsidRPr="00142BED">
        <w:rPr>
          <w:rtl/>
        </w:rPr>
        <w:t xml:space="preserve"> الواردة في الاستبيان.</w:t>
      </w:r>
      <w:r w:rsidR="00142BED">
        <w:rPr>
          <w:rFonts w:hint="cs"/>
          <w:rtl/>
        </w:rPr>
        <w:t xml:space="preserve"> </w:t>
      </w:r>
      <w:r w:rsidR="00D51423">
        <w:rPr>
          <w:rFonts w:hint="cs"/>
          <w:rtl/>
        </w:rPr>
        <w:t>ف</w:t>
      </w:r>
      <w:r w:rsidR="00142BED">
        <w:rPr>
          <w:rFonts w:hint="cs"/>
          <w:rtl/>
        </w:rPr>
        <w:t xml:space="preserve">أعادت لجنة المعايير </w:t>
      </w:r>
      <w:r w:rsidR="00142BED" w:rsidRPr="00142BED">
        <w:rPr>
          <w:rtl/>
        </w:rPr>
        <w:t>الاستبيان إلى فرقة العمل المعنية بنفاذ الجمهور إلى معلومات البراءات لمزيد من الدراسة.</w:t>
      </w:r>
      <w:r w:rsidR="00142BED">
        <w:rPr>
          <w:rFonts w:hint="cs"/>
          <w:rtl/>
        </w:rPr>
        <w:t xml:space="preserve"> </w:t>
      </w:r>
      <w:r w:rsidR="00142BED" w:rsidRPr="00142BED">
        <w:rPr>
          <w:rtl/>
        </w:rPr>
        <w:t xml:space="preserve">وطلبت لجنة المعايير إلى فرقة العمل أن تُقدِّم إليها </w:t>
      </w:r>
      <w:r w:rsidR="00142BED">
        <w:rPr>
          <w:rFonts w:hint="cs"/>
          <w:rtl/>
        </w:rPr>
        <w:t>مقترحاً</w:t>
      </w:r>
      <w:r w:rsidR="00142BED" w:rsidRPr="00142BED">
        <w:rPr>
          <w:rtl/>
        </w:rPr>
        <w:t xml:space="preserve"> لاستبيان مُنق</w:t>
      </w:r>
      <w:r w:rsidR="00142BED">
        <w:rPr>
          <w:rFonts w:hint="cs"/>
          <w:rtl/>
        </w:rPr>
        <w:t>ّ</w:t>
      </w:r>
      <w:r w:rsidR="00142BED" w:rsidRPr="00142BED">
        <w:rPr>
          <w:rtl/>
        </w:rPr>
        <w:t>ح في دورتها السابعة.</w:t>
      </w:r>
    </w:p>
    <w:p w:rsidR="00142BED" w:rsidRPr="00555C49" w:rsidRDefault="00142BED" w:rsidP="00D51423">
      <w:pPr>
        <w:pStyle w:val="ONUMA"/>
      </w:pPr>
      <w:r>
        <w:rPr>
          <w:rFonts w:hint="cs"/>
          <w:rtl/>
        </w:rPr>
        <w:t xml:space="preserve">وعقدت فرقة العمل </w:t>
      </w:r>
      <w:r w:rsidRPr="00142BED">
        <w:rPr>
          <w:rtl/>
        </w:rPr>
        <w:t>المعنية بنفاذ الجمهور إلى معلومات البراءات</w:t>
      </w:r>
      <w:r>
        <w:rPr>
          <w:rFonts w:hint="cs"/>
          <w:rtl/>
        </w:rPr>
        <w:t xml:space="preserve"> ثلاث جولات من المناقشات لمعالجة المسائل المُثارة أثناء الدورة السادسة </w:t>
      </w:r>
      <w:r w:rsidR="00A15074">
        <w:rPr>
          <w:rFonts w:hint="cs"/>
          <w:rtl/>
        </w:rPr>
        <w:t xml:space="preserve">للجنة المعايير. </w:t>
      </w:r>
      <w:r w:rsidR="00A15074" w:rsidRPr="00A15074">
        <w:rPr>
          <w:rtl/>
        </w:rPr>
        <w:t xml:space="preserve">كما نظرت في </w:t>
      </w:r>
      <w:r w:rsidR="00A15074">
        <w:rPr>
          <w:rFonts w:hint="cs"/>
          <w:rtl/>
          <w:lang w:val="fr-CH" w:bidi="ar-SY"/>
        </w:rPr>
        <w:t>أساليب</w:t>
      </w:r>
      <w:r w:rsidR="00A15074" w:rsidRPr="00A15074">
        <w:rPr>
          <w:rtl/>
        </w:rPr>
        <w:t xml:space="preserve"> لزيادة الردود على الاستبيان.</w:t>
      </w:r>
      <w:r w:rsidR="00A15074">
        <w:rPr>
          <w:rFonts w:hint="cs"/>
          <w:rtl/>
        </w:rPr>
        <w:t xml:space="preserve"> وتلبية لهذا الغرض</w:t>
      </w:r>
      <w:r w:rsidR="00D51423">
        <w:rPr>
          <w:rFonts w:hint="cs"/>
          <w:rtl/>
        </w:rPr>
        <w:t>،</w:t>
      </w:r>
      <w:r w:rsidR="00A15074">
        <w:rPr>
          <w:rFonts w:hint="cs"/>
          <w:rtl/>
        </w:rPr>
        <w:t xml:space="preserve"> فقد قُسّم الاستبيان إلى قسمين. وبعد موافقة لجنة المعايير على الدراسة الاستقصائية، سيقوم المكتب الدولي بتعميم الجزء الأول بشأن معلومات البراءات الأساسية على المكاتب. وصُمّم</w:t>
      </w:r>
      <w:r w:rsidR="00A15074" w:rsidRPr="00A15074">
        <w:rPr>
          <w:rtl/>
        </w:rPr>
        <w:t xml:space="preserve"> الجزء الأول </w:t>
      </w:r>
      <w:r w:rsidR="00A15074">
        <w:rPr>
          <w:rFonts w:hint="cs"/>
          <w:rtl/>
        </w:rPr>
        <w:t>على نحو يتيح</w:t>
      </w:r>
      <w:r w:rsidR="00A15074">
        <w:rPr>
          <w:rtl/>
        </w:rPr>
        <w:t xml:space="preserve"> الرد علي</w:t>
      </w:r>
      <w:r w:rsidR="00A15074">
        <w:rPr>
          <w:rFonts w:hint="cs"/>
          <w:rtl/>
        </w:rPr>
        <w:t>ه</w:t>
      </w:r>
      <w:r w:rsidR="00A15074">
        <w:rPr>
          <w:rtl/>
        </w:rPr>
        <w:t xml:space="preserve"> بسرعة وسهول</w:t>
      </w:r>
      <w:r w:rsidR="00A15074">
        <w:rPr>
          <w:rFonts w:hint="cs"/>
          <w:rtl/>
        </w:rPr>
        <w:t>ة. وبمجرد</w:t>
      </w:r>
      <w:r w:rsidR="00A15074" w:rsidRPr="00A15074">
        <w:rPr>
          <w:rtl/>
          <w:lang w:val="fr-CH"/>
        </w:rPr>
        <w:t xml:space="preserve"> أن تقدم</w:t>
      </w:r>
      <w:r w:rsidR="00A15074">
        <w:rPr>
          <w:rtl/>
          <w:lang w:val="fr-CH"/>
        </w:rPr>
        <w:t xml:space="preserve"> المكاتب </w:t>
      </w:r>
      <w:r w:rsidR="00555C49">
        <w:rPr>
          <w:rFonts w:hint="cs"/>
          <w:rtl/>
          <w:lang w:val="fr-CH"/>
        </w:rPr>
        <w:t>الردود</w:t>
      </w:r>
      <w:r w:rsidR="00A15074">
        <w:rPr>
          <w:rtl/>
          <w:lang w:val="fr-CH"/>
        </w:rPr>
        <w:t xml:space="preserve"> على الجزء الأول</w:t>
      </w:r>
      <w:r w:rsidR="00A15074" w:rsidRPr="00A15074">
        <w:rPr>
          <w:rtl/>
          <w:lang w:val="fr-CH"/>
        </w:rPr>
        <w:t xml:space="preserve">، </w:t>
      </w:r>
      <w:r w:rsidR="00555C49">
        <w:rPr>
          <w:rFonts w:hint="cs"/>
          <w:rtl/>
          <w:lang w:val="fr-CH"/>
        </w:rPr>
        <w:t>سيُرسل إليها</w:t>
      </w:r>
      <w:r w:rsidR="00A15074" w:rsidRPr="00A15074">
        <w:rPr>
          <w:rtl/>
          <w:lang w:val="fr-CH"/>
        </w:rPr>
        <w:t xml:space="preserve"> الجزء الثاني من </w:t>
      </w:r>
      <w:r w:rsidR="00555C49">
        <w:rPr>
          <w:rFonts w:hint="cs"/>
          <w:rtl/>
          <w:lang w:val="fr-CH"/>
        </w:rPr>
        <w:t>الدراسة الاستقصائية</w:t>
      </w:r>
      <w:r w:rsidR="00A15074" w:rsidRPr="00A15074">
        <w:rPr>
          <w:rtl/>
          <w:lang w:val="fr-CH"/>
        </w:rPr>
        <w:t xml:space="preserve"> لطلب معلومات أكثر تفصيلاً.</w:t>
      </w:r>
      <w:r w:rsidR="00555C49">
        <w:rPr>
          <w:rFonts w:hint="cs"/>
          <w:rtl/>
          <w:lang w:val="fr-CH"/>
        </w:rPr>
        <w:t xml:space="preserve"> </w:t>
      </w:r>
      <w:r w:rsidR="00555C49" w:rsidRPr="00555C49">
        <w:rPr>
          <w:rtl/>
          <w:lang w:val="fr-CH"/>
        </w:rPr>
        <w:t xml:space="preserve">ويرد مشروع الاستبيان النهائي في </w:t>
      </w:r>
      <w:r w:rsidR="00555C49">
        <w:rPr>
          <w:rFonts w:hint="cs"/>
          <w:rtl/>
          <w:lang w:val="fr-CH"/>
        </w:rPr>
        <w:t>ال</w:t>
      </w:r>
      <w:r w:rsidR="00555C49" w:rsidRPr="00555C49">
        <w:rPr>
          <w:rtl/>
          <w:lang w:val="fr-CH"/>
        </w:rPr>
        <w:t xml:space="preserve">مرفق </w:t>
      </w:r>
      <w:r w:rsidR="00555C49">
        <w:rPr>
          <w:rFonts w:hint="cs"/>
          <w:rtl/>
          <w:lang w:val="fr-CH"/>
        </w:rPr>
        <w:t>ب</w:t>
      </w:r>
      <w:r w:rsidR="00555C49" w:rsidRPr="00555C49">
        <w:rPr>
          <w:rtl/>
          <w:lang w:val="fr-CH"/>
        </w:rPr>
        <w:t xml:space="preserve">الوثيقة </w:t>
      </w:r>
      <w:r w:rsidR="00555C49">
        <w:rPr>
          <w:rFonts w:hint="cs"/>
          <w:rtl/>
          <w:lang w:val="fr-CH"/>
        </w:rPr>
        <w:t xml:space="preserve">لتنظر فيه </w:t>
      </w:r>
      <w:r w:rsidR="00555C49">
        <w:rPr>
          <w:rtl/>
          <w:lang w:val="fr-CH"/>
        </w:rPr>
        <w:t>لجنة المعايير</w:t>
      </w:r>
      <w:r w:rsidR="00555C49">
        <w:rPr>
          <w:rFonts w:hint="cs"/>
          <w:rtl/>
          <w:lang w:val="fr-CH"/>
        </w:rPr>
        <w:t xml:space="preserve"> وتوافق عليه.</w:t>
      </w:r>
    </w:p>
    <w:p w:rsidR="00555C49" w:rsidRDefault="00555C49" w:rsidP="00555C49">
      <w:pPr>
        <w:pStyle w:val="ONUMA"/>
      </w:pPr>
      <w:r w:rsidRPr="00555C49">
        <w:rPr>
          <w:rtl/>
        </w:rPr>
        <w:t xml:space="preserve">ويتألف مشروع الاستبيان المقترح من </w:t>
      </w:r>
      <w:r>
        <w:rPr>
          <w:rFonts w:hint="cs"/>
          <w:rtl/>
        </w:rPr>
        <w:t>جزئي</w:t>
      </w:r>
      <w:r>
        <w:rPr>
          <w:rtl/>
        </w:rPr>
        <w:t>ن</w:t>
      </w:r>
      <w:r>
        <w:rPr>
          <w:rFonts w:hint="cs"/>
          <w:rtl/>
        </w:rPr>
        <w:t xml:space="preserve"> يغطيان </w:t>
      </w:r>
      <w:r w:rsidRPr="00555C49">
        <w:rPr>
          <w:rtl/>
        </w:rPr>
        <w:t xml:space="preserve">ستة </w:t>
      </w:r>
      <w:r>
        <w:rPr>
          <w:rFonts w:hint="cs"/>
          <w:rtl/>
        </w:rPr>
        <w:t>مجالات</w:t>
      </w:r>
      <w:r w:rsidRPr="00555C49">
        <w:rPr>
          <w:rtl/>
        </w:rPr>
        <w:t>:</w:t>
      </w:r>
    </w:p>
    <w:p w:rsidR="00555C49" w:rsidRDefault="00555C49" w:rsidP="00555C49">
      <w:pPr>
        <w:pStyle w:val="BodyTextFirstIndent"/>
        <w:rPr>
          <w:u w:val="single"/>
          <w:rtl/>
        </w:rPr>
      </w:pPr>
      <w:r w:rsidRPr="00555C49">
        <w:rPr>
          <w:rFonts w:hint="cs"/>
          <w:u w:val="single"/>
          <w:rtl/>
        </w:rPr>
        <w:t xml:space="preserve">الجزء الأول. </w:t>
      </w:r>
      <w:r w:rsidRPr="00555C49">
        <w:rPr>
          <w:u w:val="single"/>
          <w:rtl/>
        </w:rPr>
        <w:t>توافر أنظمة البيانات عبر الإنترنت وتغطي</w:t>
      </w:r>
      <w:r w:rsidRPr="00555C49">
        <w:rPr>
          <w:rFonts w:hint="cs"/>
          <w:u w:val="single"/>
          <w:rtl/>
        </w:rPr>
        <w:t>تها</w:t>
      </w:r>
      <w:r w:rsidRPr="00555C49">
        <w:rPr>
          <w:u w:val="single"/>
          <w:rtl/>
        </w:rPr>
        <w:t xml:space="preserve"> </w:t>
      </w:r>
      <w:r w:rsidRPr="00555C49">
        <w:rPr>
          <w:rFonts w:hint="cs"/>
          <w:u w:val="single"/>
          <w:rtl/>
        </w:rPr>
        <w:t>ال</w:t>
      </w:r>
      <w:r w:rsidRPr="00555C49">
        <w:rPr>
          <w:u w:val="single"/>
          <w:rtl/>
        </w:rPr>
        <w:t>أساسية</w:t>
      </w:r>
    </w:p>
    <w:p w:rsidR="00555C49" w:rsidRDefault="00555C49" w:rsidP="00555C49">
      <w:pPr>
        <w:pStyle w:val="BodyTextFirstIndent"/>
        <w:rPr>
          <w:u w:val="single"/>
          <w:rtl/>
        </w:rPr>
      </w:pPr>
      <w:r>
        <w:rPr>
          <w:rFonts w:hint="cs"/>
          <w:u w:val="single"/>
          <w:rtl/>
        </w:rPr>
        <w:t xml:space="preserve">الجزء الثاني. معلومات مفصّلة عن </w:t>
      </w:r>
      <w:r w:rsidRPr="00555C49">
        <w:rPr>
          <w:u w:val="single"/>
          <w:rtl/>
        </w:rPr>
        <w:t>ميزات أنظمة البيانات عبر الإنترنت</w:t>
      </w:r>
    </w:p>
    <w:p w:rsidR="00555C49" w:rsidRDefault="00555C49" w:rsidP="00E86D73">
      <w:pPr>
        <w:pStyle w:val="BodyTextFirstIndent"/>
        <w:rPr>
          <w:rtl/>
          <w:lang w:val="fr-CH" w:bidi="ar-SY"/>
        </w:rPr>
      </w:pPr>
      <w:r w:rsidRPr="00555C49">
        <w:rPr>
          <w:rtl/>
        </w:rPr>
        <w:tab/>
      </w:r>
      <w:r w:rsidRPr="00555C49">
        <w:rPr>
          <w:rFonts w:hint="cs"/>
          <w:rtl/>
        </w:rPr>
        <w:t>(</w:t>
      </w:r>
      <w:r w:rsidR="00E86D73">
        <w:rPr>
          <w:rFonts w:hint="cs"/>
          <w:rtl/>
        </w:rPr>
        <w:t>أ</w:t>
      </w:r>
      <w:r w:rsidRPr="00555C49">
        <w:rPr>
          <w:rFonts w:hint="cs"/>
          <w:rtl/>
        </w:rPr>
        <w:t>)</w:t>
      </w:r>
      <w:r w:rsidRPr="00555C49">
        <w:rPr>
          <w:rtl/>
        </w:rPr>
        <w:tab/>
      </w:r>
      <w:r>
        <w:rPr>
          <w:rFonts w:hint="cs"/>
          <w:rtl/>
        </w:rPr>
        <w:t xml:space="preserve">شروط النفاذ إلى </w:t>
      </w:r>
      <w:r w:rsidR="00E86D73">
        <w:rPr>
          <w:rFonts w:hint="cs"/>
          <w:rtl/>
          <w:lang w:val="fr-CH" w:bidi="ar-SY"/>
        </w:rPr>
        <w:t>أنظمة معلومات البراءات؛</w:t>
      </w:r>
    </w:p>
    <w:p w:rsidR="00E86D73" w:rsidRDefault="00E86D73" w:rsidP="00E86D73">
      <w:pPr>
        <w:pStyle w:val="BodyTextFirstIndent"/>
        <w:rPr>
          <w:rtl/>
          <w:lang w:val="fr-CH" w:bidi="ar-SY"/>
        </w:rPr>
      </w:pPr>
      <w:r>
        <w:rPr>
          <w:rtl/>
          <w:lang w:val="fr-CH" w:bidi="ar-SY"/>
        </w:rPr>
        <w:tab/>
      </w:r>
      <w:r>
        <w:rPr>
          <w:rFonts w:hint="cs"/>
          <w:rtl/>
          <w:lang w:val="fr-CH" w:bidi="ar-SY"/>
        </w:rPr>
        <w:t>(ب)</w:t>
      </w:r>
      <w:r>
        <w:rPr>
          <w:rtl/>
          <w:lang w:val="fr-CH" w:bidi="ar-SY"/>
        </w:rPr>
        <w:tab/>
      </w:r>
      <w:r>
        <w:rPr>
          <w:rFonts w:hint="cs"/>
          <w:rtl/>
          <w:lang w:val="fr-CH" w:bidi="ar-SY"/>
        </w:rPr>
        <w:t>المحتوى الذي تتيحه الأنظمة؛</w:t>
      </w:r>
    </w:p>
    <w:p w:rsidR="00E86D73" w:rsidRDefault="00E86D73" w:rsidP="00555C49">
      <w:pPr>
        <w:pStyle w:val="BodyTextFirstIndent"/>
        <w:rPr>
          <w:rtl/>
          <w:lang w:val="fr-CH" w:bidi="ar-SY"/>
        </w:rPr>
      </w:pPr>
      <w:r>
        <w:rPr>
          <w:rtl/>
          <w:lang w:val="fr-CH" w:bidi="ar-SY"/>
        </w:rPr>
        <w:tab/>
      </w:r>
      <w:r>
        <w:rPr>
          <w:rFonts w:hint="cs"/>
          <w:rtl/>
          <w:lang w:val="fr-CH" w:bidi="ar-SY"/>
        </w:rPr>
        <w:t>(ج)</w:t>
      </w:r>
      <w:r>
        <w:rPr>
          <w:rtl/>
          <w:lang w:val="fr-CH" w:bidi="ar-SY"/>
        </w:rPr>
        <w:tab/>
      </w:r>
      <w:r>
        <w:rPr>
          <w:rFonts w:hint="cs"/>
          <w:rtl/>
          <w:lang w:val="fr-CH" w:bidi="ar-SY"/>
        </w:rPr>
        <w:t>وظائف الأنظمة؛</w:t>
      </w:r>
    </w:p>
    <w:p w:rsidR="00E86D73" w:rsidRDefault="00E86D73" w:rsidP="00D23ADD">
      <w:pPr>
        <w:pStyle w:val="BodyTextFirstIndent"/>
        <w:rPr>
          <w:rtl/>
          <w:lang w:val="fr-CH" w:bidi="ar-SY"/>
        </w:rPr>
      </w:pPr>
      <w:r>
        <w:rPr>
          <w:rtl/>
          <w:lang w:val="fr-CH" w:bidi="ar-SY"/>
        </w:rPr>
        <w:tab/>
      </w:r>
      <w:r>
        <w:rPr>
          <w:rFonts w:hint="cs"/>
          <w:rtl/>
          <w:lang w:val="fr-CH" w:bidi="ar-SY"/>
        </w:rPr>
        <w:t>(د)</w:t>
      </w:r>
      <w:r>
        <w:rPr>
          <w:rtl/>
          <w:lang w:val="fr-CH" w:bidi="ar-SY"/>
        </w:rPr>
        <w:tab/>
      </w:r>
      <w:r w:rsidR="00D23ADD">
        <w:rPr>
          <w:rFonts w:hint="cs"/>
          <w:rtl/>
          <w:lang w:val="fr-CH" w:bidi="ar-SY"/>
        </w:rPr>
        <w:t>المعلومات التي يود مكتب للملكية الصناعية النفاذ إليها في أنظمة المكاتب الأخرى؛</w:t>
      </w:r>
    </w:p>
    <w:p w:rsidR="00D23ADD" w:rsidRPr="00D23ADD" w:rsidRDefault="00D23ADD" w:rsidP="00D23ADD">
      <w:pPr>
        <w:pStyle w:val="BodyTextFirstIndent"/>
        <w:rPr>
          <w:rtl/>
          <w:lang w:bidi="ar-SY"/>
        </w:rPr>
      </w:pPr>
      <w:r>
        <w:rPr>
          <w:rtl/>
          <w:lang w:val="fr-CH" w:bidi="ar-SY"/>
        </w:rPr>
        <w:lastRenderedPageBreak/>
        <w:tab/>
      </w:r>
      <w:r>
        <w:rPr>
          <w:rFonts w:hint="cs"/>
          <w:rtl/>
          <w:lang w:val="fr-CH" w:bidi="ar-SY"/>
        </w:rPr>
        <w:t>(ه)</w:t>
      </w:r>
      <w:r>
        <w:rPr>
          <w:rtl/>
          <w:lang w:val="fr-CH" w:bidi="ar-SY"/>
        </w:rPr>
        <w:tab/>
      </w:r>
      <w:r>
        <w:rPr>
          <w:rFonts w:hint="cs"/>
          <w:rtl/>
          <w:lang w:val="fr-CH" w:bidi="ar-SY"/>
        </w:rPr>
        <w:t>ال</w:t>
      </w:r>
      <w:r>
        <w:rPr>
          <w:rtl/>
          <w:lang w:val="fr-CH" w:bidi="ar-SY"/>
        </w:rPr>
        <w:t>خط</w:t>
      </w:r>
      <w:r>
        <w:rPr>
          <w:rFonts w:hint="cs"/>
          <w:rtl/>
          <w:lang w:val="fr-CH" w:bidi="ar-SY"/>
        </w:rPr>
        <w:t>ة</w:t>
      </w:r>
      <w:r w:rsidRPr="00D23ADD">
        <w:rPr>
          <w:rtl/>
          <w:lang w:val="fr-CH" w:bidi="ar-SY"/>
        </w:rPr>
        <w:t xml:space="preserve"> المستقبلية </w:t>
      </w:r>
      <w:r>
        <w:rPr>
          <w:rFonts w:hint="cs"/>
          <w:rtl/>
          <w:lang w:val="fr-CH" w:bidi="ar-SY"/>
        </w:rPr>
        <w:t xml:space="preserve">لمكتب </w:t>
      </w:r>
      <w:r w:rsidRPr="00D23ADD">
        <w:rPr>
          <w:rtl/>
          <w:lang w:val="fr-CH" w:bidi="ar-SY"/>
        </w:rPr>
        <w:t xml:space="preserve">الملكية </w:t>
      </w:r>
      <w:r>
        <w:rPr>
          <w:rFonts w:hint="cs"/>
          <w:rtl/>
          <w:lang w:val="fr-CH" w:bidi="ar-SY"/>
        </w:rPr>
        <w:t>الصناعية</w:t>
      </w:r>
      <w:r w:rsidRPr="00D23ADD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فيما يتعلق بأنظمة</w:t>
      </w:r>
      <w:r w:rsidR="00D51423">
        <w:rPr>
          <w:rFonts w:hint="cs"/>
          <w:rtl/>
          <w:lang w:val="fr-CH" w:bidi="ar-SY"/>
        </w:rPr>
        <w:t xml:space="preserve"> ا</w:t>
      </w:r>
      <w:r>
        <w:rPr>
          <w:rFonts w:hint="cs"/>
          <w:rtl/>
          <w:lang w:val="fr-CH" w:bidi="ar-SY"/>
        </w:rPr>
        <w:t xml:space="preserve">لنفاذ إلى </w:t>
      </w:r>
      <w:r w:rsidRPr="00D23ADD">
        <w:rPr>
          <w:rtl/>
          <w:lang w:val="fr-CH" w:bidi="ar-SY"/>
        </w:rPr>
        <w:t xml:space="preserve">معلومات البراءات </w:t>
      </w:r>
      <w:r>
        <w:rPr>
          <w:rtl/>
          <w:lang w:val="fr-CH" w:bidi="ar-SY"/>
        </w:rPr>
        <w:t xml:space="preserve">والمجالات </w:t>
      </w:r>
      <w:r>
        <w:rPr>
          <w:rFonts w:hint="cs"/>
          <w:rtl/>
          <w:lang w:val="fr-CH" w:bidi="ar-SY"/>
        </w:rPr>
        <w:t xml:space="preserve">التي من المفيد أن تشملها </w:t>
      </w:r>
      <w:r w:rsidRPr="00D23ADD">
        <w:rPr>
          <w:rtl/>
          <w:lang w:val="fr-CH" w:bidi="ar-SY"/>
        </w:rPr>
        <w:t>توصيات الويبو.</w:t>
      </w:r>
    </w:p>
    <w:p w:rsidR="00C50A61" w:rsidRDefault="00D23ADD" w:rsidP="00D23ADD">
      <w:pPr>
        <w:pStyle w:val="Heading3"/>
        <w:rPr>
          <w:rtl/>
          <w:lang w:bidi="ar-SY"/>
        </w:rPr>
      </w:pPr>
      <w:bookmarkStart w:id="13" w:name="ExtraPara"/>
      <w:bookmarkEnd w:id="13"/>
      <w:r>
        <w:rPr>
          <w:rFonts w:hint="cs"/>
          <w:rtl/>
          <w:lang w:bidi="ar-SY"/>
        </w:rPr>
        <w:t>خطة العمل</w:t>
      </w:r>
    </w:p>
    <w:p w:rsidR="00D23ADD" w:rsidRDefault="00D23ADD" w:rsidP="00D23ADD">
      <w:pPr>
        <w:pStyle w:val="ONUMA"/>
        <w:rPr>
          <w:lang w:bidi="ar-SY"/>
        </w:rPr>
      </w:pPr>
      <w:r w:rsidRPr="00D23ADD">
        <w:rPr>
          <w:rtl/>
          <w:lang w:bidi="ar-SY"/>
        </w:rPr>
        <w:t>تقترح فرقة العمل خطة العمل التالية لإنجاز المهمة رقم 52:</w:t>
      </w:r>
    </w:p>
    <w:tbl>
      <w:tblPr>
        <w:tblStyle w:val="TableGrid"/>
        <w:bidiVisual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27"/>
        <w:gridCol w:w="3798"/>
        <w:gridCol w:w="2420"/>
      </w:tblGrid>
      <w:tr w:rsidR="00D23ADD" w:rsidTr="00D23ADD">
        <w:trPr>
          <w:cantSplit/>
        </w:trPr>
        <w:tc>
          <w:tcPr>
            <w:tcW w:w="3127" w:type="dxa"/>
            <w:shd w:val="clear" w:color="auto" w:fill="D9D9D9" w:themeFill="background1" w:themeFillShade="D9"/>
          </w:tcPr>
          <w:p w:rsidR="00D23ADD" w:rsidRPr="00D23ADD" w:rsidRDefault="00D23ADD" w:rsidP="00932DD4">
            <w:pPr>
              <w:keepNext/>
              <w:keepLines/>
              <w:jc w:val="center"/>
              <w:rPr>
                <w:bCs/>
              </w:rPr>
            </w:pPr>
            <w:r w:rsidRPr="00D23ADD">
              <w:rPr>
                <w:rFonts w:hint="cs"/>
                <w:bCs/>
                <w:rtl/>
              </w:rPr>
              <w:t>الإجراء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:rsidR="00D23ADD" w:rsidRPr="00D23ADD" w:rsidRDefault="00D23ADD" w:rsidP="00932DD4">
            <w:pPr>
              <w:keepNext/>
              <w:keepLines/>
              <w:jc w:val="center"/>
              <w:rPr>
                <w:bCs/>
              </w:rPr>
            </w:pPr>
            <w:r w:rsidRPr="00D23ADD">
              <w:rPr>
                <w:rFonts w:hint="cs"/>
                <w:bCs/>
                <w:rtl/>
              </w:rPr>
              <w:t>النتيجة المتوقعة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:rsidR="00D23ADD" w:rsidRPr="00D23ADD" w:rsidRDefault="00D23ADD" w:rsidP="00932DD4">
            <w:pPr>
              <w:keepNext/>
              <w:keepLines/>
              <w:jc w:val="center"/>
              <w:rPr>
                <w:bCs/>
              </w:rPr>
            </w:pPr>
            <w:r w:rsidRPr="00D23ADD">
              <w:rPr>
                <w:rFonts w:hint="cs"/>
                <w:bCs/>
                <w:rtl/>
              </w:rPr>
              <w:t>الموعد المحدد</w:t>
            </w:r>
          </w:p>
        </w:tc>
      </w:tr>
      <w:tr w:rsidR="00D23ADD" w:rsidTr="00D23ADD">
        <w:trPr>
          <w:cantSplit/>
        </w:trPr>
        <w:tc>
          <w:tcPr>
            <w:tcW w:w="3127" w:type="dxa"/>
          </w:tcPr>
          <w:p w:rsidR="00D23ADD" w:rsidRPr="00842C87" w:rsidRDefault="00D23ADD" w:rsidP="007E56B1">
            <w:pPr>
              <w:keepNext/>
              <w:keepLines/>
            </w:pPr>
            <w:r w:rsidRPr="00D23ADD">
              <w:rPr>
                <w:rtl/>
              </w:rPr>
              <w:t xml:space="preserve">عرض تقرير مرحلي، بما في ذلك مشروع استبيان </w:t>
            </w:r>
            <w:r w:rsidR="007E56B1">
              <w:rPr>
                <w:rtl/>
              </w:rPr>
              <w:t xml:space="preserve">نهائي بخصوص أنظمة النفاذ إلى </w:t>
            </w:r>
            <w:r w:rsidR="007E56B1">
              <w:rPr>
                <w:rFonts w:hint="cs"/>
                <w:rtl/>
              </w:rPr>
              <w:t>م</w:t>
            </w:r>
            <w:r w:rsidRPr="00D23ADD">
              <w:rPr>
                <w:rtl/>
              </w:rPr>
              <w:t xml:space="preserve">علومات </w:t>
            </w:r>
            <w:r w:rsidR="007E56B1" w:rsidRPr="00D23ADD">
              <w:rPr>
                <w:rtl/>
              </w:rPr>
              <w:t xml:space="preserve">البراءات </w:t>
            </w:r>
            <w:r w:rsidRPr="00D23ADD">
              <w:rPr>
                <w:rtl/>
              </w:rPr>
              <w:t>المتاحة للجمهور</w:t>
            </w:r>
            <w:r w:rsidR="007E56B1">
              <w:rPr>
                <w:rFonts w:hint="cs"/>
                <w:rtl/>
              </w:rPr>
              <w:t>،</w:t>
            </w:r>
            <w:r w:rsidRPr="00D23ADD">
              <w:rPr>
                <w:rtl/>
              </w:rPr>
              <w:t xml:space="preserve"> في الدورة </w:t>
            </w:r>
            <w:r>
              <w:rPr>
                <w:rFonts w:hint="cs"/>
                <w:rtl/>
              </w:rPr>
              <w:t>السابعة</w:t>
            </w:r>
            <w:r w:rsidRPr="00D23ADD">
              <w:rPr>
                <w:rtl/>
              </w:rPr>
              <w:t xml:space="preserve"> للجنة المعايير</w:t>
            </w:r>
            <w:r w:rsidR="007E56B1">
              <w:rPr>
                <w:rFonts w:hint="cs"/>
                <w:rtl/>
              </w:rPr>
              <w:t>.</w:t>
            </w:r>
          </w:p>
        </w:tc>
        <w:tc>
          <w:tcPr>
            <w:tcW w:w="3798" w:type="dxa"/>
          </w:tcPr>
          <w:p w:rsidR="00D23ADD" w:rsidRPr="00842C87" w:rsidRDefault="007E56B1" w:rsidP="007E56B1">
            <w:pPr>
              <w:keepNext/>
              <w:keepLines/>
            </w:pPr>
            <w:r>
              <w:rPr>
                <w:rtl/>
              </w:rPr>
              <w:t>من المتوقع أن تستعرض لجنة المعايير مشروع الاستبيان وتوافق عليه في هذه الدورة</w:t>
            </w:r>
            <w:r>
              <w:rPr>
                <w:rFonts w:hint="cs"/>
                <w:rtl/>
              </w:rPr>
              <w:t>.</w:t>
            </w:r>
            <w:r w:rsidRPr="00842C87">
              <w:rPr>
                <w:rtl/>
              </w:rPr>
              <w:t xml:space="preserve"> </w:t>
            </w:r>
          </w:p>
        </w:tc>
        <w:tc>
          <w:tcPr>
            <w:tcW w:w="2420" w:type="dxa"/>
          </w:tcPr>
          <w:p w:rsidR="00D23ADD" w:rsidRPr="00842C87" w:rsidRDefault="007E56B1" w:rsidP="00932DD4">
            <w:pPr>
              <w:keepNext/>
              <w:keepLines/>
            </w:pPr>
            <w:r>
              <w:rPr>
                <w:rFonts w:hint="cs"/>
                <w:rtl/>
              </w:rPr>
              <w:t>يوليو 2019</w:t>
            </w:r>
          </w:p>
        </w:tc>
      </w:tr>
      <w:tr w:rsidR="00D23ADD" w:rsidTr="00D23ADD">
        <w:trPr>
          <w:cantSplit/>
        </w:trPr>
        <w:tc>
          <w:tcPr>
            <w:tcW w:w="3127" w:type="dxa"/>
          </w:tcPr>
          <w:p w:rsidR="00D23ADD" w:rsidRPr="00842C87" w:rsidRDefault="007E56B1" w:rsidP="007E56B1">
            <w:pPr>
              <w:keepNext/>
              <w:keepLines/>
            </w:pPr>
            <w:r w:rsidRPr="007E56B1">
              <w:rPr>
                <w:rtl/>
              </w:rPr>
              <w:t xml:space="preserve">إجراء الدراسة الاستقصائية باستخدام الاستبيان الموافق عليه </w:t>
            </w:r>
            <w:r w:rsidRPr="007E56B1">
              <w:rPr>
                <w:i/>
                <w:iCs/>
                <w:rtl/>
              </w:rPr>
              <w:t>[ملاحظة: ستبحث الأمانة</w:t>
            </w:r>
            <w:r>
              <w:rPr>
                <w:rFonts w:hint="cs"/>
                <w:i/>
                <w:iCs/>
                <w:rtl/>
              </w:rPr>
              <w:t xml:space="preserve"> في أفضل</w:t>
            </w:r>
            <w:r w:rsidRPr="007E56B1">
              <w:rPr>
                <w:i/>
                <w:iCs/>
                <w:rtl/>
              </w:rPr>
              <w:t xml:space="preserve"> أداة استقصاء]</w:t>
            </w:r>
            <w:r w:rsidRPr="007E56B1">
              <w:rPr>
                <w:rFonts w:hint="cs"/>
                <w:rtl/>
              </w:rPr>
              <w:t>.</w:t>
            </w:r>
          </w:p>
        </w:tc>
        <w:tc>
          <w:tcPr>
            <w:tcW w:w="3798" w:type="dxa"/>
          </w:tcPr>
          <w:p w:rsidR="00D23ADD" w:rsidRPr="00842C87" w:rsidRDefault="007E56B1" w:rsidP="007E56B1">
            <w:pPr>
              <w:keepNext/>
              <w:keepLines/>
            </w:pPr>
            <w:r w:rsidRPr="007E56B1">
              <w:rPr>
                <w:rtl/>
              </w:rPr>
              <w:t xml:space="preserve">ستصدر الأمانة تعميماً تدعو فيه مكاتب الملكية </w:t>
            </w:r>
            <w:r>
              <w:rPr>
                <w:rFonts w:hint="cs"/>
                <w:rtl/>
              </w:rPr>
              <w:t>الصناعية</w:t>
            </w:r>
            <w:r w:rsidRPr="007E56B1">
              <w:rPr>
                <w:rtl/>
              </w:rPr>
              <w:t xml:space="preserve"> إلى المشاركة في الدراسة الاستقصائية</w:t>
            </w:r>
          </w:p>
        </w:tc>
        <w:tc>
          <w:tcPr>
            <w:tcW w:w="2420" w:type="dxa"/>
          </w:tcPr>
          <w:p w:rsidR="00D23ADD" w:rsidRPr="00842C87" w:rsidRDefault="007E56B1" w:rsidP="00932DD4">
            <w:pPr>
              <w:keepNext/>
              <w:keepLines/>
            </w:pPr>
            <w:r>
              <w:rPr>
                <w:rFonts w:hint="cs"/>
                <w:rtl/>
              </w:rPr>
              <w:t>أكتوبر 2019</w:t>
            </w:r>
          </w:p>
        </w:tc>
      </w:tr>
      <w:tr w:rsidR="00D23ADD" w:rsidTr="00D23ADD">
        <w:trPr>
          <w:cantSplit/>
        </w:trPr>
        <w:tc>
          <w:tcPr>
            <w:tcW w:w="3127" w:type="dxa"/>
          </w:tcPr>
          <w:p w:rsidR="00D23ADD" w:rsidRPr="007E56B1" w:rsidRDefault="007E56B1" w:rsidP="007E56B1">
            <w:pPr>
              <w:rPr>
                <w:highlight w:val="yellow"/>
              </w:rPr>
            </w:pPr>
            <w:r w:rsidRPr="007E56B1">
              <w:rPr>
                <w:rtl/>
              </w:rPr>
              <w:t>جمع الردود على الدراسة الاستقصائية وتحليلها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3798" w:type="dxa"/>
          </w:tcPr>
          <w:p w:rsidR="00D23ADD" w:rsidRPr="00842C87" w:rsidRDefault="007E56B1" w:rsidP="007E56B1">
            <w:pPr>
              <w:keepNext/>
              <w:keepLines/>
            </w:pPr>
            <w:r w:rsidRPr="007E56B1">
              <w:rPr>
                <w:rtl/>
              </w:rPr>
              <w:t>ست</w:t>
            </w:r>
            <w:r>
              <w:rPr>
                <w:rFonts w:hint="cs"/>
                <w:rtl/>
              </w:rPr>
              <w:t>َ</w:t>
            </w:r>
            <w:r w:rsidRPr="007E56B1">
              <w:rPr>
                <w:rtl/>
              </w:rPr>
              <w:t>ر</w:t>
            </w:r>
            <w:r>
              <w:rPr>
                <w:rFonts w:hint="cs"/>
                <w:rtl/>
              </w:rPr>
              <w:t>ُ</w:t>
            </w:r>
            <w:r w:rsidRPr="007E56B1">
              <w:rPr>
                <w:rtl/>
              </w:rPr>
              <w:t>د</w:t>
            </w:r>
            <w:r>
              <w:rPr>
                <w:rFonts w:hint="cs"/>
                <w:rtl/>
              </w:rPr>
              <w:t>ّ</w:t>
            </w:r>
            <w:r w:rsidRPr="007E56B1">
              <w:rPr>
                <w:rtl/>
              </w:rPr>
              <w:t xml:space="preserve"> مكاتب الملكية </w:t>
            </w:r>
            <w:r>
              <w:rPr>
                <w:rFonts w:hint="cs"/>
                <w:rtl/>
              </w:rPr>
              <w:t>الصناعية</w:t>
            </w:r>
            <w:r w:rsidRPr="007E56B1">
              <w:rPr>
                <w:rtl/>
              </w:rPr>
              <w:t xml:space="preserve"> على الدراسة الاستقصائية؛ وستقوم فرقة العمل بتحليل نتائج الدراسة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420" w:type="dxa"/>
          </w:tcPr>
          <w:p w:rsidR="00D23ADD" w:rsidRPr="00842C87" w:rsidRDefault="007E56B1" w:rsidP="00932DD4">
            <w:pPr>
              <w:keepNext/>
              <w:keepLines/>
            </w:pPr>
            <w:r>
              <w:rPr>
                <w:rFonts w:hint="cs"/>
                <w:rtl/>
              </w:rPr>
              <w:t>فبراير 2020</w:t>
            </w:r>
          </w:p>
        </w:tc>
      </w:tr>
      <w:tr w:rsidR="00D23ADD" w:rsidTr="00D23ADD">
        <w:trPr>
          <w:cantSplit/>
        </w:trPr>
        <w:tc>
          <w:tcPr>
            <w:tcW w:w="3127" w:type="dxa"/>
          </w:tcPr>
          <w:p w:rsidR="00D23ADD" w:rsidRPr="007E56B1" w:rsidRDefault="007E56B1" w:rsidP="007E56B1">
            <w:pPr>
              <w:rPr>
                <w:highlight w:val="yellow"/>
              </w:rPr>
            </w:pPr>
            <w:r w:rsidRPr="007E56B1">
              <w:rPr>
                <w:rtl/>
              </w:rPr>
              <w:t>إعداد تقرير عن نتائج الدراسة الاستقصائية</w:t>
            </w:r>
          </w:p>
        </w:tc>
        <w:tc>
          <w:tcPr>
            <w:tcW w:w="3798" w:type="dxa"/>
          </w:tcPr>
          <w:p w:rsidR="00D23ADD" w:rsidRPr="00842C87" w:rsidRDefault="007E56B1" w:rsidP="007E56B1">
            <w:pPr>
              <w:keepNext/>
              <w:keepLines/>
            </w:pPr>
            <w:r w:rsidRPr="007E56B1">
              <w:rPr>
                <w:rtl/>
              </w:rPr>
              <w:t xml:space="preserve">ستقوم فرقة العمل بإعداد ملخص لنتائج الدراسة واقتراح الإجراءات الواجب اتخاذها لكي تعرض على نظر لجنة المعايير في دورتها </w:t>
            </w:r>
            <w:r>
              <w:rPr>
                <w:rFonts w:hint="cs"/>
                <w:rtl/>
              </w:rPr>
              <w:t>الثامنة</w:t>
            </w:r>
            <w:r w:rsidRPr="007E56B1">
              <w:rPr>
                <w:rtl/>
              </w:rPr>
              <w:t>.</w:t>
            </w:r>
          </w:p>
        </w:tc>
        <w:tc>
          <w:tcPr>
            <w:tcW w:w="2420" w:type="dxa"/>
          </w:tcPr>
          <w:p w:rsidR="00D23ADD" w:rsidRPr="00842C87" w:rsidRDefault="007E56B1" w:rsidP="00932DD4">
            <w:pPr>
              <w:keepNext/>
              <w:keepLines/>
            </w:pPr>
            <w:r>
              <w:rPr>
                <w:rFonts w:hint="cs"/>
                <w:rtl/>
              </w:rPr>
              <w:t>الدورة الثامنة للجنة المعايير</w:t>
            </w:r>
          </w:p>
        </w:tc>
      </w:tr>
    </w:tbl>
    <w:p w:rsidR="007E56B1" w:rsidRDefault="007E56B1" w:rsidP="007E56B1">
      <w:pPr>
        <w:pStyle w:val="Decision"/>
      </w:pPr>
      <w:r>
        <w:rPr>
          <w:rFonts w:hint="cs"/>
          <w:rtl/>
        </w:rPr>
        <w:t>إن لجنة المعايير مدعوة إلى ما يلي:</w:t>
      </w:r>
    </w:p>
    <w:p w:rsidR="007E56B1" w:rsidRDefault="007E56B1" w:rsidP="001E6B02">
      <w:pPr>
        <w:pStyle w:val="Decision"/>
        <w:numPr>
          <w:ilvl w:val="0"/>
          <w:numId w:val="0"/>
        </w:numPr>
        <w:ind w:left="5485" w:firstLine="720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>الإحاطة علماً بمضمون هذه الوثيقة؛</w:t>
      </w:r>
    </w:p>
    <w:p w:rsidR="007E56B1" w:rsidRPr="00166751" w:rsidRDefault="007E56B1" w:rsidP="001E6B02">
      <w:pPr>
        <w:pStyle w:val="Decision"/>
        <w:numPr>
          <w:ilvl w:val="0"/>
          <w:numId w:val="0"/>
        </w:numPr>
        <w:ind w:left="5485" w:firstLine="720"/>
        <w:rPr>
          <w:rtl/>
          <w:lang w:val="fr-CH" w:bidi="ar-SY"/>
        </w:rPr>
      </w:pPr>
      <w:r>
        <w:rPr>
          <w:rFonts w:hint="cs"/>
          <w:rtl/>
        </w:rPr>
        <w:t>(ب)</w:t>
      </w:r>
      <w:r>
        <w:rPr>
          <w:rtl/>
        </w:rPr>
        <w:tab/>
      </w:r>
      <w:r w:rsidRPr="007E56B1">
        <w:rPr>
          <w:rtl/>
        </w:rPr>
        <w:t xml:space="preserve">والنظر والموافقة على مشروع الاستبيان، على النحو الوارد في </w:t>
      </w:r>
      <w:r>
        <w:rPr>
          <w:rFonts w:hint="cs"/>
          <w:rtl/>
        </w:rPr>
        <w:t>ال</w:t>
      </w:r>
      <w:r w:rsidRPr="007E56B1">
        <w:rPr>
          <w:rtl/>
        </w:rPr>
        <w:t xml:space="preserve">مرفق </w:t>
      </w:r>
      <w:r>
        <w:rPr>
          <w:rFonts w:hint="cs"/>
          <w:rtl/>
        </w:rPr>
        <w:t>ب</w:t>
      </w:r>
      <w:r w:rsidRPr="007E56B1">
        <w:rPr>
          <w:rtl/>
        </w:rPr>
        <w:t>هذه الوثيقة؛</w:t>
      </w:r>
    </w:p>
    <w:p w:rsidR="007E56B1" w:rsidRPr="00166751" w:rsidRDefault="007E56B1" w:rsidP="001E6B02">
      <w:pPr>
        <w:pStyle w:val="Decision"/>
        <w:numPr>
          <w:ilvl w:val="0"/>
          <w:numId w:val="0"/>
        </w:numPr>
        <w:ind w:left="5485" w:firstLine="720"/>
        <w:rPr>
          <w:rtl/>
          <w:lang w:val="fr-CH" w:bidi="ar-SY"/>
        </w:rPr>
      </w:pPr>
      <w:r>
        <w:rPr>
          <w:rFonts w:hint="cs"/>
          <w:rtl/>
        </w:rPr>
        <w:t>(ج)</w:t>
      </w:r>
      <w:r>
        <w:rPr>
          <w:rtl/>
        </w:rPr>
        <w:tab/>
      </w:r>
      <w:r w:rsidRPr="007E56B1">
        <w:rPr>
          <w:rtl/>
        </w:rPr>
        <w:t>الالتماس من الأمانة بأن تصدر تعميما تدعو فيه مكاتب الملكية الفكرية للمشاركة في الدراسة الاستقصائية؛ على النحو المشار إليه في الفقرة 7 أعلاه.</w:t>
      </w:r>
    </w:p>
    <w:p w:rsidR="007E56B1" w:rsidRPr="007E56B1" w:rsidRDefault="007E56B1" w:rsidP="007E56B1">
      <w:pPr>
        <w:pStyle w:val="Endofdocument-Annex"/>
        <w:rPr>
          <w:rtl/>
        </w:rPr>
      </w:pPr>
      <w:r w:rsidRPr="007E56B1">
        <w:rPr>
          <w:rtl/>
        </w:rPr>
        <w:t>[</w:t>
      </w:r>
      <w:r w:rsidRPr="007E56B1">
        <w:rPr>
          <w:rFonts w:hint="cs"/>
          <w:rtl/>
        </w:rPr>
        <w:t>يلي ذلك المرفق</w:t>
      </w:r>
      <w:r w:rsidRPr="007E56B1">
        <w:rPr>
          <w:rtl/>
        </w:rPr>
        <w:t>]</w:t>
      </w:r>
    </w:p>
    <w:sectPr w:rsidR="007E56B1" w:rsidRPr="007E56B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71" w:rsidRDefault="00766E71">
      <w:r>
        <w:separator/>
      </w:r>
    </w:p>
  </w:endnote>
  <w:endnote w:type="continuationSeparator" w:id="0">
    <w:p w:rsidR="00766E71" w:rsidRDefault="0076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71" w:rsidRDefault="00766E7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66E71" w:rsidRDefault="00766E7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E2" w:rsidRDefault="00E756E2" w:rsidP="0023693F">
    <w:pPr>
      <w:bidi w:val="0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CWS/7/25</w:t>
    </w:r>
  </w:p>
  <w:p w:rsidR="004C495B" w:rsidRPr="00C50A61" w:rsidRDefault="004C495B" w:rsidP="00E756E2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B57F5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B7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8EF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BED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B02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1A4B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B7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5C49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5A5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546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6E71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56B1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074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3ADD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1423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7F5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6E2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6D73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DE667D9-1B84-4089-8EBE-8F666C6D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B989-6827-4D18-9D29-D0063524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CWS/7/25 (in Arabic)</vt:lpstr>
    </vt:vector>
  </TitlesOfParts>
  <Company>World Intellectual Property Organization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CWS/7/25 (in Arabic)</dc:title>
  <dc:subject>مقترح من فرقة العمل المعنية بنفاذ الجمهور إلى معلومات البراءات حول استبيان بشأن توفير النفاذ إلى معلومات البراءات المتاحة للجمهور</dc:subject>
  <dc:creator>WIPO</dc:creator>
  <cp:keywords>CWS, WIPO</cp:keywords>
  <cp:lastModifiedBy>DRAKE Sophie</cp:lastModifiedBy>
  <cp:revision>8</cp:revision>
  <cp:lastPrinted>2019-05-23T08:54:00Z</cp:lastPrinted>
  <dcterms:created xsi:type="dcterms:W3CDTF">2019-05-23T07:11:00Z</dcterms:created>
  <dcterms:modified xsi:type="dcterms:W3CDTF">2019-05-28T15:05:00Z</dcterms:modified>
</cp:coreProperties>
</file>