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259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415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6259C4" w:rsidRPr="001832A6" w:rsidTr="0043000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9C4" w:rsidRPr="0090731E" w:rsidRDefault="006259C4" w:rsidP="0099645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IPC/CE/52</w:t>
            </w:r>
            <w:r w:rsidR="0099645C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</w:p>
        </w:tc>
      </w:tr>
      <w:tr w:rsidR="006259C4" w:rsidRPr="001832A6" w:rsidTr="004300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9C4" w:rsidRPr="0090731E" w:rsidRDefault="006259C4" w:rsidP="0099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99645C">
              <w:rPr>
                <w:rFonts w:ascii="Arial Black" w:hAnsi="Arial Black"/>
                <w:caps/>
                <w:sz w:val="15"/>
              </w:rPr>
              <w:t>: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6259C4" w:rsidRPr="001832A6" w:rsidTr="004300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9C4" w:rsidRPr="0090731E" w:rsidRDefault="006259C4" w:rsidP="0099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99645C">
              <w:rPr>
                <w:rFonts w:ascii="Arial Black" w:hAnsi="Arial Black"/>
                <w:caps/>
                <w:sz w:val="15"/>
              </w:rPr>
              <w:t xml:space="preserve">:  december 16, 2019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Union for the International Patent Classification</w:t>
      </w:r>
    </w:p>
    <w:p w:rsidR="006259C4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(IPC Union)</w:t>
      </w:r>
    </w:p>
    <w:p w:rsidR="006259C4" w:rsidRPr="003845C1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6259C4" w:rsidRDefault="006259C4" w:rsidP="006259C4"/>
    <w:p w:rsidR="006259C4" w:rsidRDefault="006259C4" w:rsidP="006259C4"/>
    <w:p w:rsidR="006259C4" w:rsidRPr="003845C1" w:rsidRDefault="006259C4" w:rsidP="0062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Fifty-Second </w:t>
      </w:r>
      <w:r w:rsidRPr="003845C1">
        <w:rPr>
          <w:b/>
          <w:sz w:val="24"/>
          <w:szCs w:val="24"/>
        </w:rPr>
        <w:t>Session</w:t>
      </w:r>
    </w:p>
    <w:p w:rsidR="006259C4" w:rsidRPr="003845C1" w:rsidRDefault="006259C4" w:rsidP="0062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February 19 and 20, 2020</w:t>
      </w:r>
    </w:p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8B2CC1" w:rsidRDefault="008B2CC1" w:rsidP="008B2CC1"/>
    <w:p w:rsidR="008B2CC1" w:rsidRPr="008B2CC1" w:rsidRDefault="008B2CC1" w:rsidP="008B2CC1"/>
    <w:p w:rsidR="001022B2" w:rsidRPr="00A83D44" w:rsidRDefault="001022B2" w:rsidP="001022B2">
      <w:pPr>
        <w:rPr>
          <w:caps/>
          <w:sz w:val="24"/>
        </w:rPr>
      </w:pPr>
      <w:r w:rsidRPr="00A83D44">
        <w:rPr>
          <w:caps/>
          <w:sz w:val="24"/>
        </w:rPr>
        <w:t>DRAFT AGENDA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i/>
          <w:caps/>
          <w:sz w:val="24"/>
        </w:rPr>
      </w:pPr>
      <w:proofErr w:type="gramStart"/>
      <w:r w:rsidRPr="00A83D44">
        <w:rPr>
          <w:i/>
          <w:sz w:val="24"/>
        </w:rPr>
        <w:t>prepared</w:t>
      </w:r>
      <w:proofErr w:type="gramEnd"/>
      <w:r w:rsidRPr="00A83D44">
        <w:rPr>
          <w:i/>
          <w:sz w:val="24"/>
        </w:rPr>
        <w:t xml:space="preserve">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1022B2" w:rsidP="001022B2">
      <w:pPr>
        <w:pStyle w:val="ONUME"/>
      </w:pPr>
      <w:r w:rsidRPr="00E323F8">
        <w:t>Opening of the session</w:t>
      </w:r>
    </w:p>
    <w:p w:rsidR="001022B2" w:rsidRPr="00E323F8" w:rsidRDefault="001022B2" w:rsidP="001022B2">
      <w:pPr>
        <w:pStyle w:val="ONUME"/>
      </w:pPr>
      <w:r w:rsidRPr="00E323F8">
        <w:t xml:space="preserve">Election of a Chair and two Vice-Chairs </w:t>
      </w:r>
    </w:p>
    <w:p w:rsidR="001022B2" w:rsidRPr="00851DA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  <w:r>
        <w:br/>
      </w:r>
      <w:r w:rsidRPr="00851DA4">
        <w:t>See present document.</w:t>
      </w:r>
    </w:p>
    <w:p w:rsidR="00397447" w:rsidRPr="00851DA4" w:rsidRDefault="00397447" w:rsidP="0099645C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 xml:space="preserve">Modification of the Rules of Procedure of the Committee of Experts </w:t>
      </w:r>
      <w:r w:rsidRPr="00851DA4">
        <w:br/>
        <w:t xml:space="preserve">See project </w:t>
      </w:r>
      <w:hyperlink r:id="rId8" w:history="1">
        <w:r w:rsidR="0099645C" w:rsidRPr="00851DA4">
          <w:rPr>
            <w:rStyle w:val="Hyperlink"/>
            <w:color w:val="auto"/>
          </w:rPr>
          <w:t>CE 529</w:t>
        </w:r>
      </w:hyperlink>
      <w:r w:rsidRPr="00851DA4">
        <w:t>.</w:t>
      </w:r>
    </w:p>
    <w:p w:rsidR="001022B2" w:rsidRPr="00851DA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Report on the progress of the IPC revision program</w:t>
      </w:r>
      <w:r w:rsidRPr="00851DA4">
        <w:br/>
        <w:t xml:space="preserve">See project </w:t>
      </w:r>
      <w:hyperlink r:id="rId9" w:history="1">
        <w:r w:rsidRPr="00851DA4">
          <w:rPr>
            <w:rStyle w:val="Hyperlink"/>
            <w:color w:val="auto"/>
          </w:rPr>
          <w:t>CE 462</w:t>
        </w:r>
      </w:hyperlink>
      <w:r w:rsidRPr="00851DA4">
        <w:t>.</w:t>
      </w:r>
    </w:p>
    <w:p w:rsidR="00397447" w:rsidRPr="00851DA4" w:rsidRDefault="00397447" w:rsidP="00397447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 xml:space="preserve">Review of pilot project </w:t>
      </w:r>
      <w:hyperlink r:id="rId10" w:history="1">
        <w:r w:rsidRPr="00851DA4">
          <w:rPr>
            <w:rStyle w:val="Hyperlink"/>
            <w:color w:val="auto"/>
          </w:rPr>
          <w:t>F</w:t>
        </w:r>
        <w:r w:rsidR="0099645C" w:rsidRPr="00851DA4">
          <w:rPr>
            <w:rStyle w:val="Hyperlink"/>
            <w:color w:val="auto"/>
          </w:rPr>
          <w:t> </w:t>
        </w:r>
        <w:r w:rsidRPr="00851DA4">
          <w:rPr>
            <w:rStyle w:val="Hyperlink"/>
            <w:color w:val="auto"/>
          </w:rPr>
          <w:t>082</w:t>
        </w:r>
      </w:hyperlink>
      <w:r w:rsidRPr="00851DA4">
        <w:t xml:space="preserve"> </w:t>
      </w:r>
      <w:r w:rsidR="00761F5D" w:rsidRPr="00851DA4">
        <w:t>for IPC e-forum discussions</w:t>
      </w:r>
      <w:r w:rsidRPr="00851DA4">
        <w:br/>
        <w:t xml:space="preserve">See project </w:t>
      </w:r>
      <w:hyperlink r:id="rId11" w:history="1">
        <w:r w:rsidRPr="00851DA4">
          <w:rPr>
            <w:rStyle w:val="Hyperlink"/>
            <w:color w:val="auto"/>
          </w:rPr>
          <w:t>CE</w:t>
        </w:r>
        <w:r w:rsidR="0099645C" w:rsidRPr="00851DA4">
          <w:rPr>
            <w:rStyle w:val="Hyperlink"/>
            <w:color w:val="auto"/>
          </w:rPr>
          <w:t> </w:t>
        </w:r>
        <w:r w:rsidRPr="00851DA4">
          <w:rPr>
            <w:rStyle w:val="Hyperlink"/>
            <w:color w:val="auto"/>
          </w:rPr>
          <w:t>529</w:t>
        </w:r>
      </w:hyperlink>
      <w:r w:rsidRPr="00851DA4">
        <w:t>.</w:t>
      </w:r>
    </w:p>
    <w:p w:rsidR="00172D0B" w:rsidRPr="00851DA4" w:rsidRDefault="00172D0B" w:rsidP="00172D0B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Report on the progress of the CPC and FI revision programs</w:t>
      </w:r>
      <w:r w:rsidRPr="00851DA4">
        <w:br/>
        <w:t>Reports by the EPO and the USPTO on the CPC and by the JPO on the FI.</w:t>
      </w:r>
    </w:p>
    <w:p w:rsidR="001543B0" w:rsidRPr="00851DA4" w:rsidRDefault="001543B0" w:rsidP="0099645C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 xml:space="preserve">Consideration of the need to create a new class covering semiconductor technology </w:t>
      </w:r>
      <w:r w:rsidRPr="00851DA4">
        <w:br/>
      </w:r>
      <w:r w:rsidRPr="00851DA4">
        <w:tab/>
        <w:t xml:space="preserve">See project </w:t>
      </w:r>
      <w:hyperlink r:id="rId12" w:history="1">
        <w:r w:rsidRPr="00851DA4">
          <w:rPr>
            <w:rStyle w:val="FollowedHyperlink"/>
            <w:color w:val="auto"/>
          </w:rPr>
          <w:t>CE</w:t>
        </w:r>
        <w:r w:rsidR="0099645C" w:rsidRPr="00851DA4">
          <w:rPr>
            <w:rStyle w:val="FollowedHyperlink"/>
            <w:color w:val="auto"/>
          </w:rPr>
          <w:t> </w:t>
        </w:r>
        <w:r w:rsidRPr="00851DA4">
          <w:rPr>
            <w:rStyle w:val="FollowedHyperlink"/>
            <w:color w:val="auto"/>
          </w:rPr>
          <w:t>481</w:t>
        </w:r>
      </w:hyperlink>
      <w:r w:rsidRPr="00851DA4">
        <w:t>.</w:t>
      </w:r>
    </w:p>
    <w:p w:rsidR="001022B2" w:rsidRPr="00851DA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Amendments to the Guide to the IPC and other basic IPC documents</w:t>
      </w:r>
      <w:r w:rsidRPr="00851DA4">
        <w:br/>
        <w:t xml:space="preserve">See projects </w:t>
      </w:r>
      <w:hyperlink r:id="rId13" w:history="1">
        <w:r w:rsidRPr="00851DA4">
          <w:rPr>
            <w:rStyle w:val="Hyperlink"/>
            <w:color w:val="auto"/>
          </w:rPr>
          <w:t>CE 454</w:t>
        </w:r>
      </w:hyperlink>
      <w:r w:rsidR="00BB7AEB" w:rsidRPr="00851DA4">
        <w:t>,</w:t>
      </w:r>
      <w:r w:rsidRPr="00851DA4">
        <w:t xml:space="preserve"> </w:t>
      </w:r>
      <w:hyperlink r:id="rId14" w:history="1">
        <w:r w:rsidRPr="00851DA4">
          <w:rPr>
            <w:rStyle w:val="Hyperlink"/>
            <w:color w:val="auto"/>
          </w:rPr>
          <w:t>CE 455</w:t>
        </w:r>
      </w:hyperlink>
      <w:r w:rsidR="00BB7AEB" w:rsidRPr="00851DA4">
        <w:t xml:space="preserve"> and </w:t>
      </w:r>
      <w:hyperlink r:id="rId15" w:history="1">
        <w:r w:rsidR="00BB7AEB" w:rsidRPr="00851DA4">
          <w:rPr>
            <w:rStyle w:val="Hyperlink"/>
            <w:color w:val="auto"/>
          </w:rPr>
          <w:t>CE</w:t>
        </w:r>
        <w:r w:rsidR="0099645C" w:rsidRPr="00851DA4">
          <w:rPr>
            <w:rStyle w:val="Hyperlink"/>
            <w:color w:val="auto"/>
          </w:rPr>
          <w:t> </w:t>
        </w:r>
        <w:r w:rsidR="00BB7AEB" w:rsidRPr="00851DA4">
          <w:rPr>
            <w:rStyle w:val="Hyperlink"/>
            <w:color w:val="auto"/>
          </w:rPr>
          <w:t>512</w:t>
        </w:r>
      </w:hyperlink>
      <w:r w:rsidR="00BB7AEB" w:rsidRPr="00851DA4">
        <w:t>.</w:t>
      </w:r>
    </w:p>
    <w:p w:rsidR="001022B2" w:rsidRPr="00851DA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lastRenderedPageBreak/>
        <w:t>Handover of the Working Lists management from the EPO to WIPO</w:t>
      </w:r>
      <w:r w:rsidR="00761F5D" w:rsidRPr="00851DA4">
        <w:t xml:space="preserve"> </w:t>
      </w:r>
      <w:r w:rsidR="00761F5D" w:rsidRPr="00851DA4">
        <w:br/>
      </w:r>
      <w:r w:rsidR="00761F5D" w:rsidRPr="00851DA4">
        <w:tab/>
        <w:t>Presentation by the International Bureau.</w:t>
      </w:r>
    </w:p>
    <w:p w:rsidR="001022B2" w:rsidRPr="00851DA4" w:rsidRDefault="001022B2" w:rsidP="003A316E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Report on IPC-related IT systems</w:t>
      </w:r>
      <w:r w:rsidRPr="00851DA4">
        <w:br/>
        <w:t>Presentation by the International Bureau.</w:t>
      </w:r>
      <w:r w:rsidR="00DB7323" w:rsidRPr="00851DA4">
        <w:t xml:space="preserve"> </w:t>
      </w:r>
    </w:p>
    <w:p w:rsidR="00761F5D" w:rsidRPr="00851DA4" w:rsidRDefault="00761F5D" w:rsidP="0099645C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Experience from offices on computer</w:t>
      </w:r>
      <w:r w:rsidRPr="00851DA4">
        <w:noBreakHyphen/>
        <w:t xml:space="preserve">assisted (e.g., AI-based) classification </w:t>
      </w:r>
      <w:r w:rsidRPr="00851DA4">
        <w:br/>
      </w:r>
      <w:r w:rsidRPr="00851DA4">
        <w:tab/>
        <w:t>Presentations by offices.</w:t>
      </w:r>
    </w:p>
    <w:p w:rsidR="00397447" w:rsidRPr="00851DA4" w:rsidRDefault="00761F5D" w:rsidP="00222187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Divergences in IPC allocations</w:t>
      </w:r>
      <w:r w:rsidRPr="00851DA4">
        <w:br/>
        <w:t xml:space="preserve">See project </w:t>
      </w:r>
      <w:hyperlink r:id="rId16" w:history="1">
        <w:r w:rsidRPr="00851DA4">
          <w:rPr>
            <w:rStyle w:val="Hyperlink"/>
            <w:color w:val="auto"/>
          </w:rPr>
          <w:t>CE 529</w:t>
        </w:r>
      </w:hyperlink>
      <w:r w:rsidRPr="00851DA4">
        <w:t>.</w:t>
      </w:r>
    </w:p>
    <w:p w:rsidR="00222187" w:rsidRPr="00851DA4" w:rsidRDefault="00222187" w:rsidP="00222187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Framework of technical competencies for patent classification</w:t>
      </w:r>
      <w:r w:rsidRPr="00851DA4">
        <w:br/>
        <w:t xml:space="preserve">See project </w:t>
      </w:r>
      <w:hyperlink r:id="rId17" w:history="1">
        <w:r w:rsidRPr="00851DA4">
          <w:rPr>
            <w:rStyle w:val="Hyperlink"/>
            <w:color w:val="auto"/>
          </w:rPr>
          <w:t>CE 52</w:t>
        </w:r>
        <w:r w:rsidR="000B3E92" w:rsidRPr="00851DA4">
          <w:rPr>
            <w:rStyle w:val="Hyperlink"/>
            <w:color w:val="auto"/>
          </w:rPr>
          <w:t>9</w:t>
        </w:r>
      </w:hyperlink>
      <w:r w:rsidRPr="00851DA4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1022B2" w:rsidRDefault="001022B2" w:rsidP="0099645C">
      <w:pPr>
        <w:pStyle w:val="ONUME"/>
        <w:numPr>
          <w:ilvl w:val="0"/>
          <w:numId w:val="0"/>
        </w:numPr>
        <w:spacing w:after="480"/>
        <w:rPr>
          <w:i/>
        </w:rPr>
      </w:pPr>
      <w:r w:rsidRPr="00E547C2">
        <w:rPr>
          <w:i/>
        </w:rPr>
        <w:t xml:space="preserve">The opening meeting will start on </w:t>
      </w:r>
      <w:r w:rsidR="002F55A3">
        <w:rPr>
          <w:i/>
        </w:rPr>
        <w:t>Wednesday</w:t>
      </w:r>
      <w:r w:rsidRPr="00E547C2">
        <w:rPr>
          <w:i/>
        </w:rPr>
        <w:t xml:space="preserve">, February </w:t>
      </w:r>
      <w:r w:rsidR="00632C51">
        <w:rPr>
          <w:i/>
        </w:rPr>
        <w:t>19</w:t>
      </w:r>
      <w:r w:rsidRPr="00E547C2">
        <w:rPr>
          <w:i/>
        </w:rPr>
        <w:t>, 20</w:t>
      </w:r>
      <w:r w:rsidR="00632C51">
        <w:rPr>
          <w:i/>
        </w:rPr>
        <w:t>20</w:t>
      </w:r>
      <w:r w:rsidRPr="00E547C2">
        <w:rPr>
          <w:i/>
        </w:rPr>
        <w:t>, at 10 a.m., at the Headqua</w:t>
      </w:r>
      <w:r>
        <w:rPr>
          <w:i/>
        </w:rPr>
        <w:t>r</w:t>
      </w:r>
      <w:r w:rsidRPr="00E547C2">
        <w:rPr>
          <w:i/>
        </w:rPr>
        <w:t xml:space="preserve">ters of WIPO, 34 </w:t>
      </w:r>
      <w:proofErr w:type="spellStart"/>
      <w:r w:rsidRPr="00E547C2">
        <w:rPr>
          <w:i/>
        </w:rPr>
        <w:t>chemin</w:t>
      </w:r>
      <w:proofErr w:type="spellEnd"/>
      <w:r w:rsidRPr="00E547C2">
        <w:rPr>
          <w:i/>
        </w:rPr>
        <w:t xml:space="preserve"> des </w:t>
      </w:r>
      <w:proofErr w:type="spellStart"/>
      <w:r w:rsidRPr="00E547C2">
        <w:rPr>
          <w:i/>
        </w:rPr>
        <w:t>Colombettes</w:t>
      </w:r>
      <w:proofErr w:type="spellEnd"/>
      <w:r w:rsidRPr="00E547C2">
        <w:rPr>
          <w:i/>
        </w:rPr>
        <w:t>, Geneva</w:t>
      </w:r>
      <w:r>
        <w:rPr>
          <w:i/>
        </w:rPr>
        <w:t>.</w:t>
      </w:r>
    </w:p>
    <w:p w:rsidR="0099645C" w:rsidRPr="00E547C2" w:rsidRDefault="0099645C" w:rsidP="0099645C">
      <w:pPr>
        <w:pStyle w:val="Endofdocument-Annex"/>
      </w:pPr>
      <w:r>
        <w:t>[End of document]</w:t>
      </w:r>
    </w:p>
    <w:sectPr w:rsidR="0099645C" w:rsidRPr="00E547C2" w:rsidSect="0099645C">
      <w:headerReference w:type="even" r:id="rId18"/>
      <w:headerReference w:type="default" r:id="rId19"/>
      <w:foot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 w:rsidP="0099645C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IPC/CE/52/1 Prov.</w:t>
    </w:r>
  </w:p>
  <w:p w:rsidR="0099645C" w:rsidRDefault="0099645C" w:rsidP="0099645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F391D">
      <w:rPr>
        <w:noProof/>
      </w:rPr>
      <w:t>2</w:t>
    </w:r>
    <w:r>
      <w:fldChar w:fldCharType="end"/>
    </w:r>
  </w:p>
  <w:p w:rsidR="0099645C" w:rsidRDefault="0099645C" w:rsidP="0099645C">
    <w:pPr>
      <w:jc w:val="right"/>
    </w:pPr>
  </w:p>
  <w:p w:rsidR="0099645C" w:rsidRDefault="0099645C" w:rsidP="0099645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632C51">
      <w:t>2/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268B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268BF"/>
    <w:rsid w:val="00043CAA"/>
    <w:rsid w:val="00062718"/>
    <w:rsid w:val="00075432"/>
    <w:rsid w:val="000968ED"/>
    <w:rsid w:val="000B3E92"/>
    <w:rsid w:val="000F5E56"/>
    <w:rsid w:val="001022B2"/>
    <w:rsid w:val="00133DE1"/>
    <w:rsid w:val="001362EE"/>
    <w:rsid w:val="001543B0"/>
    <w:rsid w:val="00172D0B"/>
    <w:rsid w:val="001770D6"/>
    <w:rsid w:val="001832A6"/>
    <w:rsid w:val="001D29DD"/>
    <w:rsid w:val="001E0AF6"/>
    <w:rsid w:val="0021217E"/>
    <w:rsid w:val="00222187"/>
    <w:rsid w:val="0026342B"/>
    <w:rsid w:val="002634C4"/>
    <w:rsid w:val="002928D3"/>
    <w:rsid w:val="002A5686"/>
    <w:rsid w:val="002E00EA"/>
    <w:rsid w:val="002F1FE6"/>
    <w:rsid w:val="002F289E"/>
    <w:rsid w:val="002F4E68"/>
    <w:rsid w:val="002F55A3"/>
    <w:rsid w:val="00312F7F"/>
    <w:rsid w:val="0032670C"/>
    <w:rsid w:val="00332938"/>
    <w:rsid w:val="00361450"/>
    <w:rsid w:val="003637FA"/>
    <w:rsid w:val="00364E14"/>
    <w:rsid w:val="003673CF"/>
    <w:rsid w:val="003845C1"/>
    <w:rsid w:val="00397447"/>
    <w:rsid w:val="003A316E"/>
    <w:rsid w:val="003A3B03"/>
    <w:rsid w:val="003A6F89"/>
    <w:rsid w:val="003B38C1"/>
    <w:rsid w:val="00413CE5"/>
    <w:rsid w:val="00423E3E"/>
    <w:rsid w:val="00427AF4"/>
    <w:rsid w:val="004647DA"/>
    <w:rsid w:val="00474062"/>
    <w:rsid w:val="00477D6B"/>
    <w:rsid w:val="00487518"/>
    <w:rsid w:val="0049491F"/>
    <w:rsid w:val="004D2161"/>
    <w:rsid w:val="004D4FB5"/>
    <w:rsid w:val="004F16D0"/>
    <w:rsid w:val="005019FF"/>
    <w:rsid w:val="0053057A"/>
    <w:rsid w:val="00560A29"/>
    <w:rsid w:val="005723D2"/>
    <w:rsid w:val="0058424D"/>
    <w:rsid w:val="005C6649"/>
    <w:rsid w:val="00605827"/>
    <w:rsid w:val="006259C4"/>
    <w:rsid w:val="00632C51"/>
    <w:rsid w:val="00646050"/>
    <w:rsid w:val="006713CA"/>
    <w:rsid w:val="00676C5C"/>
    <w:rsid w:val="006F56F7"/>
    <w:rsid w:val="00761F5D"/>
    <w:rsid w:val="007D1613"/>
    <w:rsid w:val="007D5336"/>
    <w:rsid w:val="007E1F7C"/>
    <w:rsid w:val="007E4C0E"/>
    <w:rsid w:val="00816901"/>
    <w:rsid w:val="00833523"/>
    <w:rsid w:val="00851DA4"/>
    <w:rsid w:val="008A415C"/>
    <w:rsid w:val="008B2CC1"/>
    <w:rsid w:val="008B60B2"/>
    <w:rsid w:val="0090731E"/>
    <w:rsid w:val="00916EE2"/>
    <w:rsid w:val="00962B38"/>
    <w:rsid w:val="00966A22"/>
    <w:rsid w:val="0096722F"/>
    <w:rsid w:val="00980843"/>
    <w:rsid w:val="00987389"/>
    <w:rsid w:val="0099645C"/>
    <w:rsid w:val="009E21F6"/>
    <w:rsid w:val="009E2791"/>
    <w:rsid w:val="009E3F6F"/>
    <w:rsid w:val="009F499F"/>
    <w:rsid w:val="00A42DAF"/>
    <w:rsid w:val="00A45695"/>
    <w:rsid w:val="00A45BD8"/>
    <w:rsid w:val="00A869B7"/>
    <w:rsid w:val="00A875F2"/>
    <w:rsid w:val="00A908D0"/>
    <w:rsid w:val="00AC205C"/>
    <w:rsid w:val="00AF0A6B"/>
    <w:rsid w:val="00AF60CB"/>
    <w:rsid w:val="00B05A69"/>
    <w:rsid w:val="00B37A5C"/>
    <w:rsid w:val="00B767BC"/>
    <w:rsid w:val="00B8388F"/>
    <w:rsid w:val="00B9734B"/>
    <w:rsid w:val="00BA30E2"/>
    <w:rsid w:val="00BB7AEB"/>
    <w:rsid w:val="00C04B13"/>
    <w:rsid w:val="00C11BFE"/>
    <w:rsid w:val="00C5068F"/>
    <w:rsid w:val="00CD04F1"/>
    <w:rsid w:val="00D45252"/>
    <w:rsid w:val="00D71B4D"/>
    <w:rsid w:val="00D93D55"/>
    <w:rsid w:val="00D974AC"/>
    <w:rsid w:val="00D977FB"/>
    <w:rsid w:val="00DB2661"/>
    <w:rsid w:val="00DB7323"/>
    <w:rsid w:val="00E15015"/>
    <w:rsid w:val="00E335FE"/>
    <w:rsid w:val="00EA732B"/>
    <w:rsid w:val="00EC4E49"/>
    <w:rsid w:val="00ED77FB"/>
    <w:rsid w:val="00EE45FA"/>
    <w:rsid w:val="00EF391D"/>
    <w:rsid w:val="00F17203"/>
    <w:rsid w:val="00F66152"/>
    <w:rsid w:val="00F83C3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8144/CE529" TargetMode="External"/><Relationship Id="rId13" Type="http://schemas.openxmlformats.org/officeDocument/2006/relationships/hyperlink" Target="https://www3.wipo.int/ipc-ief/public/ipc/en/project/4471/CE45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ublic/ipc/en/project/4867/CE481" TargetMode="External"/><Relationship Id="rId17" Type="http://schemas.openxmlformats.org/officeDocument/2006/relationships/hyperlink" Target="https://www3.wipo.int/classifications/ipc/ief/public/ipc/en/project/8144/CE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8144/CE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738/CE5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7657/F082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4528/CE462" TargetMode="External"/><Relationship Id="rId14" Type="http://schemas.openxmlformats.org/officeDocument/2006/relationships/hyperlink" Target="https://www3.wipo.int/ipc-ief/public/ipc/en/project/4474/CE4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1314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Prov., Draft Agenda, Fifty-Second Session, IPC Committee of Experts</vt:lpstr>
    </vt:vector>
  </TitlesOfParts>
  <Company>WIPO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IPC Committee of Experts, 52nd Session</dc:title>
  <dc:subject>Draft Agenda, Fifty-Second Session of the IPC Committee of Experts (IPC Union), February 19 and 20, 2020</dc:subject>
  <dc:creator>WIPO</dc:creator>
  <cp:keywords>FOR OFFICIAL USE ONLY</cp:keywords>
  <cp:lastModifiedBy>SCHLESSINGER Caroline</cp:lastModifiedBy>
  <cp:revision>2</cp:revision>
  <cp:lastPrinted>2019-12-13T09:50:00Z</cp:lastPrinted>
  <dcterms:created xsi:type="dcterms:W3CDTF">2019-12-17T15:58:00Z</dcterms:created>
  <dcterms:modified xsi:type="dcterms:W3CDTF">2019-12-17T15:58:00Z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e3bc3a99-10ec-4993-a06b-c0a058557e99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