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3FA9" w14:paraId="725A5597" w14:textId="77777777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A8720D6" w14:textId="77777777" w:rsidR="00EC4E49" w:rsidRPr="008A3FA9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0384EA" w14:textId="540BCAC8" w:rsidR="00EC4E49" w:rsidRPr="008A3FA9" w:rsidRDefault="00274B8D" w:rsidP="00916EE2">
            <w:pPr>
              <w:rPr>
                <w:lang w:val="es-419"/>
              </w:rPr>
            </w:pPr>
            <w:r w:rsidRPr="008A3FA9">
              <w:rPr>
                <w:noProof/>
                <w:lang w:val="es-CL" w:eastAsia="es-CL"/>
              </w:rPr>
              <w:drawing>
                <wp:inline distT="0" distB="0" distL="0" distR="0" wp14:anchorId="636F426E" wp14:editId="3E5465C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0ED050" w14:textId="16F5C18D" w:rsidR="00EC4E49" w:rsidRPr="008A3FA9" w:rsidRDefault="00D20B74" w:rsidP="00916EE2">
            <w:pPr>
              <w:jc w:val="right"/>
              <w:rPr>
                <w:lang w:val="es-419"/>
              </w:rPr>
            </w:pPr>
            <w:r w:rsidRPr="008A3FA9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8A3FA9" w14:paraId="24975694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927B78" w14:textId="5C194057" w:rsidR="008B2CC1" w:rsidRPr="008A3FA9" w:rsidRDefault="00220572" w:rsidP="005F642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8A3FA9">
              <w:rPr>
                <w:rFonts w:ascii="Arial Black" w:hAnsi="Arial Black"/>
                <w:caps/>
                <w:sz w:val="15"/>
                <w:lang w:val="es-419"/>
              </w:rPr>
              <w:t>CLIM/CE/</w:t>
            </w:r>
            <w:r w:rsidR="00CD4D22" w:rsidRPr="008A3FA9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5F642D" w:rsidRPr="008A3FA9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Pr="008A3FA9">
              <w:rPr>
                <w:rFonts w:ascii="Arial Black" w:hAnsi="Arial Black"/>
                <w:caps/>
                <w:sz w:val="15"/>
                <w:lang w:val="es-419"/>
              </w:rPr>
              <w:t>/2</w:t>
            </w:r>
          </w:p>
        </w:tc>
      </w:tr>
      <w:tr w:rsidR="008B2CC1" w:rsidRPr="008A3FA9" w14:paraId="470D55F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CE13724" w14:textId="41FAEF00" w:rsidR="008B2CC1" w:rsidRPr="008A3FA9" w:rsidRDefault="008B2CC1" w:rsidP="00D20B7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A3FA9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D20B74" w:rsidRPr="008A3FA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Original"/>
            <w:bookmarkEnd w:id="1"/>
            <w:r w:rsidR="00D20B74" w:rsidRPr="008A3FA9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8A3FA9" w14:paraId="4B2D387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A6CDAC" w14:textId="117453BD" w:rsidR="008B2CC1" w:rsidRPr="008A3FA9" w:rsidRDefault="00197709" w:rsidP="00AC371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A3FA9">
              <w:rPr>
                <w:rFonts w:ascii="Arial Black" w:hAnsi="Arial Black"/>
                <w:caps/>
                <w:sz w:val="15"/>
                <w:lang w:val="es-419"/>
              </w:rPr>
              <w:t>FECHA: 16</w:t>
            </w:r>
            <w:r w:rsidR="00F95714" w:rsidRPr="008A3FA9">
              <w:rPr>
                <w:rFonts w:ascii="Arial Black" w:hAnsi="Arial Black"/>
                <w:caps/>
                <w:sz w:val="15"/>
                <w:lang w:val="es-419"/>
              </w:rPr>
              <w:t xml:space="preserve"> DE MAYO DE 202</w:t>
            </w:r>
            <w:r w:rsidR="00AC371B">
              <w:rPr>
                <w:rFonts w:ascii="Arial Black" w:hAnsi="Arial Black"/>
                <w:caps/>
                <w:sz w:val="15"/>
                <w:lang w:val="es-419"/>
              </w:rPr>
              <w:t>2</w:t>
            </w:r>
          </w:p>
        </w:tc>
      </w:tr>
    </w:tbl>
    <w:p w14:paraId="22ADF70B" w14:textId="77777777" w:rsidR="00316FA0" w:rsidRDefault="00316FA0" w:rsidP="008B2CC1">
      <w:pPr>
        <w:rPr>
          <w:lang w:val="es-419"/>
        </w:rPr>
      </w:pPr>
    </w:p>
    <w:p w14:paraId="06EB1A52" w14:textId="77777777" w:rsidR="00316FA0" w:rsidRDefault="00316FA0" w:rsidP="008B2CC1">
      <w:pPr>
        <w:rPr>
          <w:lang w:val="es-419"/>
        </w:rPr>
      </w:pPr>
    </w:p>
    <w:p w14:paraId="045D6D8C" w14:textId="77777777" w:rsidR="00316FA0" w:rsidRDefault="00316FA0" w:rsidP="008B2CC1">
      <w:pPr>
        <w:rPr>
          <w:lang w:val="es-419"/>
        </w:rPr>
      </w:pPr>
    </w:p>
    <w:p w14:paraId="0F40385A" w14:textId="77777777" w:rsidR="00316FA0" w:rsidRDefault="00316FA0" w:rsidP="008B2CC1">
      <w:pPr>
        <w:rPr>
          <w:lang w:val="es-419"/>
        </w:rPr>
      </w:pPr>
    </w:p>
    <w:p w14:paraId="2DBE99C8" w14:textId="77777777" w:rsidR="00316FA0" w:rsidRDefault="00316FA0" w:rsidP="008B2CC1">
      <w:pPr>
        <w:rPr>
          <w:lang w:val="es-419"/>
        </w:rPr>
      </w:pPr>
    </w:p>
    <w:p w14:paraId="1A6D27BB" w14:textId="77777777" w:rsidR="00316FA0" w:rsidRDefault="00F95714" w:rsidP="00F95714">
      <w:pPr>
        <w:rPr>
          <w:b/>
          <w:sz w:val="28"/>
          <w:szCs w:val="28"/>
          <w:lang w:val="es-419"/>
        </w:rPr>
      </w:pPr>
      <w:r w:rsidRPr="008A3FA9">
        <w:rPr>
          <w:b/>
          <w:sz w:val="28"/>
          <w:szCs w:val="28"/>
          <w:lang w:val="es-419"/>
        </w:rPr>
        <w:t>Unión Especial para la Clasificación Internacional de Productos y Servicios para el Registro de las Marcas</w:t>
      </w:r>
      <w:r w:rsidRPr="008A3FA9">
        <w:rPr>
          <w:sz w:val="28"/>
          <w:szCs w:val="28"/>
          <w:lang w:val="es-419"/>
        </w:rPr>
        <w:t xml:space="preserve"> </w:t>
      </w:r>
      <w:r w:rsidRPr="008A3FA9">
        <w:rPr>
          <w:b/>
          <w:sz w:val="28"/>
          <w:szCs w:val="28"/>
          <w:lang w:val="es-419"/>
        </w:rPr>
        <w:t>(Unión de Niza)</w:t>
      </w:r>
    </w:p>
    <w:p w14:paraId="6899E41C" w14:textId="77777777" w:rsidR="00316FA0" w:rsidRDefault="00316FA0" w:rsidP="008B2CC1">
      <w:pPr>
        <w:rPr>
          <w:b/>
          <w:sz w:val="28"/>
          <w:szCs w:val="28"/>
          <w:lang w:val="es-419"/>
        </w:rPr>
      </w:pPr>
    </w:p>
    <w:p w14:paraId="5287C0C0" w14:textId="77777777" w:rsidR="00316FA0" w:rsidRDefault="00F95714" w:rsidP="00F95714">
      <w:pPr>
        <w:rPr>
          <w:b/>
          <w:sz w:val="28"/>
          <w:szCs w:val="28"/>
          <w:lang w:val="es-419"/>
        </w:rPr>
      </w:pPr>
      <w:r w:rsidRPr="008A3FA9">
        <w:rPr>
          <w:b/>
          <w:sz w:val="28"/>
          <w:szCs w:val="28"/>
          <w:lang w:val="es-419"/>
        </w:rPr>
        <w:t>Comité de Expertos</w:t>
      </w:r>
    </w:p>
    <w:p w14:paraId="3CFA78EA" w14:textId="77777777" w:rsidR="00316FA0" w:rsidRDefault="00316FA0" w:rsidP="003845C1">
      <w:pPr>
        <w:rPr>
          <w:lang w:val="es-419"/>
        </w:rPr>
      </w:pPr>
    </w:p>
    <w:p w14:paraId="6FFD89D0" w14:textId="77777777" w:rsidR="00316FA0" w:rsidRDefault="00316FA0" w:rsidP="003845C1">
      <w:pPr>
        <w:rPr>
          <w:lang w:val="es-419"/>
        </w:rPr>
      </w:pPr>
    </w:p>
    <w:p w14:paraId="59F5F628" w14:textId="77777777" w:rsidR="00316FA0" w:rsidRDefault="00F95714" w:rsidP="00F95714">
      <w:pPr>
        <w:rPr>
          <w:b/>
          <w:sz w:val="24"/>
          <w:szCs w:val="24"/>
          <w:lang w:val="es-419"/>
        </w:rPr>
      </w:pPr>
      <w:r w:rsidRPr="008A3FA9">
        <w:rPr>
          <w:b/>
          <w:sz w:val="24"/>
          <w:szCs w:val="24"/>
          <w:lang w:val="es-419"/>
        </w:rPr>
        <w:t xml:space="preserve">Trigésima </w:t>
      </w:r>
      <w:r w:rsidR="005F642D" w:rsidRPr="008A3FA9">
        <w:rPr>
          <w:b/>
          <w:sz w:val="24"/>
          <w:szCs w:val="24"/>
          <w:lang w:val="es-419"/>
        </w:rPr>
        <w:t xml:space="preserve">segunda </w:t>
      </w:r>
      <w:r w:rsidRPr="008A3FA9">
        <w:rPr>
          <w:b/>
          <w:sz w:val="24"/>
          <w:szCs w:val="24"/>
          <w:lang w:val="es-419"/>
        </w:rPr>
        <w:t>sesión</w:t>
      </w:r>
    </w:p>
    <w:p w14:paraId="0448F7F1" w14:textId="77777777" w:rsidR="00316FA0" w:rsidRDefault="00F95714" w:rsidP="00F95714">
      <w:pPr>
        <w:rPr>
          <w:b/>
          <w:sz w:val="24"/>
          <w:szCs w:val="24"/>
          <w:lang w:val="es-419"/>
        </w:rPr>
      </w:pPr>
      <w:r w:rsidRPr="008A3FA9">
        <w:rPr>
          <w:b/>
          <w:sz w:val="24"/>
          <w:szCs w:val="24"/>
          <w:lang w:val="es-419"/>
        </w:rPr>
        <w:t>G</w:t>
      </w:r>
      <w:r w:rsidR="00197709" w:rsidRPr="008A3FA9">
        <w:rPr>
          <w:b/>
          <w:sz w:val="24"/>
          <w:szCs w:val="24"/>
          <w:lang w:val="es-419"/>
        </w:rPr>
        <w:t>inebra, 25 a 28</w:t>
      </w:r>
      <w:r w:rsidR="005F642D" w:rsidRPr="008A3FA9">
        <w:rPr>
          <w:b/>
          <w:sz w:val="24"/>
          <w:szCs w:val="24"/>
          <w:lang w:val="es-419"/>
        </w:rPr>
        <w:t xml:space="preserve"> de abril de 2022</w:t>
      </w:r>
    </w:p>
    <w:p w14:paraId="7E5C7C4A" w14:textId="77777777" w:rsidR="00316FA0" w:rsidRDefault="00316FA0" w:rsidP="008B2CC1">
      <w:pPr>
        <w:rPr>
          <w:lang w:val="es-419"/>
        </w:rPr>
      </w:pPr>
    </w:p>
    <w:p w14:paraId="3D191560" w14:textId="77777777" w:rsidR="00316FA0" w:rsidRDefault="00316FA0" w:rsidP="008B2CC1">
      <w:pPr>
        <w:rPr>
          <w:lang w:val="es-419"/>
        </w:rPr>
      </w:pPr>
    </w:p>
    <w:p w14:paraId="0655CC56" w14:textId="77777777" w:rsidR="00316FA0" w:rsidRDefault="00316FA0" w:rsidP="008B2CC1">
      <w:pPr>
        <w:rPr>
          <w:lang w:val="es-419"/>
        </w:rPr>
      </w:pPr>
    </w:p>
    <w:p w14:paraId="42A8C5EC" w14:textId="77777777" w:rsidR="00316FA0" w:rsidRDefault="00F95714" w:rsidP="00F95714">
      <w:pPr>
        <w:rPr>
          <w:caps/>
          <w:sz w:val="24"/>
          <w:lang w:val="es-419"/>
        </w:rPr>
      </w:pPr>
      <w:bookmarkStart w:id="2" w:name="TitleOfDoc"/>
      <w:bookmarkEnd w:id="2"/>
      <w:r w:rsidRPr="008A3FA9">
        <w:rPr>
          <w:caps/>
          <w:sz w:val="24"/>
          <w:lang w:val="es-419"/>
        </w:rPr>
        <w:t>INFORME</w:t>
      </w:r>
    </w:p>
    <w:p w14:paraId="5FBDD922" w14:textId="77777777" w:rsidR="00316FA0" w:rsidRDefault="00316FA0" w:rsidP="008B2CC1">
      <w:pPr>
        <w:rPr>
          <w:lang w:val="es-419"/>
        </w:rPr>
      </w:pPr>
    </w:p>
    <w:p w14:paraId="5661F921" w14:textId="77777777" w:rsidR="00316FA0" w:rsidRDefault="00F95714" w:rsidP="00F95714">
      <w:pPr>
        <w:rPr>
          <w:i/>
          <w:lang w:val="es-419"/>
        </w:rPr>
      </w:pPr>
      <w:bookmarkStart w:id="3" w:name="Prepared"/>
      <w:bookmarkEnd w:id="3"/>
      <w:r w:rsidRPr="008A3FA9">
        <w:rPr>
          <w:i/>
          <w:lang w:val="es-419"/>
        </w:rPr>
        <w:t>aprobado por el Comité de Expertos</w:t>
      </w:r>
    </w:p>
    <w:p w14:paraId="079F3B49" w14:textId="77777777" w:rsidR="00316FA0" w:rsidRDefault="00316FA0">
      <w:pPr>
        <w:rPr>
          <w:lang w:val="es-419"/>
        </w:rPr>
      </w:pPr>
    </w:p>
    <w:p w14:paraId="02B22043" w14:textId="77777777" w:rsidR="00316FA0" w:rsidRDefault="00316FA0">
      <w:pPr>
        <w:rPr>
          <w:lang w:val="es-419"/>
        </w:rPr>
      </w:pPr>
    </w:p>
    <w:p w14:paraId="068C5B6C" w14:textId="77777777" w:rsidR="00316FA0" w:rsidRDefault="00316FA0">
      <w:pPr>
        <w:rPr>
          <w:lang w:val="es-419"/>
        </w:rPr>
      </w:pPr>
    </w:p>
    <w:p w14:paraId="666F5D76" w14:textId="77777777" w:rsidR="00316FA0" w:rsidRDefault="00197709" w:rsidP="005F642D">
      <w:pPr>
        <w:spacing w:line="260" w:lineRule="exact"/>
        <w:rPr>
          <w:b/>
          <w:lang w:val="es-419"/>
        </w:rPr>
      </w:pPr>
      <w:r w:rsidRPr="008A3FA9">
        <w:rPr>
          <w:b/>
          <w:lang w:val="es-419"/>
        </w:rPr>
        <w:t>INTRODUCCIÓN</w:t>
      </w:r>
    </w:p>
    <w:p w14:paraId="59616E7A" w14:textId="77777777" w:rsidR="00316FA0" w:rsidRDefault="00316FA0" w:rsidP="005F642D">
      <w:pPr>
        <w:rPr>
          <w:lang w:val="es-419"/>
        </w:rPr>
      </w:pPr>
    </w:p>
    <w:p w14:paraId="453A2B00" w14:textId="39A72FC6" w:rsidR="00316FA0" w:rsidRPr="00083509" w:rsidRDefault="005F642D" w:rsidP="002B6EA6">
      <w:pPr>
        <w:spacing w:line="260" w:lineRule="exact"/>
        <w:rPr>
          <w:szCs w:val="22"/>
          <w:lang w:val="es-419"/>
        </w:rPr>
      </w:pPr>
      <w:r w:rsidRPr="00083509">
        <w:rPr>
          <w:szCs w:val="22"/>
          <w:lang w:val="es-419"/>
        </w:rPr>
        <w:fldChar w:fldCharType="begin"/>
      </w:r>
      <w:r w:rsidRPr="00083509">
        <w:rPr>
          <w:szCs w:val="22"/>
          <w:lang w:val="es-419"/>
        </w:rPr>
        <w:instrText xml:space="preserve"> AUTONUM </w:instrText>
      </w:r>
      <w:r w:rsidRPr="00083509">
        <w:rPr>
          <w:szCs w:val="22"/>
          <w:lang w:val="es-419"/>
        </w:rPr>
        <w:fldChar w:fldCharType="end"/>
      </w:r>
      <w:r w:rsidRPr="00083509">
        <w:rPr>
          <w:szCs w:val="22"/>
          <w:lang w:val="es-419"/>
        </w:rPr>
        <w:tab/>
      </w:r>
      <w:r w:rsidR="002B6EA6" w:rsidRPr="00083509">
        <w:rPr>
          <w:szCs w:val="22"/>
          <w:lang w:val="es-419"/>
        </w:rPr>
        <w:t xml:space="preserve"> El Comité de Expertos de la Unión de Niza (en adelante, </w:t>
      </w:r>
      <w:r w:rsidR="00D97942">
        <w:rPr>
          <w:szCs w:val="22"/>
          <w:lang w:val="es-419"/>
        </w:rPr>
        <w:t xml:space="preserve">el </w:t>
      </w:r>
      <w:r w:rsidR="002B6EA6" w:rsidRPr="00083509">
        <w:rPr>
          <w:szCs w:val="22"/>
          <w:lang w:val="es-419"/>
        </w:rPr>
        <w:t>“Comité”) celebró su trigésima segunda sesión en Ginebra del 25 al 28 de abril de 2022, en formato híbrido</w:t>
      </w:r>
      <w:r w:rsidR="00083509">
        <w:rPr>
          <w:szCs w:val="22"/>
          <w:lang w:val="es-419"/>
        </w:rPr>
        <w:t xml:space="preserve">. </w:t>
      </w:r>
      <w:r w:rsidR="002B6EA6" w:rsidRPr="00083509">
        <w:rPr>
          <w:szCs w:val="22"/>
          <w:lang w:val="es-419"/>
        </w:rPr>
        <w:t xml:space="preserve">Estuvieron representados en la sesión los siguientes miembros del Comité: Alemania, Australia, Austria, Azerbaiyán, Bulgaria, Canadá, China, Dinamarca, Egipto, </w:t>
      </w:r>
      <w:r w:rsidR="00D65381" w:rsidRPr="00083509">
        <w:rPr>
          <w:szCs w:val="22"/>
          <w:lang w:val="es-419"/>
        </w:rPr>
        <w:t>Eslovaquia,</w:t>
      </w:r>
      <w:r w:rsidR="00D65381">
        <w:rPr>
          <w:szCs w:val="22"/>
          <w:lang w:val="es-419"/>
        </w:rPr>
        <w:t xml:space="preserve"> </w:t>
      </w:r>
      <w:r w:rsidR="00D65381" w:rsidRPr="00083509">
        <w:rPr>
          <w:szCs w:val="22"/>
          <w:lang w:val="es-419"/>
        </w:rPr>
        <w:t xml:space="preserve">España, </w:t>
      </w:r>
      <w:r w:rsidR="002B6EA6" w:rsidRPr="00083509">
        <w:rPr>
          <w:szCs w:val="22"/>
          <w:lang w:val="es-419"/>
        </w:rPr>
        <w:t xml:space="preserve">Estonia, Finlandia, Francia, Hungría, India, Israel, Italia, Japón, Kirguistán, Letonia, Lituania, México, Nueva Zelandia, Noruega, </w:t>
      </w:r>
      <w:r w:rsidR="00D65381" w:rsidRPr="00083509">
        <w:rPr>
          <w:szCs w:val="22"/>
          <w:lang w:val="es-419"/>
        </w:rPr>
        <w:t xml:space="preserve">Países Bajos, </w:t>
      </w:r>
      <w:r w:rsidR="002B6EA6" w:rsidRPr="00083509">
        <w:rPr>
          <w:szCs w:val="22"/>
          <w:lang w:val="es-419"/>
        </w:rPr>
        <w:t>Polonia, Portugal, Reino Unido, República Checa, República de Corea, República de Moldova, Rumania, Serbia, Singapur, Suecia, Suiza, Tayikistán, Trinidad y Tabago, Turquía, Ucrania, Unión Europea y Uruguay (46)</w:t>
      </w:r>
      <w:r w:rsidR="00083509">
        <w:rPr>
          <w:szCs w:val="22"/>
          <w:lang w:val="es-419"/>
        </w:rPr>
        <w:t xml:space="preserve">. </w:t>
      </w:r>
      <w:r w:rsidR="002B6EA6" w:rsidRPr="00083509">
        <w:rPr>
          <w:szCs w:val="22"/>
          <w:lang w:val="es-419"/>
        </w:rPr>
        <w:t>Estuvieron representados en calidad de observadores los siguientes Estados: Brasil, Colombia, Honduras, Iraq, Kuwait, Lesotho, Pakistán, Perú, Tailandia y Venezuela (República Bolivariana de) (11)</w:t>
      </w:r>
      <w:r w:rsidR="00083509">
        <w:rPr>
          <w:szCs w:val="22"/>
          <w:lang w:val="es-419"/>
        </w:rPr>
        <w:t xml:space="preserve">. </w:t>
      </w:r>
      <w:r w:rsidR="002B6EA6" w:rsidRPr="00083509">
        <w:rPr>
          <w:szCs w:val="22"/>
          <w:lang w:val="es-419"/>
        </w:rPr>
        <w:t>Representantes de las siguientes organizaciones internacionales intergubernamentales participaron en la reunión en calidad de observadores:  Oficina de Propiedad Intelectual del Benelux (BOIP), Organización Africana de la Propiedad Intelectual (OAPI), Organización Regional Africana de la Propiedad Intelectual (ARIPO) y Unión Europea (UE)</w:t>
      </w:r>
      <w:r w:rsidR="00083509">
        <w:rPr>
          <w:szCs w:val="22"/>
          <w:lang w:val="es-419"/>
        </w:rPr>
        <w:t xml:space="preserve">. </w:t>
      </w:r>
      <w:r w:rsidR="002B6EA6" w:rsidRPr="00083509">
        <w:rPr>
          <w:szCs w:val="22"/>
          <w:lang w:val="es-419"/>
        </w:rPr>
        <w:t>Asistieron a la sesión, en calidad de observadores, representantes de las siguientes organ</w:t>
      </w:r>
      <w:r w:rsidR="00083509">
        <w:rPr>
          <w:szCs w:val="22"/>
          <w:lang w:val="es-419"/>
        </w:rPr>
        <w:t xml:space="preserve">izaciones no gubernamentales: </w:t>
      </w:r>
      <w:r w:rsidR="00083509" w:rsidRPr="00083509">
        <w:rPr>
          <w:szCs w:val="22"/>
          <w:lang w:val="es-419"/>
        </w:rPr>
        <w:t>Asociación Internacional de Marcas (INTA)</w:t>
      </w:r>
      <w:r w:rsidR="00083509">
        <w:rPr>
          <w:szCs w:val="22"/>
          <w:lang w:val="es-419"/>
        </w:rPr>
        <w:t xml:space="preserve">, </w:t>
      </w:r>
      <w:r w:rsidR="002B6EA6" w:rsidRPr="00083509">
        <w:rPr>
          <w:szCs w:val="22"/>
          <w:lang w:val="es-419"/>
        </w:rPr>
        <w:t>Asociación Internacional para la Protección de la Propiedad Intelectual (AIPPI), Instituto de Propied</w:t>
      </w:r>
      <w:r w:rsidR="00083509">
        <w:rPr>
          <w:szCs w:val="22"/>
          <w:lang w:val="es-419"/>
        </w:rPr>
        <w:t>ad Intelectual de Canadá (IPIC)</w:t>
      </w:r>
      <w:r w:rsidR="002B6EA6" w:rsidRPr="00083509">
        <w:rPr>
          <w:szCs w:val="22"/>
          <w:lang w:val="es-419"/>
        </w:rPr>
        <w:t xml:space="preserve"> y </w:t>
      </w:r>
      <w:r w:rsidR="002B6EA6" w:rsidRPr="00083509">
        <w:rPr>
          <w:i/>
          <w:szCs w:val="22"/>
          <w:lang w:val="es-419"/>
        </w:rPr>
        <w:t>Japan Patent Attorneys Association</w:t>
      </w:r>
      <w:r w:rsidR="002B6EA6" w:rsidRPr="00083509">
        <w:rPr>
          <w:szCs w:val="22"/>
          <w:lang w:val="es-419"/>
        </w:rPr>
        <w:t xml:space="preserve"> (JPAA)</w:t>
      </w:r>
      <w:r w:rsidR="00083509">
        <w:rPr>
          <w:szCs w:val="22"/>
          <w:lang w:val="es-419"/>
        </w:rPr>
        <w:t xml:space="preserve">. </w:t>
      </w:r>
      <w:r w:rsidR="002B6EA6" w:rsidRPr="00083509">
        <w:rPr>
          <w:szCs w:val="22"/>
          <w:lang w:val="es-419"/>
        </w:rPr>
        <w:t>La lista de participantes figura en el Anexo I del presente informe.</w:t>
      </w:r>
    </w:p>
    <w:p w14:paraId="639089FF" w14:textId="77777777" w:rsidR="00316FA0" w:rsidRDefault="00316FA0" w:rsidP="005F642D">
      <w:pPr>
        <w:spacing w:line="260" w:lineRule="exact"/>
        <w:rPr>
          <w:color w:val="000000" w:themeColor="text1"/>
          <w:szCs w:val="22"/>
          <w:lang w:val="es-419"/>
        </w:rPr>
      </w:pPr>
    </w:p>
    <w:p w14:paraId="2BDFE1A5" w14:textId="77777777" w:rsidR="00316FA0" w:rsidRPr="00083509" w:rsidRDefault="005F642D" w:rsidP="002B6EA6">
      <w:pPr>
        <w:spacing w:line="260" w:lineRule="exact"/>
        <w:rPr>
          <w:lang w:val="es-419"/>
        </w:rPr>
      </w:pPr>
      <w:r w:rsidRPr="00083509">
        <w:rPr>
          <w:lang w:val="es-419"/>
        </w:rPr>
        <w:fldChar w:fldCharType="begin"/>
      </w:r>
      <w:r w:rsidRPr="00083509">
        <w:rPr>
          <w:lang w:val="es-419"/>
        </w:rPr>
        <w:instrText xml:space="preserve"> AUTONUM </w:instrText>
      </w:r>
      <w:r w:rsidRPr="00083509">
        <w:rPr>
          <w:lang w:val="es-419"/>
        </w:rPr>
        <w:fldChar w:fldCharType="end"/>
      </w:r>
      <w:r w:rsidRPr="00083509">
        <w:rPr>
          <w:lang w:val="es-419"/>
        </w:rPr>
        <w:tab/>
      </w:r>
      <w:r w:rsidR="002B6EA6" w:rsidRPr="00083509">
        <w:rPr>
          <w:lang w:val="es-419"/>
        </w:rPr>
        <w:t>Inauguró la sesión el Sr. Ken-Ichiro Natsume, subdirector general del Sector de Infraestructura y Plataformas de la OMPI, que dio la bienvenida a los participantes.</w:t>
      </w:r>
    </w:p>
    <w:p w14:paraId="46E04E3C" w14:textId="77777777" w:rsidR="00316FA0" w:rsidRPr="00083509" w:rsidRDefault="00316FA0" w:rsidP="005F642D">
      <w:pPr>
        <w:spacing w:line="260" w:lineRule="exact"/>
        <w:rPr>
          <w:lang w:val="es-419"/>
        </w:rPr>
      </w:pPr>
    </w:p>
    <w:p w14:paraId="26261EBA" w14:textId="77777777" w:rsidR="00316FA0" w:rsidRPr="00083509" w:rsidRDefault="00316FA0" w:rsidP="005F642D">
      <w:pPr>
        <w:rPr>
          <w:lang w:val="es-419"/>
        </w:rPr>
      </w:pPr>
    </w:p>
    <w:p w14:paraId="7C60689C" w14:textId="77777777" w:rsidR="00316FA0" w:rsidRPr="00083509" w:rsidRDefault="002B6EA6" w:rsidP="002B6EA6">
      <w:pPr>
        <w:spacing w:line="260" w:lineRule="exact"/>
        <w:rPr>
          <w:b/>
          <w:lang w:val="es-419"/>
        </w:rPr>
      </w:pPr>
      <w:r w:rsidRPr="00083509">
        <w:rPr>
          <w:b/>
          <w:lang w:val="es-419"/>
        </w:rPr>
        <w:t>INTEGRANTES DE LA MESA</w:t>
      </w:r>
    </w:p>
    <w:p w14:paraId="199A1F70" w14:textId="77777777" w:rsidR="00316FA0" w:rsidRPr="00083509" w:rsidRDefault="00316FA0" w:rsidP="005F642D">
      <w:pPr>
        <w:spacing w:line="260" w:lineRule="exact"/>
        <w:rPr>
          <w:lang w:val="es-419"/>
        </w:rPr>
      </w:pPr>
    </w:p>
    <w:p w14:paraId="5886C665" w14:textId="2B041CBC" w:rsidR="00316FA0" w:rsidRPr="00083509" w:rsidRDefault="005F642D" w:rsidP="002B6EA6">
      <w:pPr>
        <w:spacing w:line="260" w:lineRule="exact"/>
        <w:rPr>
          <w:szCs w:val="22"/>
          <w:lang w:val="es-419"/>
        </w:rPr>
      </w:pPr>
      <w:r w:rsidRPr="00083509">
        <w:rPr>
          <w:szCs w:val="22"/>
          <w:lang w:val="es-419"/>
        </w:rPr>
        <w:fldChar w:fldCharType="begin"/>
      </w:r>
      <w:r w:rsidRPr="00083509">
        <w:rPr>
          <w:szCs w:val="22"/>
          <w:lang w:val="es-419"/>
        </w:rPr>
        <w:instrText xml:space="preserve"> AUTONUM </w:instrText>
      </w:r>
      <w:r w:rsidRPr="00083509">
        <w:rPr>
          <w:szCs w:val="22"/>
          <w:lang w:val="es-419"/>
        </w:rPr>
        <w:fldChar w:fldCharType="end"/>
      </w:r>
      <w:r w:rsidRPr="00083509">
        <w:rPr>
          <w:szCs w:val="22"/>
          <w:lang w:val="es-419"/>
        </w:rPr>
        <w:tab/>
      </w:r>
      <w:r w:rsidR="002B6EA6" w:rsidRPr="00083509">
        <w:rPr>
          <w:szCs w:val="22"/>
          <w:lang w:val="es-419"/>
        </w:rPr>
        <w:t>El año pasado fue elegido presidente el Sr. Thom Clark (EUIPO) para un mandato de dos años naturales</w:t>
      </w:r>
      <w:r w:rsidR="00083509">
        <w:rPr>
          <w:szCs w:val="22"/>
          <w:lang w:val="es-419"/>
        </w:rPr>
        <w:t xml:space="preserve">. </w:t>
      </w:r>
      <w:r w:rsidR="002B6EA6" w:rsidRPr="00083509">
        <w:rPr>
          <w:szCs w:val="22"/>
          <w:lang w:val="es-419"/>
        </w:rPr>
        <w:t>El Comité eligió por unanimidad al Sr. Andreas Östlund (Suecia) y a la Sra. Louise Yde Frank (Dinamarca) en calidad de vicepresidentes.</w:t>
      </w:r>
    </w:p>
    <w:p w14:paraId="4575F851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53A43589" w14:textId="77777777" w:rsidR="00316FA0" w:rsidRPr="00083509" w:rsidRDefault="005F642D" w:rsidP="002B6EA6">
      <w:pPr>
        <w:spacing w:line="260" w:lineRule="exact"/>
        <w:rPr>
          <w:szCs w:val="22"/>
          <w:lang w:val="es-419"/>
        </w:rPr>
      </w:pPr>
      <w:r w:rsidRPr="00083509">
        <w:rPr>
          <w:szCs w:val="22"/>
          <w:lang w:val="es-419"/>
        </w:rPr>
        <w:fldChar w:fldCharType="begin"/>
      </w:r>
      <w:r w:rsidRPr="00083509">
        <w:rPr>
          <w:szCs w:val="22"/>
          <w:lang w:val="es-419"/>
        </w:rPr>
        <w:instrText xml:space="preserve"> AUTONUM  </w:instrText>
      </w:r>
      <w:r w:rsidRPr="00083509">
        <w:rPr>
          <w:szCs w:val="22"/>
          <w:lang w:val="es-419"/>
        </w:rPr>
        <w:fldChar w:fldCharType="end"/>
      </w:r>
      <w:r w:rsidRPr="00083509">
        <w:rPr>
          <w:szCs w:val="22"/>
          <w:lang w:val="es-419"/>
        </w:rPr>
        <w:tab/>
      </w:r>
      <w:r w:rsidR="002B6EA6" w:rsidRPr="00083509">
        <w:rPr>
          <w:szCs w:val="22"/>
          <w:lang w:val="es-419"/>
        </w:rPr>
        <w:t>La Sra. Alison Züger (OMPI) desempeñó las funciones de secretaria de la sesión.</w:t>
      </w:r>
    </w:p>
    <w:p w14:paraId="5DA6B590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5F904B9F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72778BF2" w14:textId="77777777" w:rsidR="00316FA0" w:rsidRPr="00083509" w:rsidRDefault="002B6EA6" w:rsidP="002B6EA6">
      <w:pPr>
        <w:spacing w:line="260" w:lineRule="exact"/>
        <w:rPr>
          <w:b/>
          <w:lang w:val="es-419"/>
        </w:rPr>
      </w:pPr>
      <w:r w:rsidRPr="00083509">
        <w:rPr>
          <w:b/>
          <w:lang w:val="es-419"/>
        </w:rPr>
        <w:t>APROBACIÓN DEL ORDEN DEL DÍA</w:t>
      </w:r>
    </w:p>
    <w:p w14:paraId="6F40AC69" w14:textId="77777777" w:rsidR="00316FA0" w:rsidRPr="00083509" w:rsidRDefault="00316FA0" w:rsidP="005F642D">
      <w:pPr>
        <w:spacing w:line="260" w:lineRule="exact"/>
        <w:rPr>
          <w:lang w:val="es-419"/>
        </w:rPr>
      </w:pPr>
    </w:p>
    <w:p w14:paraId="23C590A2" w14:textId="77777777" w:rsidR="00316FA0" w:rsidRPr="00083509" w:rsidRDefault="005F642D" w:rsidP="002B6EA6">
      <w:pPr>
        <w:spacing w:line="260" w:lineRule="exact"/>
        <w:ind w:left="550"/>
        <w:rPr>
          <w:szCs w:val="22"/>
          <w:lang w:val="es-419"/>
        </w:rPr>
      </w:pPr>
      <w:r w:rsidRPr="00083509">
        <w:rPr>
          <w:szCs w:val="22"/>
          <w:lang w:val="es-419"/>
        </w:rPr>
        <w:fldChar w:fldCharType="begin"/>
      </w:r>
      <w:r w:rsidRPr="00083509">
        <w:rPr>
          <w:szCs w:val="22"/>
          <w:lang w:val="es-419"/>
        </w:rPr>
        <w:instrText xml:space="preserve"> AUTONUM  </w:instrText>
      </w:r>
      <w:r w:rsidRPr="00083509">
        <w:rPr>
          <w:szCs w:val="22"/>
          <w:lang w:val="es-419"/>
        </w:rPr>
        <w:fldChar w:fldCharType="end"/>
      </w:r>
      <w:r w:rsidRPr="00083509">
        <w:rPr>
          <w:szCs w:val="22"/>
          <w:lang w:val="es-419"/>
        </w:rPr>
        <w:tab/>
      </w:r>
      <w:r w:rsidR="002B6EA6" w:rsidRPr="00083509">
        <w:rPr>
          <w:szCs w:val="22"/>
          <w:lang w:val="es-419"/>
        </w:rPr>
        <w:t>El Comité aprobó por unanimidad el orden del día, que figura en el Anexo II del presente informe.</w:t>
      </w:r>
    </w:p>
    <w:p w14:paraId="6D4A6D9E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5B5C2D46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4758BE9D" w14:textId="77777777" w:rsidR="00316FA0" w:rsidRPr="00083509" w:rsidRDefault="002B6EA6" w:rsidP="002B6EA6">
      <w:pPr>
        <w:spacing w:line="260" w:lineRule="exact"/>
        <w:rPr>
          <w:b/>
          <w:lang w:val="es-419"/>
        </w:rPr>
      </w:pPr>
      <w:r w:rsidRPr="00083509">
        <w:rPr>
          <w:b/>
          <w:lang w:val="es-419"/>
        </w:rPr>
        <w:t>DEBATES, CONCLUSIONES Y DECISIONES</w:t>
      </w:r>
    </w:p>
    <w:p w14:paraId="329571F7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3BEAEA91" w14:textId="77777777" w:rsidR="00316FA0" w:rsidRPr="00083509" w:rsidRDefault="005F642D" w:rsidP="002B6EA6">
      <w:pPr>
        <w:spacing w:line="260" w:lineRule="exact"/>
        <w:rPr>
          <w:szCs w:val="22"/>
          <w:lang w:val="es-419"/>
        </w:rPr>
      </w:pPr>
      <w:r w:rsidRPr="00083509">
        <w:rPr>
          <w:szCs w:val="22"/>
          <w:lang w:val="es-419"/>
        </w:rPr>
        <w:fldChar w:fldCharType="begin"/>
      </w:r>
      <w:r w:rsidRPr="00083509">
        <w:rPr>
          <w:szCs w:val="22"/>
          <w:lang w:val="es-419"/>
        </w:rPr>
        <w:instrText xml:space="preserve"> AUTONUM </w:instrText>
      </w:r>
      <w:r w:rsidRPr="00083509">
        <w:rPr>
          <w:szCs w:val="22"/>
          <w:lang w:val="es-419"/>
        </w:rPr>
        <w:fldChar w:fldCharType="end"/>
      </w:r>
      <w:r w:rsidRPr="00083509">
        <w:rPr>
          <w:szCs w:val="22"/>
          <w:lang w:val="es-419"/>
        </w:rPr>
        <w:tab/>
      </w:r>
      <w:r w:rsidR="002B6EA6" w:rsidRPr="00083509">
        <w:rPr>
          <w:szCs w:val="22"/>
          <w:lang w:val="es-419"/>
        </w:rPr>
        <w:t>Tal como lo decidieran los órganos rectores de la OMPI en su décima serie de reuniones, celebrada del 24 de septiembre al 2 de octubre de 1979 (véase el documento AB/X/32, párrafos 51 y 52), el informe de la presente sesión refleja únicamente las conclusiones del Comité (decisiones, recomendaciones, opiniones, etc.) y no refleja, en particular, las declaraciones hechas por cada participante, excepto en los casos en que se haya formulado o repetido una reserva en relación con alguna conclusión específica del Comité una vez alcanzada esa conclusión.</w:t>
      </w:r>
    </w:p>
    <w:p w14:paraId="3E359BFC" w14:textId="77777777" w:rsidR="00316FA0" w:rsidRDefault="00316FA0" w:rsidP="005F642D">
      <w:pPr>
        <w:spacing w:line="260" w:lineRule="exact"/>
        <w:rPr>
          <w:szCs w:val="22"/>
          <w:lang w:val="es-419"/>
        </w:rPr>
      </w:pPr>
    </w:p>
    <w:p w14:paraId="29ADEE30" w14:textId="77777777" w:rsidR="00316FA0" w:rsidRDefault="00316FA0" w:rsidP="005F642D">
      <w:pPr>
        <w:spacing w:line="260" w:lineRule="exact"/>
        <w:rPr>
          <w:szCs w:val="22"/>
          <w:lang w:val="es-419"/>
        </w:rPr>
      </w:pPr>
    </w:p>
    <w:p w14:paraId="1A5F2AFC" w14:textId="77777777" w:rsidR="00316FA0" w:rsidRDefault="002B6EA6" w:rsidP="002B6EA6">
      <w:pPr>
        <w:spacing w:line="260" w:lineRule="exact"/>
        <w:rPr>
          <w:b/>
          <w:szCs w:val="22"/>
          <w:lang w:val="es-419"/>
        </w:rPr>
      </w:pPr>
      <w:r w:rsidRPr="008A3FA9">
        <w:rPr>
          <w:b/>
          <w:color w:val="000000"/>
          <w:szCs w:val="22"/>
          <w:lang w:val="es-419"/>
        </w:rPr>
        <w:t>ADOPCIÓN DE MODIFICACIONES Y OTROS CAMBIOS EN LA UNDÉCIMA EDICIÓN DE LA CLASIFICACIÓN DE NIZA, Y ENTRADA EN VIGOR DE LA 12.ª EDICIÓN DE LA CLASIFICACIÓN DE NIZA</w:t>
      </w:r>
    </w:p>
    <w:p w14:paraId="5000B666" w14:textId="77777777" w:rsidR="00316FA0" w:rsidRDefault="00316FA0" w:rsidP="005F642D">
      <w:pPr>
        <w:spacing w:line="260" w:lineRule="exact"/>
        <w:rPr>
          <w:szCs w:val="22"/>
          <w:lang w:val="es-419"/>
        </w:rPr>
      </w:pPr>
    </w:p>
    <w:p w14:paraId="44D8C669" w14:textId="64C6132E" w:rsidR="00316FA0" w:rsidRDefault="005F642D" w:rsidP="008A3FA9">
      <w:pPr>
        <w:spacing w:line="260" w:lineRule="exact"/>
        <w:rPr>
          <w:szCs w:val="22"/>
          <w:lang w:val="es-419"/>
        </w:rPr>
      </w:pPr>
      <w:r w:rsidRPr="008A3FA9">
        <w:rPr>
          <w:szCs w:val="22"/>
          <w:lang w:val="es-419"/>
        </w:rPr>
        <w:t>7.</w:t>
      </w:r>
      <w:r w:rsidR="008A3FA9" w:rsidRPr="008A3FA9">
        <w:rPr>
          <w:szCs w:val="22"/>
          <w:lang w:val="es-419"/>
        </w:rPr>
        <w:tab/>
      </w:r>
      <w:r w:rsidR="00F17272">
        <w:rPr>
          <w:szCs w:val="22"/>
          <w:lang w:val="es-419"/>
        </w:rPr>
        <w:t xml:space="preserve">De conformidad con la </w:t>
      </w:r>
      <w:r w:rsidR="00201C26">
        <w:rPr>
          <w:szCs w:val="22"/>
          <w:lang w:val="es-419"/>
        </w:rPr>
        <w:t>R</w:t>
      </w:r>
      <w:r w:rsidR="00F17272">
        <w:rPr>
          <w:szCs w:val="22"/>
          <w:lang w:val="es-419"/>
        </w:rPr>
        <w:t>egla</w:t>
      </w:r>
      <w:r w:rsidR="008A3FA9" w:rsidRPr="008A3FA9">
        <w:rPr>
          <w:szCs w:val="22"/>
          <w:lang w:val="es-419"/>
        </w:rPr>
        <w:t xml:space="preserve"> 7.1 del Reglamento, el Comité acordó que los cambios de la versión de 2022 de la undécima edición de la Clasificación de Niza, y las modificaciones en el sentido del artículo 3.7.b) del Arreglo de Niza</w:t>
      </w:r>
      <w:r w:rsidR="008A3FA9" w:rsidRPr="008A3FA9">
        <w:rPr>
          <w:szCs w:val="22"/>
          <w:vertAlign w:val="superscript"/>
          <w:lang w:val="es-419"/>
        </w:rPr>
        <w:footnoteReference w:id="2"/>
      </w:r>
      <w:r w:rsidR="008A3FA9" w:rsidRPr="008A3FA9">
        <w:rPr>
          <w:szCs w:val="22"/>
          <w:lang w:val="es-419"/>
        </w:rPr>
        <w:t xml:space="preserve"> aprobadas durante todo el período de revisión de seis años, entrarán en vigor el 1 de enero de 2023 y se publicarán en línea en una nueva (duodécima) edición (NCL (12-2023)), en inglés y francés, a finales de 2022.</w:t>
      </w:r>
    </w:p>
    <w:p w14:paraId="4B40919F" w14:textId="77777777" w:rsidR="00316FA0" w:rsidRDefault="00316FA0" w:rsidP="008A3FA9">
      <w:pPr>
        <w:spacing w:line="260" w:lineRule="exact"/>
        <w:rPr>
          <w:szCs w:val="22"/>
          <w:lang w:val="es-419"/>
        </w:rPr>
      </w:pPr>
    </w:p>
    <w:p w14:paraId="2428BCBF" w14:textId="6E5ED289" w:rsidR="00316FA0" w:rsidRPr="00083509" w:rsidRDefault="008A3FA9" w:rsidP="00316FA0">
      <w:pPr>
        <w:spacing w:line="260" w:lineRule="exact"/>
        <w:rPr>
          <w:szCs w:val="22"/>
          <w:lang w:val="es-DO"/>
        </w:rPr>
      </w:pPr>
      <w:r w:rsidRPr="00316FA0">
        <w:rPr>
          <w:szCs w:val="22"/>
          <w:lang w:val="es-DO"/>
        </w:rPr>
        <w:t>8.</w:t>
      </w:r>
      <w:r w:rsidRPr="00316FA0">
        <w:rPr>
          <w:szCs w:val="22"/>
          <w:lang w:val="es-DO"/>
        </w:rPr>
        <w:tab/>
      </w:r>
      <w:r w:rsidR="00316FA0" w:rsidRPr="00316FA0">
        <w:rPr>
          <w:color w:val="000000"/>
          <w:szCs w:val="22"/>
          <w:lang w:val="es-ES_tradnl"/>
        </w:rPr>
        <w:t xml:space="preserve">El Comité </w:t>
      </w:r>
      <w:r w:rsidR="00316FA0" w:rsidRPr="00083509">
        <w:rPr>
          <w:szCs w:val="22"/>
          <w:lang w:val="es-ES_tradnl"/>
        </w:rPr>
        <w:t xml:space="preserve">tomó nota de que una primera publicación estará disponible en el sitio </w:t>
      </w:r>
      <w:proofErr w:type="spellStart"/>
      <w:r w:rsidR="00316FA0" w:rsidRPr="00083509">
        <w:rPr>
          <w:szCs w:val="22"/>
          <w:lang w:val="es-ES_tradnl"/>
        </w:rPr>
        <w:t>NCLPub</w:t>
      </w:r>
      <w:proofErr w:type="spellEnd"/>
      <w:r w:rsidR="00316FA0" w:rsidRPr="00083509">
        <w:rPr>
          <w:szCs w:val="22"/>
          <w:lang w:val="es-ES_tradnl"/>
        </w:rPr>
        <w:t xml:space="preserve">, y la lista de productos y servicios en formato Excel, en inglés y francés, estará disponible en el </w:t>
      </w:r>
      <w:hyperlink r:id="rId9" w:history="1">
        <w:r w:rsidR="00316FA0" w:rsidRPr="00316FA0">
          <w:rPr>
            <w:rStyle w:val="Hyperlink"/>
            <w:lang w:val="es-DO"/>
          </w:rPr>
          <w:t>foro electrónico</w:t>
        </w:r>
      </w:hyperlink>
      <w:r w:rsidR="00316FA0" w:rsidRPr="00316FA0">
        <w:rPr>
          <w:color w:val="FF00FF"/>
          <w:szCs w:val="22"/>
          <w:lang w:val="es-ES_tradnl"/>
        </w:rPr>
        <w:t xml:space="preserve"> </w:t>
      </w:r>
      <w:r w:rsidR="00316FA0" w:rsidRPr="00083509">
        <w:rPr>
          <w:szCs w:val="22"/>
          <w:lang w:val="es-ES_tradnl"/>
        </w:rPr>
        <w:t>a fines de junio de 2022.</w:t>
      </w:r>
    </w:p>
    <w:p w14:paraId="49DDA947" w14:textId="77777777" w:rsidR="00316FA0" w:rsidRPr="00083509" w:rsidRDefault="00316FA0" w:rsidP="005F642D">
      <w:pPr>
        <w:spacing w:line="260" w:lineRule="exact"/>
        <w:rPr>
          <w:szCs w:val="22"/>
          <w:lang w:val="es-DO"/>
        </w:rPr>
      </w:pPr>
    </w:p>
    <w:p w14:paraId="2B3DF032" w14:textId="7AB37589" w:rsidR="00316FA0" w:rsidRPr="00083509" w:rsidRDefault="00316FA0" w:rsidP="00316FA0">
      <w:pPr>
        <w:spacing w:line="260" w:lineRule="exact"/>
        <w:rPr>
          <w:szCs w:val="22"/>
          <w:lang w:val="es-419"/>
        </w:rPr>
      </w:pPr>
      <w:r w:rsidRPr="00083509">
        <w:rPr>
          <w:szCs w:val="22"/>
          <w:lang w:val="es-ES_tradnl"/>
        </w:rPr>
        <w:t>9.</w:t>
      </w:r>
      <w:r w:rsidR="00A97E88" w:rsidRPr="00316FA0">
        <w:rPr>
          <w:szCs w:val="22"/>
          <w:lang w:val="es-DO"/>
        </w:rPr>
        <w:tab/>
      </w:r>
      <w:r w:rsidRPr="00083509">
        <w:rPr>
          <w:szCs w:val="22"/>
          <w:lang w:val="es-ES_tradnl"/>
        </w:rPr>
        <w:t>El Comité invitó a la Oficina Internacional a corregir los errores gramaticales o mecanográficos evidentes que encuentre en el texto de la Clasificación y a armonizar, en la medida de lo posible, el uso de la puntuación.</w:t>
      </w:r>
    </w:p>
    <w:p w14:paraId="02348A1B" w14:textId="77777777" w:rsidR="00316FA0" w:rsidRDefault="00316FA0" w:rsidP="005F642D">
      <w:pPr>
        <w:spacing w:line="260" w:lineRule="exact"/>
        <w:rPr>
          <w:szCs w:val="22"/>
          <w:lang w:val="es-419"/>
        </w:rPr>
      </w:pPr>
    </w:p>
    <w:p w14:paraId="517FBD54" w14:textId="77777777" w:rsidR="00AC371B" w:rsidRDefault="00AC371B">
      <w:pPr>
        <w:rPr>
          <w:b/>
          <w:color w:val="000000"/>
          <w:szCs w:val="22"/>
          <w:lang w:val="es-ES_tradnl"/>
        </w:rPr>
      </w:pPr>
      <w:r>
        <w:rPr>
          <w:b/>
          <w:color w:val="000000"/>
          <w:szCs w:val="22"/>
          <w:lang w:val="es-ES_tradnl"/>
        </w:rPr>
        <w:br w:type="page"/>
      </w:r>
    </w:p>
    <w:p w14:paraId="6CDDA865" w14:textId="33D37016" w:rsidR="00316FA0" w:rsidRPr="00083509" w:rsidRDefault="00316FA0" w:rsidP="00316FA0">
      <w:pPr>
        <w:spacing w:line="260" w:lineRule="exact"/>
        <w:rPr>
          <w:b/>
          <w:szCs w:val="22"/>
          <w:lang w:val="es-DO"/>
        </w:rPr>
      </w:pPr>
      <w:r w:rsidRPr="00316FA0">
        <w:rPr>
          <w:b/>
          <w:color w:val="000000"/>
          <w:szCs w:val="22"/>
          <w:lang w:val="es-ES_tradnl"/>
        </w:rPr>
        <w:lastRenderedPageBreak/>
        <w:t>EXAMEN DE LAS PROPUESTAS DEL GRUPO 1 TRAS LA VOTACIÓN 1 EN EL NCLRMS</w:t>
      </w:r>
    </w:p>
    <w:p w14:paraId="0E922427" w14:textId="77777777" w:rsidR="00316FA0" w:rsidRPr="00083509" w:rsidRDefault="00316FA0" w:rsidP="005F642D">
      <w:pPr>
        <w:spacing w:line="260" w:lineRule="exact"/>
        <w:rPr>
          <w:szCs w:val="22"/>
          <w:lang w:val="es-DO"/>
        </w:rPr>
      </w:pPr>
    </w:p>
    <w:p w14:paraId="655FF162" w14:textId="1B20495D" w:rsidR="00316FA0" w:rsidRPr="00A97E88" w:rsidRDefault="00A97E88" w:rsidP="00A97E88">
      <w:pPr>
        <w:spacing w:line="260" w:lineRule="exact"/>
        <w:rPr>
          <w:szCs w:val="22"/>
          <w:lang w:val="es-419"/>
        </w:rPr>
      </w:pPr>
      <w:r>
        <w:rPr>
          <w:szCs w:val="22"/>
          <w:lang w:val="es-ES_tradnl"/>
        </w:rPr>
        <w:t>10.</w:t>
      </w:r>
      <w:r>
        <w:rPr>
          <w:szCs w:val="22"/>
          <w:lang w:val="es-ES_tradnl"/>
        </w:rPr>
        <w:tab/>
      </w:r>
      <w:bookmarkStart w:id="4" w:name="_GoBack"/>
      <w:bookmarkEnd w:id="4"/>
      <w:r w:rsidR="00316FA0" w:rsidRPr="00A97E88">
        <w:rPr>
          <w:szCs w:val="22"/>
          <w:lang w:val="es-ES_tradnl"/>
        </w:rPr>
        <w:t>Los debates se basaron en el Grupo 1 del NCLRMS (proyecto</w:t>
      </w:r>
      <w:r w:rsidR="00316FA0" w:rsidRPr="00A97E88">
        <w:rPr>
          <w:color w:val="FF0000"/>
          <w:szCs w:val="22"/>
          <w:lang w:val="es-ES_tradnl"/>
        </w:rPr>
        <w:t xml:space="preserve"> </w:t>
      </w:r>
      <w:hyperlink r:id="rId10" w:history="1">
        <w:r w:rsidR="00316FA0" w:rsidRPr="00A97E88">
          <w:rPr>
            <w:rStyle w:val="Hyperlink"/>
            <w:lang w:val="es-DO"/>
          </w:rPr>
          <w:t>CE322</w:t>
        </w:r>
      </w:hyperlink>
      <w:r w:rsidR="00316FA0" w:rsidRPr="00A97E88">
        <w:rPr>
          <w:szCs w:val="22"/>
          <w:lang w:val="es-ES_tradnl"/>
        </w:rPr>
        <w:t>, Anexo 3), en el que figura un cuadro sinóptico de las propuestas de modificación de la Clasificación, que recibieron el apoyo mayoritario de cuatro quintos en la votación 1.</w:t>
      </w:r>
    </w:p>
    <w:p w14:paraId="2CBC31B7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118128CD" w14:textId="45FDC390" w:rsidR="00316FA0" w:rsidRDefault="00316FA0" w:rsidP="00316FA0">
      <w:pPr>
        <w:spacing w:line="260" w:lineRule="exact"/>
        <w:ind w:left="550"/>
        <w:rPr>
          <w:color w:val="000000" w:themeColor="text1"/>
          <w:szCs w:val="22"/>
          <w:lang w:val="es-419"/>
        </w:rPr>
      </w:pPr>
      <w:r w:rsidRPr="00083509">
        <w:rPr>
          <w:szCs w:val="22"/>
          <w:lang w:val="es-ES_tradnl"/>
        </w:rPr>
        <w:t>11.</w:t>
      </w:r>
      <w:r w:rsidR="00A97E88" w:rsidRPr="00316FA0">
        <w:rPr>
          <w:szCs w:val="22"/>
          <w:lang w:val="es-DO"/>
        </w:rPr>
        <w:tab/>
      </w:r>
      <w:r w:rsidRPr="00083509">
        <w:rPr>
          <w:szCs w:val="22"/>
          <w:lang w:val="es-ES_tradnl"/>
        </w:rPr>
        <w:t>A petición del Comité, una propuesta se trasladó al Grupo 2. El Comité acordó por unanimidad aprobar las restantes propuestas del Grupo 1. Las decisiones del Comité están disponibles en NCLRMS/</w:t>
      </w:r>
      <w:proofErr w:type="spellStart"/>
      <w:r w:rsidRPr="00083509">
        <w:rPr>
          <w:szCs w:val="22"/>
          <w:lang w:val="es-ES_tradnl"/>
        </w:rPr>
        <w:t>Sessions</w:t>
      </w:r>
      <w:proofErr w:type="spellEnd"/>
      <w:r w:rsidRPr="00083509">
        <w:rPr>
          <w:szCs w:val="22"/>
          <w:lang w:val="es-ES_tradnl"/>
        </w:rPr>
        <w:t>/CE32/</w:t>
      </w:r>
      <w:proofErr w:type="spellStart"/>
      <w:r w:rsidRPr="00083509">
        <w:rPr>
          <w:szCs w:val="22"/>
          <w:lang w:val="es-ES_tradnl"/>
        </w:rPr>
        <w:t>Group</w:t>
      </w:r>
      <w:proofErr w:type="spellEnd"/>
      <w:r w:rsidRPr="00083509">
        <w:rPr>
          <w:szCs w:val="22"/>
          <w:lang w:val="es-ES_tradnl"/>
        </w:rPr>
        <w:t xml:space="preserve"> 1 (así como en el</w:t>
      </w:r>
      <w:r w:rsidRPr="00316FA0">
        <w:rPr>
          <w:color w:val="FF0000"/>
          <w:szCs w:val="22"/>
          <w:lang w:val="es-ES_tradnl"/>
        </w:rPr>
        <w:t xml:space="preserve"> </w:t>
      </w:r>
      <w:hyperlink r:id="rId11" w:history="1">
        <w:r w:rsidRPr="00316FA0">
          <w:rPr>
            <w:rStyle w:val="Hyperlink"/>
            <w:lang w:val="es-DO"/>
          </w:rPr>
          <w:t>foro electrónico</w:t>
        </w:r>
      </w:hyperlink>
      <w:r w:rsidRPr="00083509">
        <w:rPr>
          <w:szCs w:val="22"/>
          <w:lang w:val="es-ES_tradnl"/>
        </w:rPr>
        <w:t>,</w:t>
      </w:r>
      <w:r w:rsidRPr="00316FA0">
        <w:rPr>
          <w:color w:val="FF0000"/>
          <w:szCs w:val="22"/>
          <w:lang w:val="es-ES_tradnl"/>
        </w:rPr>
        <w:t xml:space="preserve"> </w:t>
      </w:r>
      <w:r w:rsidRPr="00083509">
        <w:rPr>
          <w:szCs w:val="22"/>
          <w:lang w:val="es-ES_tradnl"/>
        </w:rPr>
        <w:t>proyecto</w:t>
      </w:r>
      <w:r w:rsidRPr="00316FA0">
        <w:rPr>
          <w:color w:val="FF0000"/>
          <w:szCs w:val="22"/>
          <w:lang w:val="es-ES_tradnl"/>
        </w:rPr>
        <w:t xml:space="preserve"> </w:t>
      </w:r>
      <w:hyperlink r:id="rId12" w:history="1">
        <w:r w:rsidRPr="00316FA0">
          <w:rPr>
            <w:rStyle w:val="Hyperlink"/>
            <w:lang w:val="es-DO"/>
          </w:rPr>
          <w:t>CE320</w:t>
        </w:r>
      </w:hyperlink>
      <w:r w:rsidRPr="00083509">
        <w:rPr>
          <w:szCs w:val="22"/>
          <w:lang w:val="es-ES_tradnl"/>
        </w:rPr>
        <w:t>).</w:t>
      </w:r>
    </w:p>
    <w:p w14:paraId="2306FD9E" w14:textId="77777777" w:rsidR="00316FA0" w:rsidRDefault="00316FA0" w:rsidP="005F642D">
      <w:pPr>
        <w:spacing w:line="260" w:lineRule="exact"/>
        <w:rPr>
          <w:szCs w:val="22"/>
          <w:lang w:val="es-419"/>
        </w:rPr>
      </w:pPr>
    </w:p>
    <w:p w14:paraId="5E3C5244" w14:textId="77777777" w:rsidR="00316FA0" w:rsidRDefault="00316FA0" w:rsidP="005F642D">
      <w:pPr>
        <w:rPr>
          <w:b/>
          <w:caps/>
          <w:szCs w:val="22"/>
          <w:lang w:val="es-419"/>
        </w:rPr>
      </w:pPr>
    </w:p>
    <w:p w14:paraId="12A34182" w14:textId="5E0FBF69" w:rsidR="00316FA0" w:rsidRPr="00AC371B" w:rsidRDefault="00316FA0" w:rsidP="00316FA0">
      <w:pPr>
        <w:spacing w:line="260" w:lineRule="exact"/>
        <w:rPr>
          <w:b/>
          <w:caps/>
          <w:szCs w:val="22"/>
          <w:lang w:val="es-CL"/>
        </w:rPr>
      </w:pPr>
      <w:r w:rsidRPr="00316FA0">
        <w:rPr>
          <w:b/>
          <w:caps/>
          <w:color w:val="000000"/>
          <w:szCs w:val="22"/>
          <w:lang w:val="es-ES_tradnl"/>
        </w:rPr>
        <w:t>EXAMEN DE LAS PROPUESTAS DEL GRUPO 2 TRAS LA VOTACIÓN 1 EN EL NCLRMS</w:t>
      </w:r>
    </w:p>
    <w:p w14:paraId="1C14C3B0" w14:textId="77777777" w:rsidR="00316FA0" w:rsidRPr="00AC371B" w:rsidRDefault="00316FA0" w:rsidP="005F642D">
      <w:pPr>
        <w:spacing w:line="260" w:lineRule="exact"/>
        <w:rPr>
          <w:szCs w:val="22"/>
          <w:lang w:val="es-CL"/>
        </w:rPr>
      </w:pPr>
    </w:p>
    <w:p w14:paraId="246A1EE7" w14:textId="26C1DE07" w:rsidR="00316FA0" w:rsidRDefault="00316FA0" w:rsidP="00316FA0">
      <w:pPr>
        <w:spacing w:line="260" w:lineRule="exact"/>
        <w:rPr>
          <w:color w:val="000000" w:themeColor="text1"/>
          <w:szCs w:val="22"/>
          <w:lang w:val="es-419"/>
        </w:rPr>
      </w:pPr>
      <w:r w:rsidRPr="00316FA0">
        <w:rPr>
          <w:color w:val="000000" w:themeColor="text1"/>
          <w:szCs w:val="22"/>
          <w:lang w:val="es-ES_tradnl"/>
        </w:rPr>
        <w:t>12.</w:t>
      </w:r>
      <w:r w:rsidRPr="00316FA0">
        <w:rPr>
          <w:color w:val="000000" w:themeColor="text1"/>
          <w:szCs w:val="22"/>
          <w:lang w:val="es-ES_tradnl"/>
        </w:rPr>
        <w:tab/>
        <w:t xml:space="preserve">Los debates se basaron en el Grupo 2 del NCLRMS (proyecto </w:t>
      </w:r>
      <w:hyperlink r:id="rId13" w:history="1">
        <w:r w:rsidRPr="00AC371B">
          <w:rPr>
            <w:rStyle w:val="Hyperlink"/>
            <w:lang w:val="es-CL"/>
          </w:rPr>
          <w:t>CE322</w:t>
        </w:r>
      </w:hyperlink>
      <w:r w:rsidRPr="00316FA0">
        <w:rPr>
          <w:color w:val="000000" w:themeColor="text1"/>
          <w:szCs w:val="22"/>
          <w:lang w:val="es-ES_tradnl"/>
        </w:rPr>
        <w:t>, Anexo 5), en el que figura un cuadro sinóptico de las propuestas de modificación de la Clasificación, que no recibieron el apoyo mayoritario de cuatro quintos en la votación 1.</w:t>
      </w:r>
    </w:p>
    <w:p w14:paraId="1630506C" w14:textId="77777777" w:rsidR="00316FA0" w:rsidRDefault="00316FA0" w:rsidP="005F642D">
      <w:pPr>
        <w:spacing w:line="260" w:lineRule="exact"/>
        <w:rPr>
          <w:color w:val="000000" w:themeColor="text1"/>
          <w:szCs w:val="22"/>
          <w:lang w:val="es-419"/>
        </w:rPr>
      </w:pPr>
    </w:p>
    <w:p w14:paraId="07CEC3A9" w14:textId="2FA30633" w:rsidR="00316FA0" w:rsidRPr="00083509" w:rsidRDefault="00316FA0" w:rsidP="00316FA0">
      <w:pPr>
        <w:spacing w:line="260" w:lineRule="exact"/>
        <w:ind w:left="550"/>
        <w:rPr>
          <w:szCs w:val="22"/>
          <w:lang w:val="es-419"/>
        </w:rPr>
      </w:pPr>
      <w:r w:rsidRPr="00083509">
        <w:rPr>
          <w:szCs w:val="22"/>
          <w:lang w:val="es-ES_tradnl"/>
        </w:rPr>
        <w:t>13.</w:t>
      </w:r>
      <w:r w:rsidRPr="00083509">
        <w:rPr>
          <w:szCs w:val="22"/>
          <w:lang w:val="es-ES_tradnl"/>
        </w:rPr>
        <w:tab/>
        <w:t>El Comité aprobó un número considerable de modificaciones y otros cambios en la Clasificación</w:t>
      </w:r>
      <w:r w:rsidR="00083509">
        <w:rPr>
          <w:szCs w:val="22"/>
          <w:lang w:val="es-ES_tradnl"/>
        </w:rPr>
        <w:t xml:space="preserve">. </w:t>
      </w:r>
      <w:r w:rsidRPr="00083509">
        <w:rPr>
          <w:szCs w:val="22"/>
          <w:lang w:val="es-ES_tradnl"/>
        </w:rPr>
        <w:t>Las decisiones del Comité están disponibles en NCLRMS/</w:t>
      </w:r>
      <w:proofErr w:type="spellStart"/>
      <w:r w:rsidRPr="00083509">
        <w:rPr>
          <w:szCs w:val="22"/>
          <w:lang w:val="es-ES_tradnl"/>
        </w:rPr>
        <w:t>Sessions</w:t>
      </w:r>
      <w:proofErr w:type="spellEnd"/>
      <w:r w:rsidRPr="00083509">
        <w:rPr>
          <w:szCs w:val="22"/>
          <w:lang w:val="es-ES_tradnl"/>
        </w:rPr>
        <w:t>/CE32/</w:t>
      </w:r>
      <w:proofErr w:type="spellStart"/>
      <w:r w:rsidRPr="00083509">
        <w:rPr>
          <w:szCs w:val="22"/>
          <w:lang w:val="es-ES_tradnl"/>
        </w:rPr>
        <w:t>Group</w:t>
      </w:r>
      <w:proofErr w:type="spellEnd"/>
      <w:r w:rsidRPr="00083509">
        <w:rPr>
          <w:szCs w:val="22"/>
          <w:lang w:val="es-ES_tradnl"/>
        </w:rPr>
        <w:t xml:space="preserve"> 2 (así como en el </w:t>
      </w:r>
      <w:hyperlink r:id="rId14" w:history="1">
        <w:r w:rsidRPr="00316FA0">
          <w:rPr>
            <w:rStyle w:val="Hyperlink"/>
            <w:lang w:val="es-DO"/>
          </w:rPr>
          <w:t>foro electrónico</w:t>
        </w:r>
      </w:hyperlink>
      <w:r w:rsidRPr="00083509">
        <w:rPr>
          <w:szCs w:val="22"/>
          <w:lang w:val="es-ES_tradnl"/>
        </w:rPr>
        <w:t>, proyecto</w:t>
      </w:r>
      <w:r w:rsidRPr="00316FA0">
        <w:rPr>
          <w:color w:val="FF0000"/>
          <w:szCs w:val="22"/>
          <w:lang w:val="es-ES_tradnl"/>
        </w:rPr>
        <w:t xml:space="preserve"> </w:t>
      </w:r>
      <w:hyperlink r:id="rId15" w:history="1">
        <w:r w:rsidRPr="00316FA0">
          <w:rPr>
            <w:rStyle w:val="Hyperlink"/>
            <w:lang w:val="es-DO"/>
          </w:rPr>
          <w:t>CE320</w:t>
        </w:r>
      </w:hyperlink>
      <w:r w:rsidRPr="00083509">
        <w:rPr>
          <w:szCs w:val="22"/>
          <w:lang w:val="es-ES_tradnl"/>
        </w:rPr>
        <w:t>).</w:t>
      </w:r>
    </w:p>
    <w:p w14:paraId="2234DC4D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60F42866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5C1634B2" w14:textId="42A95570" w:rsidR="00316FA0" w:rsidRPr="00AC371B" w:rsidRDefault="00316FA0" w:rsidP="00316FA0">
      <w:pPr>
        <w:spacing w:line="260" w:lineRule="exact"/>
        <w:rPr>
          <w:szCs w:val="22"/>
          <w:lang w:val="es-CL"/>
        </w:rPr>
      </w:pPr>
      <w:r w:rsidRPr="00083509">
        <w:rPr>
          <w:b/>
          <w:szCs w:val="22"/>
          <w:lang w:val="es-ES_tradnl"/>
        </w:rPr>
        <w:t>NUEVO PROCEDIMIENTO DE REVISIÓN MEDIANTE EL NCLRMS (SISTEMA DE GESTIÓN DE LAS REVISIONES DE LA CLASIFICACIÓN DE NIZA)</w:t>
      </w:r>
    </w:p>
    <w:p w14:paraId="576BA36B" w14:textId="40F1A10A" w:rsidR="00316FA0" w:rsidRPr="00083509" w:rsidRDefault="00316FA0" w:rsidP="00316FA0">
      <w:pPr>
        <w:pStyle w:val="ListParagraph"/>
        <w:numPr>
          <w:ilvl w:val="0"/>
          <w:numId w:val="29"/>
        </w:numPr>
        <w:spacing w:line="260" w:lineRule="exact"/>
        <w:rPr>
          <w:b/>
          <w:szCs w:val="22"/>
          <w:lang w:val="es-419"/>
        </w:rPr>
      </w:pPr>
      <w:r w:rsidRPr="00083509">
        <w:rPr>
          <w:b/>
          <w:szCs w:val="22"/>
          <w:lang w:val="es-ES_tradnl"/>
        </w:rPr>
        <w:t>INTRODUCCIÓN DE LA VOTACIÓN 2</w:t>
      </w:r>
    </w:p>
    <w:p w14:paraId="57691FC7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30669BEB" w14:textId="05A69137" w:rsidR="00316FA0" w:rsidRPr="00083509" w:rsidRDefault="00A97E88" w:rsidP="00316FA0">
      <w:pPr>
        <w:spacing w:line="260" w:lineRule="exact"/>
        <w:rPr>
          <w:szCs w:val="22"/>
          <w:lang w:val="es-419"/>
        </w:rPr>
      </w:pPr>
      <w:r>
        <w:rPr>
          <w:szCs w:val="22"/>
          <w:lang w:val="es-ES_tradnl"/>
        </w:rPr>
        <w:t>14.</w:t>
      </w:r>
      <w:r w:rsidRPr="00316FA0">
        <w:rPr>
          <w:szCs w:val="22"/>
          <w:lang w:val="es-DO"/>
        </w:rPr>
        <w:tab/>
      </w:r>
      <w:r w:rsidR="00316FA0" w:rsidRPr="00083509">
        <w:rPr>
          <w:szCs w:val="22"/>
          <w:lang w:val="es-ES_tradnl"/>
        </w:rPr>
        <w:t>El debate se basó en el proyecto</w:t>
      </w:r>
      <w:r w:rsidR="00316FA0" w:rsidRPr="00316FA0">
        <w:rPr>
          <w:color w:val="FF00FF"/>
          <w:szCs w:val="22"/>
          <w:lang w:val="es-ES_tradnl"/>
        </w:rPr>
        <w:t xml:space="preserve"> </w:t>
      </w:r>
      <w:hyperlink r:id="rId16" w:history="1">
        <w:r w:rsidR="00316FA0" w:rsidRPr="00AC371B">
          <w:rPr>
            <w:rStyle w:val="Hyperlink"/>
            <w:lang w:val="es-CL"/>
          </w:rPr>
          <w:t>CE322</w:t>
        </w:r>
      </w:hyperlink>
      <w:r w:rsidR="00316FA0" w:rsidRPr="00083509">
        <w:rPr>
          <w:szCs w:val="22"/>
          <w:lang w:val="es-ES_tradnl"/>
        </w:rPr>
        <w:t>, Anexo 2, relativo al nuevo procedimiento de revisión mediante el NCLRMS y la introducción de las votación 2, presentado por la Oficina Internacional.</w:t>
      </w:r>
    </w:p>
    <w:p w14:paraId="6B784CBA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6D2669D9" w14:textId="351FE7F4" w:rsidR="00316FA0" w:rsidRPr="00083509" w:rsidRDefault="00083509" w:rsidP="00083509">
      <w:pPr>
        <w:spacing w:line="260" w:lineRule="exact"/>
        <w:ind w:left="630"/>
        <w:rPr>
          <w:szCs w:val="22"/>
          <w:lang w:val="es-419"/>
        </w:rPr>
      </w:pPr>
      <w:r w:rsidRPr="00083509">
        <w:rPr>
          <w:lang w:val="es-ES_tradnl"/>
        </w:rPr>
        <w:t>15.</w:t>
      </w:r>
      <w:r w:rsidR="00A97E88" w:rsidRPr="00316FA0">
        <w:rPr>
          <w:szCs w:val="22"/>
          <w:lang w:val="es-DO"/>
        </w:rPr>
        <w:tab/>
      </w:r>
      <w:r w:rsidRPr="00083509">
        <w:rPr>
          <w:lang w:val="es-ES_tradnl"/>
        </w:rPr>
        <w:t>El Comité agradeció a la Oficina Internacional que haya tenido en cuenta las observaciones de los Estados miembros y haya elaborado este proyecto, que se examinó inicialmente en la 31.ª sesión</w:t>
      </w:r>
      <w:r>
        <w:rPr>
          <w:lang w:val="es-ES_tradnl"/>
        </w:rPr>
        <w:t xml:space="preserve">. </w:t>
      </w:r>
      <w:r w:rsidRPr="00083509">
        <w:rPr>
          <w:lang w:val="es-ES_tradnl"/>
        </w:rPr>
        <w:t>En particular, los Estados miembros valoraron positivamente el criterio de apoyo mayoritari</w:t>
      </w:r>
      <w:r w:rsidR="006F4007">
        <w:rPr>
          <w:lang w:val="es-ES_tradnl"/>
        </w:rPr>
        <w:t>o de cuatro quintos en favor de la votación</w:t>
      </w:r>
      <w:r w:rsidRPr="00083509">
        <w:rPr>
          <w:lang w:val="es-ES_tradnl"/>
        </w:rPr>
        <w:t xml:space="preserve"> 1, lo que permitió un debate más sólido de las propuestas del Grupo 2 durante la reunión</w:t>
      </w:r>
      <w:r>
        <w:rPr>
          <w:lang w:val="es-ES_tradnl"/>
        </w:rPr>
        <w:t xml:space="preserve">. </w:t>
      </w:r>
      <w:r w:rsidRPr="00083509">
        <w:rPr>
          <w:lang w:val="es-ES_tradnl"/>
        </w:rPr>
        <w:t>En general, el Comité respaldó y aprobó el nuevo procedimiento de revisión y la introducción de una votación en dos fases</w:t>
      </w:r>
      <w:r>
        <w:rPr>
          <w:lang w:val="es-ES_tradnl"/>
        </w:rPr>
        <w:t xml:space="preserve">. </w:t>
      </w:r>
      <w:r w:rsidRPr="00083509">
        <w:rPr>
          <w:lang w:val="es-ES_tradnl"/>
        </w:rPr>
        <w:t>Asimismo, se reconoció que en el futuro se estudiarán nuevas mejoras del NCLRMS.</w:t>
      </w:r>
    </w:p>
    <w:p w14:paraId="75B797AD" w14:textId="77777777" w:rsidR="00316FA0" w:rsidRPr="00083509" w:rsidRDefault="00316FA0" w:rsidP="005F642D">
      <w:pPr>
        <w:spacing w:line="260" w:lineRule="exact"/>
        <w:rPr>
          <w:szCs w:val="22"/>
          <w:lang w:val="es-419"/>
        </w:rPr>
      </w:pPr>
    </w:p>
    <w:p w14:paraId="1F42B82B" w14:textId="77777777" w:rsidR="00316FA0" w:rsidRPr="00083509" w:rsidRDefault="00316FA0" w:rsidP="005F642D">
      <w:pPr>
        <w:spacing w:line="260" w:lineRule="exact"/>
        <w:rPr>
          <w:b/>
          <w:caps/>
          <w:szCs w:val="22"/>
          <w:lang w:val="es-419"/>
        </w:rPr>
      </w:pPr>
    </w:p>
    <w:p w14:paraId="5F5B6721" w14:textId="7955FA13" w:rsidR="00316FA0" w:rsidRPr="00AC371B" w:rsidRDefault="00083509" w:rsidP="00083509">
      <w:pPr>
        <w:spacing w:line="260" w:lineRule="exact"/>
        <w:rPr>
          <w:b/>
          <w:caps/>
          <w:szCs w:val="22"/>
          <w:lang w:val="es-CL"/>
        </w:rPr>
      </w:pPr>
      <w:r w:rsidRPr="00083509">
        <w:rPr>
          <w:b/>
          <w:caps/>
          <w:szCs w:val="22"/>
          <w:lang w:val="es-ES_tradnl"/>
        </w:rPr>
        <w:t>PRÓXIMA SESIÓN DEL COMITÉ DE EXPERTOS</w:t>
      </w:r>
    </w:p>
    <w:p w14:paraId="50904AC2" w14:textId="77777777" w:rsidR="00316FA0" w:rsidRPr="00AC371B" w:rsidRDefault="00316FA0" w:rsidP="005F642D">
      <w:pPr>
        <w:spacing w:line="260" w:lineRule="exact"/>
        <w:rPr>
          <w:caps/>
          <w:szCs w:val="22"/>
          <w:lang w:val="es-CL"/>
        </w:rPr>
      </w:pPr>
    </w:p>
    <w:p w14:paraId="30E0243F" w14:textId="202ECB44" w:rsidR="00316FA0" w:rsidRPr="00083509" w:rsidRDefault="00A97E88" w:rsidP="00083509">
      <w:pPr>
        <w:spacing w:line="260" w:lineRule="exact"/>
        <w:rPr>
          <w:szCs w:val="22"/>
          <w:lang w:val="es-419"/>
        </w:rPr>
      </w:pPr>
      <w:r>
        <w:rPr>
          <w:szCs w:val="22"/>
          <w:lang w:val="es-ES_tradnl"/>
        </w:rPr>
        <w:t>16.</w:t>
      </w:r>
      <w:r w:rsidRPr="00316FA0">
        <w:rPr>
          <w:szCs w:val="22"/>
          <w:lang w:val="es-DO"/>
        </w:rPr>
        <w:tab/>
      </w:r>
      <w:r w:rsidR="00083509" w:rsidRPr="00083509">
        <w:rPr>
          <w:szCs w:val="22"/>
          <w:lang w:val="es-ES_tradnl"/>
        </w:rPr>
        <w:t>El Comité tomó nota de que la próxima sesión (trigésima tercera) se celebrará en Ginebra a fines de abril o principios de mayo de 2023, en función del calendario de los principales comités de la OMPI.</w:t>
      </w:r>
    </w:p>
    <w:p w14:paraId="21DB43AE" w14:textId="77777777" w:rsidR="00316FA0" w:rsidRDefault="00316FA0" w:rsidP="005F642D">
      <w:pPr>
        <w:rPr>
          <w:szCs w:val="22"/>
          <w:lang w:val="es-419"/>
        </w:rPr>
      </w:pPr>
    </w:p>
    <w:p w14:paraId="73C025ED" w14:textId="77777777" w:rsidR="00316FA0" w:rsidRDefault="00316FA0" w:rsidP="005F642D">
      <w:pPr>
        <w:rPr>
          <w:szCs w:val="22"/>
          <w:lang w:val="es-419"/>
        </w:rPr>
      </w:pPr>
    </w:p>
    <w:p w14:paraId="06284C0A" w14:textId="77777777" w:rsidR="00316FA0" w:rsidRDefault="005F642D" w:rsidP="005F642D">
      <w:pPr>
        <w:rPr>
          <w:b/>
          <w:caps/>
          <w:szCs w:val="22"/>
          <w:lang w:val="es-419"/>
        </w:rPr>
      </w:pPr>
      <w:r w:rsidRPr="008A3FA9">
        <w:rPr>
          <w:b/>
          <w:caps/>
          <w:szCs w:val="22"/>
          <w:lang w:val="es-419"/>
        </w:rPr>
        <w:br w:type="page"/>
      </w:r>
    </w:p>
    <w:p w14:paraId="533AE5F9" w14:textId="5A7CC85A" w:rsidR="00316FA0" w:rsidRDefault="00083509" w:rsidP="00083509">
      <w:pPr>
        <w:spacing w:line="260" w:lineRule="exact"/>
        <w:rPr>
          <w:b/>
          <w:caps/>
          <w:szCs w:val="22"/>
          <w:lang w:val="es-419"/>
        </w:rPr>
      </w:pPr>
      <w:r w:rsidRPr="00083509">
        <w:rPr>
          <w:b/>
          <w:caps/>
          <w:color w:val="000000"/>
          <w:szCs w:val="22"/>
          <w:lang w:val="es-ES_tradnl"/>
        </w:rPr>
        <w:lastRenderedPageBreak/>
        <w:t>CLAUSURA DE LA SESIÓN</w:t>
      </w:r>
    </w:p>
    <w:p w14:paraId="159570A7" w14:textId="77777777" w:rsidR="00316FA0" w:rsidRDefault="00316FA0" w:rsidP="005F642D">
      <w:pPr>
        <w:spacing w:line="260" w:lineRule="exact"/>
        <w:rPr>
          <w:caps/>
          <w:szCs w:val="22"/>
          <w:lang w:val="es-419"/>
        </w:rPr>
      </w:pPr>
    </w:p>
    <w:p w14:paraId="6A983A62" w14:textId="62E31BE2" w:rsidR="00316FA0" w:rsidRPr="00083509" w:rsidRDefault="00A97E88" w:rsidP="00083509">
      <w:pPr>
        <w:rPr>
          <w:szCs w:val="22"/>
          <w:lang w:val="es-419"/>
        </w:rPr>
      </w:pPr>
      <w:r>
        <w:rPr>
          <w:szCs w:val="22"/>
          <w:lang w:val="es-ES_tradnl"/>
        </w:rPr>
        <w:t>17.</w:t>
      </w:r>
      <w:r w:rsidRPr="00316FA0">
        <w:rPr>
          <w:szCs w:val="22"/>
          <w:lang w:val="es-DO"/>
        </w:rPr>
        <w:tab/>
      </w:r>
      <w:r w:rsidR="00083509" w:rsidRPr="00083509">
        <w:rPr>
          <w:szCs w:val="22"/>
          <w:lang w:val="es-ES_tradnl"/>
        </w:rPr>
        <w:t>El presidente clausuró la sesión.</w:t>
      </w:r>
    </w:p>
    <w:p w14:paraId="6D04ADDF" w14:textId="77777777" w:rsidR="00316FA0" w:rsidRPr="0014263E" w:rsidRDefault="00316FA0" w:rsidP="005F642D">
      <w:pPr>
        <w:rPr>
          <w:szCs w:val="22"/>
          <w:lang w:val="es-419"/>
        </w:rPr>
      </w:pPr>
    </w:p>
    <w:p w14:paraId="7B2DC6B2" w14:textId="63534D01" w:rsidR="00316FA0" w:rsidRPr="0014263E" w:rsidRDefault="00A97E88" w:rsidP="0014263E">
      <w:pPr>
        <w:pStyle w:val="Endofdocument"/>
        <w:spacing w:after="600" w:line="240" w:lineRule="auto"/>
        <w:ind w:right="-142"/>
        <w:contextualSpacing w:val="0"/>
        <w:rPr>
          <w:i/>
          <w:sz w:val="22"/>
          <w:szCs w:val="22"/>
          <w:lang w:val="es-419"/>
        </w:rPr>
      </w:pPr>
      <w:r>
        <w:rPr>
          <w:i/>
          <w:sz w:val="22"/>
          <w:szCs w:val="22"/>
          <w:lang w:val="es-ES_tradnl"/>
        </w:rPr>
        <w:t>18.</w:t>
      </w:r>
      <w:r w:rsidRPr="00316FA0">
        <w:rPr>
          <w:szCs w:val="22"/>
          <w:lang w:val="es-DO"/>
        </w:rPr>
        <w:tab/>
      </w:r>
      <w:r w:rsidR="00083509" w:rsidRPr="0014263E">
        <w:rPr>
          <w:i/>
          <w:sz w:val="22"/>
          <w:szCs w:val="22"/>
          <w:lang w:val="es-ES_tradnl"/>
        </w:rPr>
        <w:t>El Comité de Expertos aprobó por unanimidad el presente informe, por vía telemática, el 16 de mayo de 2022.</w:t>
      </w:r>
    </w:p>
    <w:p w14:paraId="6BAD736D" w14:textId="154B9657" w:rsidR="00A713CD" w:rsidRPr="0014263E" w:rsidRDefault="00083509" w:rsidP="0014263E">
      <w:pPr>
        <w:pStyle w:val="Endofdocument"/>
        <w:rPr>
          <w:sz w:val="22"/>
          <w:szCs w:val="22"/>
          <w:lang w:val="es-419"/>
        </w:rPr>
      </w:pPr>
      <w:r w:rsidRPr="00083509">
        <w:rPr>
          <w:sz w:val="22"/>
          <w:szCs w:val="22"/>
          <w:lang w:val="es-ES_tradnl"/>
        </w:rPr>
        <w:t>[Siguen los Anexos]</w:t>
      </w:r>
    </w:p>
    <w:sectPr w:rsidR="00A713CD" w:rsidRPr="0014263E" w:rsidSect="000C2E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ACFE8" w14:textId="77777777" w:rsidR="00B82393" w:rsidRDefault="00B82393">
      <w:r>
        <w:separator/>
      </w:r>
    </w:p>
  </w:endnote>
  <w:endnote w:type="continuationSeparator" w:id="0">
    <w:p w14:paraId="17D97CC4" w14:textId="77777777" w:rsidR="00B82393" w:rsidRDefault="00B82393" w:rsidP="003B38C1">
      <w:r>
        <w:separator/>
      </w:r>
    </w:p>
    <w:p w14:paraId="0D943636" w14:textId="77777777" w:rsidR="00B82393" w:rsidRPr="003B38C1" w:rsidRDefault="00B823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F6FB28" w14:textId="77777777" w:rsidR="00B82393" w:rsidRPr="003B38C1" w:rsidRDefault="00B823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3F4B" w14:textId="77777777" w:rsidR="00AF37D6" w:rsidRDefault="005E109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7F60E98B" wp14:editId="43EC7654">
              <wp:simplePos x="0" y="0"/>
              <wp:positionH relativeFrom="margin">
                <wp:posOffset>-842557</wp:posOffset>
              </wp:positionH>
              <wp:positionV relativeFrom="bottomMargin">
                <wp:posOffset>809439</wp:posOffset>
              </wp:positionV>
              <wp:extent cx="7620000" cy="197083"/>
              <wp:effectExtent l="0" t="0" r="0" b="0"/>
              <wp:wrapNone/>
              <wp:docPr id="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970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EB4D5" w14:textId="77777777" w:rsidR="009D7146" w:rsidRDefault="009D7146" w:rsidP="002D15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0E98B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3.75pt;width:600pt;height:15.5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" o:allowincell="f" filled="f" stroked="f" strokeweight=".5pt">
              <v:path arrowok="t"/>
              <v:textbox>
                <w:txbxContent>
                  <w:p w14:paraId="64BEB4D5" w14:textId="77777777" w:rsidR="009D7146" w:rsidRDefault="009D7146" w:rsidP="002D153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2AF0" w14:textId="77777777" w:rsidR="00AF37D6" w:rsidRDefault="005E109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1843FAB" wp14:editId="298B6414">
              <wp:simplePos x="0" y="0"/>
              <wp:positionH relativeFrom="margin">
                <wp:posOffset>-842557</wp:posOffset>
              </wp:positionH>
              <wp:positionV relativeFrom="page">
                <wp:align>bottom</wp:align>
              </wp:positionV>
              <wp:extent cx="7620000" cy="45719"/>
              <wp:effectExtent l="0" t="19050" r="0" b="12065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FE94C" w14:textId="77777777" w:rsidR="005E09D7" w:rsidRDefault="005E09D7" w:rsidP="002D15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43FA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0;width:600pt;height:3.6pt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yb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" o:allowincell="f" filled="f" stroked="f" strokeweight=".5pt">
              <v:path arrowok="t"/>
              <v:textbox>
                <w:txbxContent>
                  <w:p w14:paraId="51BFE94C" w14:textId="77777777" w:rsidR="005E09D7" w:rsidRDefault="005E09D7" w:rsidP="002D153E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63CA" w14:textId="77777777" w:rsidR="00AF37D6" w:rsidRDefault="005E109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38B2EC0" wp14:editId="6D8D73A2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8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CCC7A" w14:textId="77777777" w:rsidR="009D7146" w:rsidRDefault="009D7146" w:rsidP="002D15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B2EC0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zU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14:paraId="433CCC7A" w14:textId="77777777" w:rsidR="009D7146" w:rsidRDefault="009D7146" w:rsidP="002D153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E8AC" w14:textId="77777777" w:rsidR="00B82393" w:rsidRDefault="00B82393">
      <w:r>
        <w:separator/>
      </w:r>
    </w:p>
  </w:footnote>
  <w:footnote w:type="continuationSeparator" w:id="0">
    <w:p w14:paraId="7DCD7344" w14:textId="77777777" w:rsidR="00B82393" w:rsidRDefault="00B82393" w:rsidP="008B60B2">
      <w:r>
        <w:separator/>
      </w:r>
    </w:p>
    <w:p w14:paraId="4DCBF488" w14:textId="77777777" w:rsidR="00B82393" w:rsidRPr="00ED77FB" w:rsidRDefault="00B823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BD9CB2" w14:textId="77777777" w:rsidR="00B82393" w:rsidRPr="00ED77FB" w:rsidRDefault="00B823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F0BDE4C" w14:textId="0BFB749E" w:rsidR="008A3FA9" w:rsidRPr="008A3FA9" w:rsidRDefault="008A3FA9" w:rsidP="008A3FA9">
      <w:pPr>
        <w:pStyle w:val="FootnoteText"/>
        <w:rPr>
          <w:lang w:val="es-DO"/>
        </w:rPr>
      </w:pPr>
      <w:r w:rsidRPr="00083509">
        <w:rPr>
          <w:rStyle w:val="FootnoteReference"/>
        </w:rPr>
        <w:footnoteRef/>
      </w:r>
      <w:r w:rsidRPr="00083509">
        <w:rPr>
          <w:lang w:val="es-DO"/>
        </w:rPr>
        <w:t xml:space="preserve"> </w:t>
      </w:r>
      <w:r w:rsidRPr="00083509">
        <w:rPr>
          <w:lang w:val="es-ES_tradnl"/>
        </w:rPr>
        <w:t>Artículo 3.7)b) del Arreglo de Niza:  “Las decisiones relativas a la adopción de modificaciones a introducir en la Clasificación, serán adoptadas por mayoría de cuatro quintos de los países de la Unión especial representados y votantes</w:t>
      </w:r>
      <w:r w:rsidR="00083509">
        <w:rPr>
          <w:lang w:val="es-ES_tradnl"/>
        </w:rPr>
        <w:t xml:space="preserve">. </w:t>
      </w:r>
      <w:r w:rsidRPr="00083509">
        <w:rPr>
          <w:lang w:val="es-ES_tradnl"/>
        </w:rPr>
        <w:t>Por modificación deberá entenderse toda transferencia de productos o servicios de una clase a otra, o la creación de una nueva clase”.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D5AA" w14:textId="6855FF98" w:rsidR="005B048E" w:rsidRDefault="005B048E" w:rsidP="005B048E">
    <w:pPr>
      <w:jc w:val="right"/>
    </w:pPr>
    <w:r>
      <w:t>CLIM/CE/</w:t>
    </w:r>
    <w:r w:rsidR="00E37B6A">
      <w:t>31</w:t>
    </w:r>
    <w:r>
      <w:t>/2</w:t>
    </w:r>
  </w:p>
  <w:p w14:paraId="1FE6C1DD" w14:textId="6AA18652" w:rsidR="005B048E" w:rsidRDefault="005B048E" w:rsidP="005B048E">
    <w:pPr>
      <w:jc w:val="right"/>
    </w:pPr>
    <w:r>
      <w:t>p</w:t>
    </w:r>
    <w:r w:rsidR="000C2E44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2E44">
      <w:rPr>
        <w:noProof/>
      </w:rPr>
      <w:t>4</w:t>
    </w:r>
    <w:r>
      <w:fldChar w:fldCharType="end"/>
    </w:r>
  </w:p>
  <w:p w14:paraId="72A7EC5C" w14:textId="77777777" w:rsidR="005B048E" w:rsidRDefault="005B048E" w:rsidP="005B048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BEA2" w14:textId="6EB66D3E" w:rsidR="001D3AEC" w:rsidRDefault="001D3AEC" w:rsidP="00477D6B">
    <w:pPr>
      <w:jc w:val="right"/>
    </w:pPr>
    <w:r>
      <w:t>CLIM/CE/</w:t>
    </w:r>
    <w:r w:rsidR="000A7B47">
      <w:t>3</w:t>
    </w:r>
    <w:r w:rsidR="00B61223">
      <w:t>2</w:t>
    </w:r>
    <w:r>
      <w:t>/2</w:t>
    </w:r>
  </w:p>
  <w:p w14:paraId="4B31F6A9" w14:textId="7F3242A2" w:rsidR="001D3AEC" w:rsidRDefault="001D3AEC" w:rsidP="00477D6B">
    <w:pPr>
      <w:jc w:val="right"/>
    </w:pPr>
    <w:r>
      <w:t>p</w:t>
    </w:r>
    <w:r w:rsidR="00274B8D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3118">
      <w:rPr>
        <w:noProof/>
      </w:rPr>
      <w:t>4</w:t>
    </w:r>
    <w:r>
      <w:fldChar w:fldCharType="end"/>
    </w:r>
  </w:p>
  <w:p w14:paraId="56D098DF" w14:textId="77777777" w:rsidR="001D3AEC" w:rsidRDefault="001D3AE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36BB" w14:textId="77777777" w:rsidR="00AC371B" w:rsidRDefault="00AC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C17CD"/>
    <w:multiLevelType w:val="hybridMultilevel"/>
    <w:tmpl w:val="09B48442"/>
    <w:lvl w:ilvl="0" w:tplc="1E9816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7E57"/>
    <w:multiLevelType w:val="hybridMultilevel"/>
    <w:tmpl w:val="F558F1F8"/>
    <w:lvl w:ilvl="0" w:tplc="13867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1C28"/>
    <w:multiLevelType w:val="hybridMultilevel"/>
    <w:tmpl w:val="16D0AB76"/>
    <w:lvl w:ilvl="0" w:tplc="25F6C43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74A60D2"/>
    <w:multiLevelType w:val="hybridMultilevel"/>
    <w:tmpl w:val="C30A0DC6"/>
    <w:lvl w:ilvl="0" w:tplc="04090017">
      <w:start w:val="1"/>
      <w:numFmt w:val="lowerLetter"/>
      <w:lvlText w:val="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6434816"/>
    <w:multiLevelType w:val="hybridMultilevel"/>
    <w:tmpl w:val="61A6BA6E"/>
    <w:lvl w:ilvl="0" w:tplc="1E9816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614DB"/>
    <w:multiLevelType w:val="hybridMultilevel"/>
    <w:tmpl w:val="39E6B382"/>
    <w:lvl w:ilvl="0" w:tplc="52BA0A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A2CA2"/>
    <w:multiLevelType w:val="hybridMultilevel"/>
    <w:tmpl w:val="A98A822E"/>
    <w:lvl w:ilvl="0" w:tplc="AD7017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D0B0318"/>
    <w:multiLevelType w:val="hybridMultilevel"/>
    <w:tmpl w:val="3E524672"/>
    <w:lvl w:ilvl="0" w:tplc="04090017">
      <w:start w:val="1"/>
      <w:numFmt w:val="lowerLetter"/>
      <w:lvlText w:val="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921D97"/>
    <w:multiLevelType w:val="hybridMultilevel"/>
    <w:tmpl w:val="3C72466E"/>
    <w:lvl w:ilvl="0" w:tplc="E80818F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14205C"/>
    <w:multiLevelType w:val="hybridMultilevel"/>
    <w:tmpl w:val="F224FE0A"/>
    <w:lvl w:ilvl="0" w:tplc="0409000F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CE15FD1"/>
    <w:multiLevelType w:val="hybridMultilevel"/>
    <w:tmpl w:val="C206D70C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4"/>
  </w:num>
  <w:num w:numId="5">
    <w:abstractNumId w:val="4"/>
  </w:num>
  <w:num w:numId="6">
    <w:abstractNumId w:val="10"/>
  </w:num>
  <w:num w:numId="7">
    <w:abstractNumId w:val="6"/>
  </w:num>
  <w:num w:numId="8">
    <w:abstractNumId w:val="26"/>
  </w:num>
  <w:num w:numId="9">
    <w:abstractNumId w:val="7"/>
  </w:num>
  <w:num w:numId="10">
    <w:abstractNumId w:val="25"/>
  </w:num>
  <w:num w:numId="11">
    <w:abstractNumId w:val="29"/>
  </w:num>
  <w:num w:numId="12">
    <w:abstractNumId w:val="31"/>
  </w:num>
  <w:num w:numId="13">
    <w:abstractNumId w:val="13"/>
  </w:num>
  <w:num w:numId="14">
    <w:abstractNumId w:val="23"/>
  </w:num>
  <w:num w:numId="15">
    <w:abstractNumId w:val="12"/>
  </w:num>
  <w:num w:numId="16">
    <w:abstractNumId w:val="18"/>
  </w:num>
  <w:num w:numId="17">
    <w:abstractNumId w:val="16"/>
  </w:num>
  <w:num w:numId="18">
    <w:abstractNumId w:val="28"/>
  </w:num>
  <w:num w:numId="19">
    <w:abstractNumId w:val="11"/>
  </w:num>
  <w:num w:numId="20">
    <w:abstractNumId w:val="27"/>
  </w:num>
  <w:num w:numId="21">
    <w:abstractNumId w:val="14"/>
  </w:num>
  <w:num w:numId="22">
    <w:abstractNumId w:val="20"/>
  </w:num>
  <w:num w:numId="23">
    <w:abstractNumId w:val="17"/>
  </w:num>
  <w:num w:numId="24">
    <w:abstractNumId w:val="2"/>
  </w:num>
  <w:num w:numId="25">
    <w:abstractNumId w:val="30"/>
  </w:num>
  <w:num w:numId="26">
    <w:abstractNumId w:val="3"/>
  </w:num>
  <w:num w:numId="27">
    <w:abstractNumId w:val="15"/>
  </w:num>
  <w:num w:numId="28">
    <w:abstractNumId w:val="21"/>
  </w:num>
  <w:num w:numId="29">
    <w:abstractNumId w:val="19"/>
  </w:num>
  <w:num w:numId="30">
    <w:abstractNumId w:val="5"/>
  </w:num>
  <w:num w:numId="31">
    <w:abstractNumId w:val="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am Server TMs\Default"/>
    <w:docVar w:name="TextBaseURL" w:val="empty"/>
    <w:docVar w:name="UILng" w:val="en"/>
  </w:docVars>
  <w:rsids>
    <w:rsidRoot w:val="00903948"/>
    <w:rsid w:val="00002D3A"/>
    <w:rsid w:val="000042C0"/>
    <w:rsid w:val="00005827"/>
    <w:rsid w:val="000139B4"/>
    <w:rsid w:val="00013EC7"/>
    <w:rsid w:val="00015AF5"/>
    <w:rsid w:val="000257F8"/>
    <w:rsid w:val="00025BDE"/>
    <w:rsid w:val="000331EA"/>
    <w:rsid w:val="000357E2"/>
    <w:rsid w:val="00036158"/>
    <w:rsid w:val="00043CAA"/>
    <w:rsid w:val="0005216A"/>
    <w:rsid w:val="00056756"/>
    <w:rsid w:val="00061740"/>
    <w:rsid w:val="000655CA"/>
    <w:rsid w:val="00067CFD"/>
    <w:rsid w:val="00071219"/>
    <w:rsid w:val="00075432"/>
    <w:rsid w:val="00075FA3"/>
    <w:rsid w:val="000809E9"/>
    <w:rsid w:val="00081427"/>
    <w:rsid w:val="00081689"/>
    <w:rsid w:val="00082F31"/>
    <w:rsid w:val="00083509"/>
    <w:rsid w:val="0009471F"/>
    <w:rsid w:val="000968ED"/>
    <w:rsid w:val="000A1326"/>
    <w:rsid w:val="000A3741"/>
    <w:rsid w:val="000A415D"/>
    <w:rsid w:val="000A7B47"/>
    <w:rsid w:val="000B0218"/>
    <w:rsid w:val="000B2A59"/>
    <w:rsid w:val="000B690E"/>
    <w:rsid w:val="000B7A7A"/>
    <w:rsid w:val="000C09A7"/>
    <w:rsid w:val="000C0AFC"/>
    <w:rsid w:val="000C0D00"/>
    <w:rsid w:val="000C2E44"/>
    <w:rsid w:val="000C379F"/>
    <w:rsid w:val="000D40DB"/>
    <w:rsid w:val="000D4407"/>
    <w:rsid w:val="000E0B4B"/>
    <w:rsid w:val="000E6B59"/>
    <w:rsid w:val="000F00E4"/>
    <w:rsid w:val="000F5E56"/>
    <w:rsid w:val="000F77EB"/>
    <w:rsid w:val="00104941"/>
    <w:rsid w:val="0011202C"/>
    <w:rsid w:val="00120135"/>
    <w:rsid w:val="001237BA"/>
    <w:rsid w:val="00124221"/>
    <w:rsid w:val="00125B5F"/>
    <w:rsid w:val="001326D7"/>
    <w:rsid w:val="0013284B"/>
    <w:rsid w:val="00133089"/>
    <w:rsid w:val="00133F58"/>
    <w:rsid w:val="001362EE"/>
    <w:rsid w:val="001415D6"/>
    <w:rsid w:val="00142529"/>
    <w:rsid w:val="0014263E"/>
    <w:rsid w:val="00143158"/>
    <w:rsid w:val="001442B8"/>
    <w:rsid w:val="00146386"/>
    <w:rsid w:val="00150F37"/>
    <w:rsid w:val="0015216F"/>
    <w:rsid w:val="001535FB"/>
    <w:rsid w:val="00157411"/>
    <w:rsid w:val="00157754"/>
    <w:rsid w:val="00157C7F"/>
    <w:rsid w:val="001601F2"/>
    <w:rsid w:val="00166C34"/>
    <w:rsid w:val="0017567E"/>
    <w:rsid w:val="00177F5C"/>
    <w:rsid w:val="001832A6"/>
    <w:rsid w:val="0018554B"/>
    <w:rsid w:val="00185BF1"/>
    <w:rsid w:val="001952B5"/>
    <w:rsid w:val="00196347"/>
    <w:rsid w:val="001971F3"/>
    <w:rsid w:val="00197709"/>
    <w:rsid w:val="001A17E4"/>
    <w:rsid w:val="001A2FA2"/>
    <w:rsid w:val="001A4A05"/>
    <w:rsid w:val="001A56E9"/>
    <w:rsid w:val="001B0EDA"/>
    <w:rsid w:val="001B266E"/>
    <w:rsid w:val="001B5C3C"/>
    <w:rsid w:val="001C22F5"/>
    <w:rsid w:val="001C3FE2"/>
    <w:rsid w:val="001C613E"/>
    <w:rsid w:val="001C6DCF"/>
    <w:rsid w:val="001D09F1"/>
    <w:rsid w:val="001D3AEC"/>
    <w:rsid w:val="001D4E5E"/>
    <w:rsid w:val="001E13F4"/>
    <w:rsid w:val="001E230A"/>
    <w:rsid w:val="001E27EA"/>
    <w:rsid w:val="001F1C4B"/>
    <w:rsid w:val="001F5067"/>
    <w:rsid w:val="001F74B2"/>
    <w:rsid w:val="00201C26"/>
    <w:rsid w:val="00201F06"/>
    <w:rsid w:val="002054E0"/>
    <w:rsid w:val="002058F9"/>
    <w:rsid w:val="00206D74"/>
    <w:rsid w:val="00207F22"/>
    <w:rsid w:val="00211569"/>
    <w:rsid w:val="00212FCB"/>
    <w:rsid w:val="00214A27"/>
    <w:rsid w:val="002150AF"/>
    <w:rsid w:val="002158A0"/>
    <w:rsid w:val="00215AB6"/>
    <w:rsid w:val="00216D12"/>
    <w:rsid w:val="00220572"/>
    <w:rsid w:val="0022236E"/>
    <w:rsid w:val="00232AE9"/>
    <w:rsid w:val="00237ED6"/>
    <w:rsid w:val="00240733"/>
    <w:rsid w:val="0024387E"/>
    <w:rsid w:val="00247274"/>
    <w:rsid w:val="00252D09"/>
    <w:rsid w:val="00253D78"/>
    <w:rsid w:val="00255077"/>
    <w:rsid w:val="00260ECD"/>
    <w:rsid w:val="002634C4"/>
    <w:rsid w:val="00265674"/>
    <w:rsid w:val="00265912"/>
    <w:rsid w:val="00271D5F"/>
    <w:rsid w:val="002734E5"/>
    <w:rsid w:val="0027472B"/>
    <w:rsid w:val="00274B8D"/>
    <w:rsid w:val="00282D4F"/>
    <w:rsid w:val="002928D3"/>
    <w:rsid w:val="00292D0A"/>
    <w:rsid w:val="002A0052"/>
    <w:rsid w:val="002B0287"/>
    <w:rsid w:val="002B6EA6"/>
    <w:rsid w:val="002C1C89"/>
    <w:rsid w:val="002C257E"/>
    <w:rsid w:val="002C2EFD"/>
    <w:rsid w:val="002C3B10"/>
    <w:rsid w:val="002C7805"/>
    <w:rsid w:val="002D108C"/>
    <w:rsid w:val="002D153E"/>
    <w:rsid w:val="002D1A71"/>
    <w:rsid w:val="002D7CB3"/>
    <w:rsid w:val="002E0C5B"/>
    <w:rsid w:val="002E10DF"/>
    <w:rsid w:val="002E71BB"/>
    <w:rsid w:val="002F105C"/>
    <w:rsid w:val="002F1B2D"/>
    <w:rsid w:val="002F1F45"/>
    <w:rsid w:val="002F1FE6"/>
    <w:rsid w:val="002F4E68"/>
    <w:rsid w:val="00300113"/>
    <w:rsid w:val="00305576"/>
    <w:rsid w:val="00306C7C"/>
    <w:rsid w:val="003114BF"/>
    <w:rsid w:val="00312F7F"/>
    <w:rsid w:val="00316FA0"/>
    <w:rsid w:val="003216E2"/>
    <w:rsid w:val="00321921"/>
    <w:rsid w:val="00322243"/>
    <w:rsid w:val="00325E22"/>
    <w:rsid w:val="00331FA4"/>
    <w:rsid w:val="00332A11"/>
    <w:rsid w:val="00341017"/>
    <w:rsid w:val="00343F38"/>
    <w:rsid w:val="00347976"/>
    <w:rsid w:val="003518E4"/>
    <w:rsid w:val="0035715C"/>
    <w:rsid w:val="003573B4"/>
    <w:rsid w:val="00357A6C"/>
    <w:rsid w:val="00361450"/>
    <w:rsid w:val="00365019"/>
    <w:rsid w:val="003673CF"/>
    <w:rsid w:val="00372F0F"/>
    <w:rsid w:val="00383C79"/>
    <w:rsid w:val="003845C1"/>
    <w:rsid w:val="00384A7D"/>
    <w:rsid w:val="00394309"/>
    <w:rsid w:val="003A18EE"/>
    <w:rsid w:val="003A422C"/>
    <w:rsid w:val="003A6F89"/>
    <w:rsid w:val="003A78DB"/>
    <w:rsid w:val="003B38C1"/>
    <w:rsid w:val="003B4C19"/>
    <w:rsid w:val="003C1466"/>
    <w:rsid w:val="003C4968"/>
    <w:rsid w:val="003C6E56"/>
    <w:rsid w:val="003D09CB"/>
    <w:rsid w:val="003D5E82"/>
    <w:rsid w:val="003D6B7C"/>
    <w:rsid w:val="003E3A86"/>
    <w:rsid w:val="003E3E29"/>
    <w:rsid w:val="003E7882"/>
    <w:rsid w:val="003F01CD"/>
    <w:rsid w:val="003F46BA"/>
    <w:rsid w:val="003F6844"/>
    <w:rsid w:val="003F6A80"/>
    <w:rsid w:val="00401E0C"/>
    <w:rsid w:val="0040455E"/>
    <w:rsid w:val="004079F5"/>
    <w:rsid w:val="0041109D"/>
    <w:rsid w:val="004161CE"/>
    <w:rsid w:val="00421B99"/>
    <w:rsid w:val="0042289E"/>
    <w:rsid w:val="00423E3E"/>
    <w:rsid w:val="004245A5"/>
    <w:rsid w:val="0042786C"/>
    <w:rsid w:val="00427AF4"/>
    <w:rsid w:val="00432E53"/>
    <w:rsid w:val="0043369B"/>
    <w:rsid w:val="0043532C"/>
    <w:rsid w:val="00437A9A"/>
    <w:rsid w:val="0044050B"/>
    <w:rsid w:val="00440C1C"/>
    <w:rsid w:val="0044138C"/>
    <w:rsid w:val="004428E9"/>
    <w:rsid w:val="00450762"/>
    <w:rsid w:val="00455221"/>
    <w:rsid w:val="00457861"/>
    <w:rsid w:val="00460E8C"/>
    <w:rsid w:val="0046238B"/>
    <w:rsid w:val="004647DA"/>
    <w:rsid w:val="004719A2"/>
    <w:rsid w:val="00471EE0"/>
    <w:rsid w:val="00474062"/>
    <w:rsid w:val="004759E6"/>
    <w:rsid w:val="00475C75"/>
    <w:rsid w:val="0047621D"/>
    <w:rsid w:val="00477D6B"/>
    <w:rsid w:val="00481560"/>
    <w:rsid w:val="004818A8"/>
    <w:rsid w:val="00482539"/>
    <w:rsid w:val="0049242E"/>
    <w:rsid w:val="004931FF"/>
    <w:rsid w:val="004A1F36"/>
    <w:rsid w:val="004A3EF8"/>
    <w:rsid w:val="004A44A6"/>
    <w:rsid w:val="004A6335"/>
    <w:rsid w:val="004B0C63"/>
    <w:rsid w:val="004C6FDF"/>
    <w:rsid w:val="004D00D6"/>
    <w:rsid w:val="004D7984"/>
    <w:rsid w:val="004D7A10"/>
    <w:rsid w:val="004E1CD1"/>
    <w:rsid w:val="004E2B55"/>
    <w:rsid w:val="004E44EE"/>
    <w:rsid w:val="004E5F89"/>
    <w:rsid w:val="004F31B1"/>
    <w:rsid w:val="004F4E42"/>
    <w:rsid w:val="005019FF"/>
    <w:rsid w:val="005048D2"/>
    <w:rsid w:val="00510278"/>
    <w:rsid w:val="00511E07"/>
    <w:rsid w:val="00517030"/>
    <w:rsid w:val="00521780"/>
    <w:rsid w:val="00521FFA"/>
    <w:rsid w:val="005225BE"/>
    <w:rsid w:val="00524741"/>
    <w:rsid w:val="0053057A"/>
    <w:rsid w:val="005315FF"/>
    <w:rsid w:val="0053203A"/>
    <w:rsid w:val="0053516A"/>
    <w:rsid w:val="00536EC6"/>
    <w:rsid w:val="0053735C"/>
    <w:rsid w:val="00537582"/>
    <w:rsid w:val="00540FE1"/>
    <w:rsid w:val="00541ECE"/>
    <w:rsid w:val="0054212D"/>
    <w:rsid w:val="00554081"/>
    <w:rsid w:val="0055446B"/>
    <w:rsid w:val="0055462E"/>
    <w:rsid w:val="0055507D"/>
    <w:rsid w:val="00555DEA"/>
    <w:rsid w:val="0055616B"/>
    <w:rsid w:val="00556C09"/>
    <w:rsid w:val="00560A29"/>
    <w:rsid w:val="005615BC"/>
    <w:rsid w:val="0057033B"/>
    <w:rsid w:val="00574D82"/>
    <w:rsid w:val="00583EDB"/>
    <w:rsid w:val="005861CA"/>
    <w:rsid w:val="005902AD"/>
    <w:rsid w:val="005A28B5"/>
    <w:rsid w:val="005A2AE7"/>
    <w:rsid w:val="005A33B2"/>
    <w:rsid w:val="005A49F5"/>
    <w:rsid w:val="005A7034"/>
    <w:rsid w:val="005A73A4"/>
    <w:rsid w:val="005B048E"/>
    <w:rsid w:val="005B243C"/>
    <w:rsid w:val="005B31FF"/>
    <w:rsid w:val="005B41AE"/>
    <w:rsid w:val="005B45B2"/>
    <w:rsid w:val="005B6775"/>
    <w:rsid w:val="005B7B48"/>
    <w:rsid w:val="005C12F6"/>
    <w:rsid w:val="005C156C"/>
    <w:rsid w:val="005C3776"/>
    <w:rsid w:val="005C474D"/>
    <w:rsid w:val="005C6649"/>
    <w:rsid w:val="005D1B88"/>
    <w:rsid w:val="005D544B"/>
    <w:rsid w:val="005D5530"/>
    <w:rsid w:val="005D68E6"/>
    <w:rsid w:val="005E09D7"/>
    <w:rsid w:val="005E109D"/>
    <w:rsid w:val="005E2020"/>
    <w:rsid w:val="005E45A3"/>
    <w:rsid w:val="005F642D"/>
    <w:rsid w:val="006007B1"/>
    <w:rsid w:val="006010CC"/>
    <w:rsid w:val="0060164E"/>
    <w:rsid w:val="00601654"/>
    <w:rsid w:val="006044B5"/>
    <w:rsid w:val="00604B40"/>
    <w:rsid w:val="00605827"/>
    <w:rsid w:val="00612DFA"/>
    <w:rsid w:val="00613CC1"/>
    <w:rsid w:val="00615D3B"/>
    <w:rsid w:val="00616F1F"/>
    <w:rsid w:val="00622AF7"/>
    <w:rsid w:val="00622F26"/>
    <w:rsid w:val="006239AB"/>
    <w:rsid w:val="00625D0F"/>
    <w:rsid w:val="00625DED"/>
    <w:rsid w:val="00626A7B"/>
    <w:rsid w:val="00630DDD"/>
    <w:rsid w:val="00633485"/>
    <w:rsid w:val="00636735"/>
    <w:rsid w:val="00641CAE"/>
    <w:rsid w:val="00642DB5"/>
    <w:rsid w:val="00646050"/>
    <w:rsid w:val="00647AE2"/>
    <w:rsid w:val="00661F9F"/>
    <w:rsid w:val="0066389D"/>
    <w:rsid w:val="00664519"/>
    <w:rsid w:val="00665DE8"/>
    <w:rsid w:val="00670E0E"/>
    <w:rsid w:val="006713CA"/>
    <w:rsid w:val="00672616"/>
    <w:rsid w:val="00672E13"/>
    <w:rsid w:val="00674127"/>
    <w:rsid w:val="0067545A"/>
    <w:rsid w:val="00676C5C"/>
    <w:rsid w:val="00681B55"/>
    <w:rsid w:val="0069167E"/>
    <w:rsid w:val="00696368"/>
    <w:rsid w:val="006972D1"/>
    <w:rsid w:val="006A1678"/>
    <w:rsid w:val="006A2DC5"/>
    <w:rsid w:val="006A3AB5"/>
    <w:rsid w:val="006A4C6C"/>
    <w:rsid w:val="006A5D2B"/>
    <w:rsid w:val="006A79DE"/>
    <w:rsid w:val="006B4E62"/>
    <w:rsid w:val="006B65CC"/>
    <w:rsid w:val="006B6BBE"/>
    <w:rsid w:val="006B70D3"/>
    <w:rsid w:val="006B72F4"/>
    <w:rsid w:val="006C2333"/>
    <w:rsid w:val="006C6510"/>
    <w:rsid w:val="006D0C92"/>
    <w:rsid w:val="006E6DCC"/>
    <w:rsid w:val="006E7D0A"/>
    <w:rsid w:val="006F4007"/>
    <w:rsid w:val="006F648A"/>
    <w:rsid w:val="006F7852"/>
    <w:rsid w:val="00701028"/>
    <w:rsid w:val="00701545"/>
    <w:rsid w:val="00701687"/>
    <w:rsid w:val="00703856"/>
    <w:rsid w:val="00705904"/>
    <w:rsid w:val="00706D44"/>
    <w:rsid w:val="0071006F"/>
    <w:rsid w:val="00712B21"/>
    <w:rsid w:val="00712CF2"/>
    <w:rsid w:val="007139BA"/>
    <w:rsid w:val="007152C8"/>
    <w:rsid w:val="007201FF"/>
    <w:rsid w:val="00723632"/>
    <w:rsid w:val="007262DE"/>
    <w:rsid w:val="00727E9F"/>
    <w:rsid w:val="0073171D"/>
    <w:rsid w:val="00733BE2"/>
    <w:rsid w:val="00734B29"/>
    <w:rsid w:val="00735B04"/>
    <w:rsid w:val="007473FF"/>
    <w:rsid w:val="007524BB"/>
    <w:rsid w:val="0075297A"/>
    <w:rsid w:val="00765AF5"/>
    <w:rsid w:val="00770A42"/>
    <w:rsid w:val="007734DC"/>
    <w:rsid w:val="00775D38"/>
    <w:rsid w:val="00776F75"/>
    <w:rsid w:val="007807BB"/>
    <w:rsid w:val="00781D8C"/>
    <w:rsid w:val="00792EF8"/>
    <w:rsid w:val="007954E3"/>
    <w:rsid w:val="007957AD"/>
    <w:rsid w:val="007A2370"/>
    <w:rsid w:val="007A4F17"/>
    <w:rsid w:val="007A5731"/>
    <w:rsid w:val="007A5C5E"/>
    <w:rsid w:val="007B259B"/>
    <w:rsid w:val="007B336B"/>
    <w:rsid w:val="007C5D48"/>
    <w:rsid w:val="007C6124"/>
    <w:rsid w:val="007C65B7"/>
    <w:rsid w:val="007C6A00"/>
    <w:rsid w:val="007D1613"/>
    <w:rsid w:val="007D2B95"/>
    <w:rsid w:val="007D556A"/>
    <w:rsid w:val="007D6F6F"/>
    <w:rsid w:val="007D77D0"/>
    <w:rsid w:val="007E1926"/>
    <w:rsid w:val="007E484D"/>
    <w:rsid w:val="007F246B"/>
    <w:rsid w:val="007F2833"/>
    <w:rsid w:val="007F32AE"/>
    <w:rsid w:val="007F5803"/>
    <w:rsid w:val="007F6873"/>
    <w:rsid w:val="0080005C"/>
    <w:rsid w:val="00801CE5"/>
    <w:rsid w:val="00803896"/>
    <w:rsid w:val="00804A8F"/>
    <w:rsid w:val="00806BB9"/>
    <w:rsid w:val="008123A6"/>
    <w:rsid w:val="00814EE7"/>
    <w:rsid w:val="0081654E"/>
    <w:rsid w:val="0082026C"/>
    <w:rsid w:val="00824666"/>
    <w:rsid w:val="008319CD"/>
    <w:rsid w:val="0083322F"/>
    <w:rsid w:val="0083567C"/>
    <w:rsid w:val="00847393"/>
    <w:rsid w:val="00851211"/>
    <w:rsid w:val="00855E2C"/>
    <w:rsid w:val="00861690"/>
    <w:rsid w:val="00861755"/>
    <w:rsid w:val="0086280F"/>
    <w:rsid w:val="00867484"/>
    <w:rsid w:val="00873DA7"/>
    <w:rsid w:val="00881649"/>
    <w:rsid w:val="00897284"/>
    <w:rsid w:val="008A02A1"/>
    <w:rsid w:val="008A18AD"/>
    <w:rsid w:val="008A3FA9"/>
    <w:rsid w:val="008A4ADC"/>
    <w:rsid w:val="008A4B7A"/>
    <w:rsid w:val="008A697D"/>
    <w:rsid w:val="008A6A23"/>
    <w:rsid w:val="008B0A99"/>
    <w:rsid w:val="008B18EB"/>
    <w:rsid w:val="008B2CC1"/>
    <w:rsid w:val="008B60B2"/>
    <w:rsid w:val="008B647D"/>
    <w:rsid w:val="008B64D5"/>
    <w:rsid w:val="008B7732"/>
    <w:rsid w:val="008B7B9F"/>
    <w:rsid w:val="008C032C"/>
    <w:rsid w:val="008C0C28"/>
    <w:rsid w:val="008C20BF"/>
    <w:rsid w:val="008C2F23"/>
    <w:rsid w:val="008D09AC"/>
    <w:rsid w:val="008D1172"/>
    <w:rsid w:val="008D592C"/>
    <w:rsid w:val="008E0107"/>
    <w:rsid w:val="008E2444"/>
    <w:rsid w:val="008E3E4B"/>
    <w:rsid w:val="008E66DA"/>
    <w:rsid w:val="008F121B"/>
    <w:rsid w:val="008F32F4"/>
    <w:rsid w:val="008F3443"/>
    <w:rsid w:val="008F538A"/>
    <w:rsid w:val="008F5F00"/>
    <w:rsid w:val="00901E8E"/>
    <w:rsid w:val="00903948"/>
    <w:rsid w:val="00904B76"/>
    <w:rsid w:val="00906F0A"/>
    <w:rsid w:val="0090731E"/>
    <w:rsid w:val="00907FF2"/>
    <w:rsid w:val="00916EE2"/>
    <w:rsid w:val="00921BE5"/>
    <w:rsid w:val="009221D7"/>
    <w:rsid w:val="00931C24"/>
    <w:rsid w:val="00934221"/>
    <w:rsid w:val="00936964"/>
    <w:rsid w:val="00940466"/>
    <w:rsid w:val="0094415C"/>
    <w:rsid w:val="00954A2B"/>
    <w:rsid w:val="009555B8"/>
    <w:rsid w:val="009664C4"/>
    <w:rsid w:val="00966A22"/>
    <w:rsid w:val="0096722F"/>
    <w:rsid w:val="00967C1B"/>
    <w:rsid w:val="00970337"/>
    <w:rsid w:val="00973B20"/>
    <w:rsid w:val="009769B8"/>
    <w:rsid w:val="00980843"/>
    <w:rsid w:val="0098383C"/>
    <w:rsid w:val="00990093"/>
    <w:rsid w:val="009B6F14"/>
    <w:rsid w:val="009C2861"/>
    <w:rsid w:val="009C3441"/>
    <w:rsid w:val="009C5832"/>
    <w:rsid w:val="009C5957"/>
    <w:rsid w:val="009D28D3"/>
    <w:rsid w:val="009D309C"/>
    <w:rsid w:val="009D525C"/>
    <w:rsid w:val="009D7146"/>
    <w:rsid w:val="009D7B8B"/>
    <w:rsid w:val="009E2791"/>
    <w:rsid w:val="009E2E24"/>
    <w:rsid w:val="009E3F6F"/>
    <w:rsid w:val="009E6309"/>
    <w:rsid w:val="009E6FB4"/>
    <w:rsid w:val="009F499F"/>
    <w:rsid w:val="009F4DE4"/>
    <w:rsid w:val="009F4E4F"/>
    <w:rsid w:val="009F50CD"/>
    <w:rsid w:val="00A02569"/>
    <w:rsid w:val="00A17CBF"/>
    <w:rsid w:val="00A24EBD"/>
    <w:rsid w:val="00A30D7B"/>
    <w:rsid w:val="00A31713"/>
    <w:rsid w:val="00A42DAF"/>
    <w:rsid w:val="00A45BD8"/>
    <w:rsid w:val="00A529C0"/>
    <w:rsid w:val="00A532CC"/>
    <w:rsid w:val="00A534EE"/>
    <w:rsid w:val="00A625C6"/>
    <w:rsid w:val="00A6735C"/>
    <w:rsid w:val="00A67ABF"/>
    <w:rsid w:val="00A67C75"/>
    <w:rsid w:val="00A713CD"/>
    <w:rsid w:val="00A71C57"/>
    <w:rsid w:val="00A74CD2"/>
    <w:rsid w:val="00A869B7"/>
    <w:rsid w:val="00A914CE"/>
    <w:rsid w:val="00A958C2"/>
    <w:rsid w:val="00A95D3F"/>
    <w:rsid w:val="00A97E88"/>
    <w:rsid w:val="00AA16B2"/>
    <w:rsid w:val="00AA2FE6"/>
    <w:rsid w:val="00AA47D6"/>
    <w:rsid w:val="00AB0E5A"/>
    <w:rsid w:val="00AB7DFA"/>
    <w:rsid w:val="00AC205C"/>
    <w:rsid w:val="00AC371B"/>
    <w:rsid w:val="00AC5FE1"/>
    <w:rsid w:val="00AD2B42"/>
    <w:rsid w:val="00AD364F"/>
    <w:rsid w:val="00AE2522"/>
    <w:rsid w:val="00AF0A6B"/>
    <w:rsid w:val="00AF24F5"/>
    <w:rsid w:val="00AF37D6"/>
    <w:rsid w:val="00AF5416"/>
    <w:rsid w:val="00B04448"/>
    <w:rsid w:val="00B05A69"/>
    <w:rsid w:val="00B06772"/>
    <w:rsid w:val="00B11728"/>
    <w:rsid w:val="00B1174E"/>
    <w:rsid w:val="00B12EE7"/>
    <w:rsid w:val="00B24D5B"/>
    <w:rsid w:val="00B25B25"/>
    <w:rsid w:val="00B263AE"/>
    <w:rsid w:val="00B277BE"/>
    <w:rsid w:val="00B34C47"/>
    <w:rsid w:val="00B43843"/>
    <w:rsid w:val="00B43A5B"/>
    <w:rsid w:val="00B47FEC"/>
    <w:rsid w:val="00B525BE"/>
    <w:rsid w:val="00B6007D"/>
    <w:rsid w:val="00B607F7"/>
    <w:rsid w:val="00B61223"/>
    <w:rsid w:val="00B630E3"/>
    <w:rsid w:val="00B65E38"/>
    <w:rsid w:val="00B70D21"/>
    <w:rsid w:val="00B81BCC"/>
    <w:rsid w:val="00B82393"/>
    <w:rsid w:val="00B82F01"/>
    <w:rsid w:val="00B94C4C"/>
    <w:rsid w:val="00B9734B"/>
    <w:rsid w:val="00B97A1D"/>
    <w:rsid w:val="00BA219A"/>
    <w:rsid w:val="00BA3626"/>
    <w:rsid w:val="00BA3DA1"/>
    <w:rsid w:val="00BA614E"/>
    <w:rsid w:val="00BB2DFF"/>
    <w:rsid w:val="00BB335E"/>
    <w:rsid w:val="00BB34EE"/>
    <w:rsid w:val="00BB47C4"/>
    <w:rsid w:val="00BB52C5"/>
    <w:rsid w:val="00BC3E96"/>
    <w:rsid w:val="00BC4E28"/>
    <w:rsid w:val="00BD1850"/>
    <w:rsid w:val="00BD4D70"/>
    <w:rsid w:val="00BD5FCE"/>
    <w:rsid w:val="00BD77D0"/>
    <w:rsid w:val="00BE4241"/>
    <w:rsid w:val="00BF04F2"/>
    <w:rsid w:val="00BF182E"/>
    <w:rsid w:val="00BF6CE4"/>
    <w:rsid w:val="00BF7EC1"/>
    <w:rsid w:val="00C02D63"/>
    <w:rsid w:val="00C0589C"/>
    <w:rsid w:val="00C11536"/>
    <w:rsid w:val="00C11BFE"/>
    <w:rsid w:val="00C1395E"/>
    <w:rsid w:val="00C13BB7"/>
    <w:rsid w:val="00C15035"/>
    <w:rsid w:val="00C1539B"/>
    <w:rsid w:val="00C1671A"/>
    <w:rsid w:val="00C211FB"/>
    <w:rsid w:val="00C21420"/>
    <w:rsid w:val="00C21A06"/>
    <w:rsid w:val="00C24098"/>
    <w:rsid w:val="00C24606"/>
    <w:rsid w:val="00C30E5D"/>
    <w:rsid w:val="00C35124"/>
    <w:rsid w:val="00C46BF7"/>
    <w:rsid w:val="00C54D52"/>
    <w:rsid w:val="00C5665B"/>
    <w:rsid w:val="00C63410"/>
    <w:rsid w:val="00C70936"/>
    <w:rsid w:val="00C737BE"/>
    <w:rsid w:val="00C751EC"/>
    <w:rsid w:val="00C75213"/>
    <w:rsid w:val="00C75FFE"/>
    <w:rsid w:val="00C80DAB"/>
    <w:rsid w:val="00C84120"/>
    <w:rsid w:val="00C85A08"/>
    <w:rsid w:val="00C95D3D"/>
    <w:rsid w:val="00C976C2"/>
    <w:rsid w:val="00CA52C6"/>
    <w:rsid w:val="00CB4622"/>
    <w:rsid w:val="00CC1C6C"/>
    <w:rsid w:val="00CC2EAF"/>
    <w:rsid w:val="00CD2CD0"/>
    <w:rsid w:val="00CD4D22"/>
    <w:rsid w:val="00CD64B4"/>
    <w:rsid w:val="00CE295A"/>
    <w:rsid w:val="00D02941"/>
    <w:rsid w:val="00D02F4B"/>
    <w:rsid w:val="00D054A0"/>
    <w:rsid w:val="00D05EC4"/>
    <w:rsid w:val="00D062A4"/>
    <w:rsid w:val="00D075A9"/>
    <w:rsid w:val="00D10432"/>
    <w:rsid w:val="00D122D6"/>
    <w:rsid w:val="00D1441F"/>
    <w:rsid w:val="00D202FA"/>
    <w:rsid w:val="00D20B74"/>
    <w:rsid w:val="00D22C73"/>
    <w:rsid w:val="00D255CA"/>
    <w:rsid w:val="00D2711D"/>
    <w:rsid w:val="00D330C3"/>
    <w:rsid w:val="00D40043"/>
    <w:rsid w:val="00D40A5D"/>
    <w:rsid w:val="00D44759"/>
    <w:rsid w:val="00D45252"/>
    <w:rsid w:val="00D45B47"/>
    <w:rsid w:val="00D468F7"/>
    <w:rsid w:val="00D46E51"/>
    <w:rsid w:val="00D50B4B"/>
    <w:rsid w:val="00D54A8B"/>
    <w:rsid w:val="00D552C0"/>
    <w:rsid w:val="00D56D71"/>
    <w:rsid w:val="00D578B1"/>
    <w:rsid w:val="00D640B4"/>
    <w:rsid w:val="00D65381"/>
    <w:rsid w:val="00D71B4D"/>
    <w:rsid w:val="00D84BC3"/>
    <w:rsid w:val="00D90F8F"/>
    <w:rsid w:val="00D93A49"/>
    <w:rsid w:val="00D93D55"/>
    <w:rsid w:val="00D961D5"/>
    <w:rsid w:val="00D97942"/>
    <w:rsid w:val="00DA11DA"/>
    <w:rsid w:val="00DC0574"/>
    <w:rsid w:val="00DC62C8"/>
    <w:rsid w:val="00DC6870"/>
    <w:rsid w:val="00DC74CF"/>
    <w:rsid w:val="00DC7586"/>
    <w:rsid w:val="00DD5390"/>
    <w:rsid w:val="00DE1261"/>
    <w:rsid w:val="00DF0DEC"/>
    <w:rsid w:val="00DF49FB"/>
    <w:rsid w:val="00E0111E"/>
    <w:rsid w:val="00E014D5"/>
    <w:rsid w:val="00E019B9"/>
    <w:rsid w:val="00E02F88"/>
    <w:rsid w:val="00E03A69"/>
    <w:rsid w:val="00E03C34"/>
    <w:rsid w:val="00E10E40"/>
    <w:rsid w:val="00E10E7D"/>
    <w:rsid w:val="00E12599"/>
    <w:rsid w:val="00E14C20"/>
    <w:rsid w:val="00E159B4"/>
    <w:rsid w:val="00E1775B"/>
    <w:rsid w:val="00E239FE"/>
    <w:rsid w:val="00E335FE"/>
    <w:rsid w:val="00E346CC"/>
    <w:rsid w:val="00E37B6A"/>
    <w:rsid w:val="00E4199A"/>
    <w:rsid w:val="00E44FD5"/>
    <w:rsid w:val="00E50B45"/>
    <w:rsid w:val="00E51419"/>
    <w:rsid w:val="00E51987"/>
    <w:rsid w:val="00E530F6"/>
    <w:rsid w:val="00E564FB"/>
    <w:rsid w:val="00E60711"/>
    <w:rsid w:val="00E65D7A"/>
    <w:rsid w:val="00E70B77"/>
    <w:rsid w:val="00E76B13"/>
    <w:rsid w:val="00E806B0"/>
    <w:rsid w:val="00E80D18"/>
    <w:rsid w:val="00E829F1"/>
    <w:rsid w:val="00E82FA4"/>
    <w:rsid w:val="00E90CE1"/>
    <w:rsid w:val="00E92DAC"/>
    <w:rsid w:val="00EA29F2"/>
    <w:rsid w:val="00EA4A7C"/>
    <w:rsid w:val="00EA5B87"/>
    <w:rsid w:val="00EB4E3A"/>
    <w:rsid w:val="00EB67E1"/>
    <w:rsid w:val="00EC3AA3"/>
    <w:rsid w:val="00EC4E49"/>
    <w:rsid w:val="00EC5760"/>
    <w:rsid w:val="00EC5B5E"/>
    <w:rsid w:val="00EC78C8"/>
    <w:rsid w:val="00EC7A93"/>
    <w:rsid w:val="00ED0B84"/>
    <w:rsid w:val="00ED0FB6"/>
    <w:rsid w:val="00ED203F"/>
    <w:rsid w:val="00ED6210"/>
    <w:rsid w:val="00ED77FB"/>
    <w:rsid w:val="00EE45FA"/>
    <w:rsid w:val="00EE4EA9"/>
    <w:rsid w:val="00EE6700"/>
    <w:rsid w:val="00EF66E0"/>
    <w:rsid w:val="00F022CF"/>
    <w:rsid w:val="00F05B73"/>
    <w:rsid w:val="00F157A8"/>
    <w:rsid w:val="00F16651"/>
    <w:rsid w:val="00F17272"/>
    <w:rsid w:val="00F17AC9"/>
    <w:rsid w:val="00F25101"/>
    <w:rsid w:val="00F4001C"/>
    <w:rsid w:val="00F422BC"/>
    <w:rsid w:val="00F431A2"/>
    <w:rsid w:val="00F52EBE"/>
    <w:rsid w:val="00F54C6B"/>
    <w:rsid w:val="00F63118"/>
    <w:rsid w:val="00F650F7"/>
    <w:rsid w:val="00F6604D"/>
    <w:rsid w:val="00F66152"/>
    <w:rsid w:val="00F67C70"/>
    <w:rsid w:val="00F72481"/>
    <w:rsid w:val="00F7375F"/>
    <w:rsid w:val="00F73A9F"/>
    <w:rsid w:val="00F765AC"/>
    <w:rsid w:val="00F8031F"/>
    <w:rsid w:val="00F81402"/>
    <w:rsid w:val="00F857C0"/>
    <w:rsid w:val="00F864DB"/>
    <w:rsid w:val="00F95714"/>
    <w:rsid w:val="00FA1587"/>
    <w:rsid w:val="00FA4709"/>
    <w:rsid w:val="00FB0290"/>
    <w:rsid w:val="00FB4662"/>
    <w:rsid w:val="00FC1735"/>
    <w:rsid w:val="00FC1F6C"/>
    <w:rsid w:val="00FC767C"/>
    <w:rsid w:val="00FD25D7"/>
    <w:rsid w:val="00FD297E"/>
    <w:rsid w:val="00FD434D"/>
    <w:rsid w:val="00FE0144"/>
    <w:rsid w:val="00FE36D3"/>
    <w:rsid w:val="00FF0270"/>
    <w:rsid w:val="00FF152A"/>
    <w:rsid w:val="00FF1B03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358FB75"/>
  <w15:docId w15:val="{1B5932CB-0A73-4FE5-8F0B-1E5E4B7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F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character" w:styleId="EndnoteReference">
    <w:name w:val="endnote reference"/>
    <w:basedOn w:val="DefaultParagraphFont"/>
    <w:rsid w:val="00B04448"/>
    <w:rPr>
      <w:vertAlign w:val="superscript"/>
    </w:rPr>
  </w:style>
  <w:style w:type="paragraph" w:styleId="BalloonText">
    <w:name w:val="Balloon Text"/>
    <w:basedOn w:val="Normal"/>
    <w:link w:val="BalloonTextChar"/>
    <w:rsid w:val="00B2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B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A1F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F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F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1F36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A1F36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F642D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nice/nclef/public/en/project/CE3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en/project/CE3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ice/nclef/public/en/project/CE32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ice/nclef/public/en/project/CE3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classifications/nice/nclef/public/en/project/CE32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en" TargetMode="External"/><Relationship Id="rId14" Type="http://schemas.openxmlformats.org/officeDocument/2006/relationships/hyperlink" Target="https://www3.wipo.int/classifications/nice/nclef/public/e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DD14-7F99-4C3F-90D1-A81E1B22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1081</Words>
  <Characters>5719</Characters>
  <Application>Microsoft Office Word</Application>
  <DocSecurity>0</DocSecurity>
  <Lines>156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</vt:lpstr>
    </vt:vector>
  </TitlesOfParts>
  <Company>WIPO</Company>
  <LinksUpToDate>false</LinksUpToDate>
  <CharactersWithSpaces>6762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</dc:title>
  <dc:subject>Draft Report</dc:subject>
  <dc:creator>CARMINATI Christine</dc:creator>
  <cp:keywords>FOR OFFICIAL USE ONLY</cp:keywords>
  <cp:lastModifiedBy>CARMINATI Christine</cp:lastModifiedBy>
  <cp:revision>6</cp:revision>
  <cp:lastPrinted>2022-05-19T11:41:00Z</cp:lastPrinted>
  <dcterms:created xsi:type="dcterms:W3CDTF">2022-05-19T11:34:00Z</dcterms:created>
  <dcterms:modified xsi:type="dcterms:W3CDTF">2022-05-19T11:41:00Z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aacae84a-3380-4ad8-a1df-c06b83f08927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