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25A5597" w14:textId="77777777" w:rsidTr="00903948">
        <w:trPr>
          <w:trHeight w:val="2336"/>
        </w:trPr>
        <w:tc>
          <w:tcPr>
            <w:tcW w:w="4513" w:type="dxa"/>
            <w:tcBorders>
              <w:bottom w:val="single" w:sz="4" w:space="0" w:color="auto"/>
            </w:tcBorders>
            <w:tcMar>
              <w:bottom w:w="170" w:type="dxa"/>
            </w:tcMar>
          </w:tcPr>
          <w:p w14:paraId="2A8720D6"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1D0384EA" w14:textId="77777777" w:rsidR="00EC4E49" w:rsidRPr="008B2CC1" w:rsidRDefault="007B336B" w:rsidP="00916EE2">
            <w:r>
              <w:rPr>
                <w:noProof/>
                <w:lang w:val="es-CL" w:eastAsia="es-CL"/>
              </w:rPr>
              <w:drawing>
                <wp:inline distT="0" distB="0" distL="0" distR="0" wp14:anchorId="7831FD7A" wp14:editId="30D62C47">
                  <wp:extent cx="1859280" cy="1325880"/>
                  <wp:effectExtent l="0" t="0" r="7620" b="7620"/>
                  <wp:docPr id="1" name="Picture 1"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B0ED050" w14:textId="77777777" w:rsidR="00EC4E49" w:rsidRPr="008B2CC1" w:rsidRDefault="00EC4E49" w:rsidP="00916EE2">
            <w:pPr>
              <w:jc w:val="right"/>
            </w:pPr>
            <w:r>
              <w:rPr>
                <w:b/>
                <w:sz w:val="40"/>
              </w:rPr>
              <w:t>S</w:t>
            </w:r>
          </w:p>
        </w:tc>
      </w:tr>
      <w:tr w:rsidR="008B2CC1" w:rsidRPr="001832A6" w14:paraId="24975694"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0E927B78" w14:textId="6DD6E443" w:rsidR="008B2CC1" w:rsidRPr="0090731E" w:rsidRDefault="00220572" w:rsidP="002469E7">
            <w:pPr>
              <w:jc w:val="right"/>
              <w:rPr>
                <w:rFonts w:ascii="Arial Black" w:hAnsi="Arial Black"/>
                <w:caps/>
                <w:sz w:val="15"/>
              </w:rPr>
            </w:pPr>
            <w:bookmarkStart w:id="1" w:name="Code"/>
            <w:bookmarkEnd w:id="1"/>
            <w:r>
              <w:rPr>
                <w:rFonts w:ascii="Arial Black" w:hAnsi="Arial Black"/>
                <w:caps/>
                <w:sz w:val="15"/>
              </w:rPr>
              <w:t>CLIM/CE/33/2</w:t>
            </w:r>
          </w:p>
        </w:tc>
      </w:tr>
      <w:tr w:rsidR="008B2CC1" w:rsidRPr="001832A6" w14:paraId="470D55F1" w14:textId="77777777" w:rsidTr="00916EE2">
        <w:trPr>
          <w:trHeight w:hRule="exact" w:val="170"/>
        </w:trPr>
        <w:tc>
          <w:tcPr>
            <w:tcW w:w="9356" w:type="dxa"/>
            <w:gridSpan w:val="3"/>
            <w:noWrap/>
            <w:tcMar>
              <w:left w:w="0" w:type="dxa"/>
              <w:right w:w="0" w:type="dxa"/>
            </w:tcMar>
            <w:vAlign w:val="bottom"/>
          </w:tcPr>
          <w:p w14:paraId="5CE13724" w14:textId="7075551F" w:rsidR="008B2CC1" w:rsidRPr="0090731E" w:rsidRDefault="008B2CC1" w:rsidP="00916EE2">
            <w:pPr>
              <w:jc w:val="right"/>
              <w:rPr>
                <w:rFonts w:ascii="Arial Black" w:hAnsi="Arial Black"/>
                <w:caps/>
                <w:sz w:val="15"/>
              </w:rPr>
            </w:pPr>
            <w:r>
              <w:rPr>
                <w:rFonts w:ascii="Arial Black" w:hAnsi="Arial Black"/>
                <w:caps/>
                <w:sz w:val="15"/>
              </w:rPr>
              <w:t>ORIGINAL:</w:t>
            </w:r>
            <w:r w:rsidR="009F70B9">
              <w:rPr>
                <w:rFonts w:ascii="Arial Black" w:hAnsi="Arial Black"/>
                <w:caps/>
                <w:sz w:val="15"/>
              </w:rPr>
              <w:t xml:space="preserve"> </w:t>
            </w:r>
            <w:bookmarkStart w:id="2" w:name="Original"/>
            <w:bookmarkEnd w:id="2"/>
            <w:r>
              <w:rPr>
                <w:rFonts w:ascii="Arial Black" w:hAnsi="Arial Black"/>
                <w:caps/>
                <w:sz w:val="15"/>
              </w:rPr>
              <w:t>INGLÉS</w:t>
            </w:r>
          </w:p>
        </w:tc>
      </w:tr>
      <w:tr w:rsidR="008B2CC1" w:rsidRPr="001832A6" w14:paraId="4B2D387E" w14:textId="77777777" w:rsidTr="00916EE2">
        <w:trPr>
          <w:trHeight w:hRule="exact" w:val="198"/>
        </w:trPr>
        <w:tc>
          <w:tcPr>
            <w:tcW w:w="9356" w:type="dxa"/>
            <w:gridSpan w:val="3"/>
            <w:tcMar>
              <w:left w:w="0" w:type="dxa"/>
              <w:right w:w="0" w:type="dxa"/>
            </w:tcMar>
            <w:vAlign w:val="bottom"/>
          </w:tcPr>
          <w:p w14:paraId="65A6CDAC" w14:textId="2114944C" w:rsidR="008B2CC1" w:rsidRPr="0090731E" w:rsidRDefault="008B2CC1" w:rsidP="002469E7">
            <w:pPr>
              <w:jc w:val="right"/>
              <w:rPr>
                <w:rFonts w:ascii="Arial Black" w:hAnsi="Arial Black"/>
                <w:caps/>
                <w:sz w:val="15"/>
              </w:rPr>
            </w:pPr>
            <w:r>
              <w:rPr>
                <w:rFonts w:ascii="Arial Black" w:hAnsi="Arial Black"/>
                <w:caps/>
                <w:sz w:val="15"/>
              </w:rPr>
              <w:t>FECHA:</w:t>
            </w:r>
            <w:r w:rsidR="009F70B9">
              <w:rPr>
                <w:rFonts w:ascii="Arial Black" w:hAnsi="Arial Black"/>
                <w:caps/>
                <w:sz w:val="15"/>
              </w:rPr>
              <w:t xml:space="preserve"> </w:t>
            </w:r>
            <w:bookmarkStart w:id="3" w:name="Date"/>
            <w:bookmarkEnd w:id="3"/>
            <w:r>
              <w:rPr>
                <w:rFonts w:ascii="Arial Black" w:hAnsi="Arial Black"/>
                <w:caps/>
                <w:sz w:val="15"/>
              </w:rPr>
              <w:t>26 de mayo de 2023</w:t>
            </w:r>
          </w:p>
        </w:tc>
      </w:tr>
    </w:tbl>
    <w:p w14:paraId="20DD2107" w14:textId="77777777" w:rsidR="008B2CC1" w:rsidRPr="008B2CC1" w:rsidRDefault="008B2CC1" w:rsidP="008B2CC1"/>
    <w:p w14:paraId="5E48C88E" w14:textId="77777777" w:rsidR="008B2CC1" w:rsidRPr="008B2CC1" w:rsidRDefault="008B2CC1" w:rsidP="008B2CC1"/>
    <w:p w14:paraId="2942E693" w14:textId="77777777" w:rsidR="008B2CC1" w:rsidRPr="008B2CC1" w:rsidRDefault="008B2CC1" w:rsidP="008B2CC1"/>
    <w:p w14:paraId="069459F7" w14:textId="77777777" w:rsidR="008B2CC1" w:rsidRPr="008B2CC1" w:rsidRDefault="008B2CC1" w:rsidP="008B2CC1"/>
    <w:p w14:paraId="044C13EE" w14:textId="77777777" w:rsidR="008B2CC1" w:rsidRPr="008B2CC1" w:rsidRDefault="008B2CC1" w:rsidP="008B2CC1"/>
    <w:p w14:paraId="75A5319A" w14:textId="77777777" w:rsidR="008B2CC1" w:rsidRDefault="00903948" w:rsidP="008B2CC1">
      <w:pPr>
        <w:rPr>
          <w:b/>
          <w:sz w:val="28"/>
          <w:szCs w:val="28"/>
        </w:rPr>
      </w:pPr>
      <w:r>
        <w:rPr>
          <w:b/>
          <w:sz w:val="28"/>
        </w:rPr>
        <w:t>Unión Especial para la Clasificación Internacional de Productos y Servicios para el Registro de las Marcas (Unión de Niza)</w:t>
      </w:r>
    </w:p>
    <w:p w14:paraId="5D6CDE39" w14:textId="77777777" w:rsidR="00903948" w:rsidRDefault="00903948" w:rsidP="008B2CC1">
      <w:pPr>
        <w:rPr>
          <w:b/>
          <w:sz w:val="28"/>
          <w:szCs w:val="28"/>
        </w:rPr>
      </w:pPr>
    </w:p>
    <w:p w14:paraId="34962585" w14:textId="77777777" w:rsidR="00903948" w:rsidRPr="003845C1" w:rsidRDefault="00903948" w:rsidP="008B2CC1">
      <w:pPr>
        <w:rPr>
          <w:b/>
          <w:sz w:val="28"/>
          <w:szCs w:val="28"/>
        </w:rPr>
      </w:pPr>
      <w:r>
        <w:rPr>
          <w:b/>
          <w:sz w:val="28"/>
        </w:rPr>
        <w:t>Comité de Expertos</w:t>
      </w:r>
    </w:p>
    <w:p w14:paraId="7F2A3FF8" w14:textId="77777777" w:rsidR="003845C1" w:rsidRDefault="003845C1" w:rsidP="003845C1"/>
    <w:p w14:paraId="12E51970" w14:textId="77777777" w:rsidR="003845C1" w:rsidRDefault="003845C1" w:rsidP="003845C1"/>
    <w:p w14:paraId="1B7E350E" w14:textId="77777777" w:rsidR="000106EC" w:rsidRPr="000106EC" w:rsidRDefault="000106EC" w:rsidP="000106EC">
      <w:pPr>
        <w:rPr>
          <w:b/>
          <w:sz w:val="24"/>
          <w:szCs w:val="24"/>
        </w:rPr>
      </w:pPr>
      <w:r>
        <w:rPr>
          <w:b/>
          <w:sz w:val="24"/>
        </w:rPr>
        <w:t>Trigésima tercera sesión</w:t>
      </w:r>
    </w:p>
    <w:p w14:paraId="76C2FBB3" w14:textId="53C6290F" w:rsidR="008B2CC1" w:rsidRPr="00185BF1" w:rsidRDefault="000106EC" w:rsidP="000106EC">
      <w:pPr>
        <w:rPr>
          <w:b/>
          <w:sz w:val="24"/>
          <w:szCs w:val="24"/>
        </w:rPr>
      </w:pPr>
      <w:r>
        <w:rPr>
          <w:b/>
          <w:sz w:val="24"/>
        </w:rPr>
        <w:t>Ginebra, 1 a 5 de mayo de 2023</w:t>
      </w:r>
    </w:p>
    <w:p w14:paraId="313F08D3" w14:textId="77777777" w:rsidR="008B2CC1" w:rsidRPr="008B2CC1" w:rsidRDefault="008B2CC1" w:rsidP="008B2CC1"/>
    <w:p w14:paraId="5A4257CC" w14:textId="77777777" w:rsidR="008B2CC1" w:rsidRPr="008B2CC1" w:rsidRDefault="008B2CC1" w:rsidP="008B2CC1"/>
    <w:p w14:paraId="3E2F2273" w14:textId="77777777" w:rsidR="008B2CC1" w:rsidRPr="008B2CC1" w:rsidRDefault="008B2CC1" w:rsidP="008B2CC1"/>
    <w:p w14:paraId="31495A7D" w14:textId="716E8E4F" w:rsidR="008B2CC1" w:rsidRPr="003845C1" w:rsidRDefault="00903948" w:rsidP="008B2CC1">
      <w:pPr>
        <w:rPr>
          <w:caps/>
          <w:sz w:val="24"/>
        </w:rPr>
      </w:pPr>
      <w:bookmarkStart w:id="4" w:name="TitleOfDoc"/>
      <w:bookmarkEnd w:id="4"/>
      <w:r>
        <w:rPr>
          <w:caps/>
          <w:sz w:val="24"/>
        </w:rPr>
        <w:t>INFORME</w:t>
      </w:r>
    </w:p>
    <w:p w14:paraId="6621368A" w14:textId="77777777" w:rsidR="008B2CC1" w:rsidRPr="008B2CC1" w:rsidRDefault="008B2CC1" w:rsidP="008B2CC1"/>
    <w:p w14:paraId="233630C3" w14:textId="7761CFB3" w:rsidR="008B2CC1" w:rsidRPr="008B2CC1" w:rsidRDefault="002469E7" w:rsidP="008B2CC1">
      <w:pPr>
        <w:rPr>
          <w:i/>
        </w:rPr>
      </w:pPr>
      <w:bookmarkStart w:id="5" w:name="Prepared"/>
      <w:bookmarkEnd w:id="5"/>
      <w:r>
        <w:rPr>
          <w:i/>
        </w:rPr>
        <w:t>aprobado por el Comité de Expertos</w:t>
      </w:r>
    </w:p>
    <w:p w14:paraId="70F98081" w14:textId="77777777" w:rsidR="00AC205C" w:rsidRDefault="00AC205C"/>
    <w:p w14:paraId="2EC3C2A2" w14:textId="77777777" w:rsidR="000F5E56" w:rsidRDefault="000F5E56"/>
    <w:p w14:paraId="270E9EBD" w14:textId="77777777" w:rsidR="002928D3" w:rsidRDefault="002928D3"/>
    <w:p w14:paraId="76EC82FC" w14:textId="77777777" w:rsidR="00903948" w:rsidRPr="00A713CD" w:rsidRDefault="00903948" w:rsidP="00A713CD">
      <w:pPr>
        <w:spacing w:line="260" w:lineRule="exact"/>
        <w:rPr>
          <w:b/>
        </w:rPr>
      </w:pPr>
      <w:r>
        <w:rPr>
          <w:b/>
        </w:rPr>
        <w:t>INTRODUCCIÓN</w:t>
      </w:r>
    </w:p>
    <w:p w14:paraId="6A6A04F1" w14:textId="77777777" w:rsidR="00A713CD" w:rsidRPr="00A713CD" w:rsidRDefault="00A713CD" w:rsidP="00A713CD"/>
    <w:p w14:paraId="004C7416" w14:textId="2CD960EB" w:rsidR="00A713CD" w:rsidRPr="000E17B6" w:rsidRDefault="00903948" w:rsidP="00A713CD">
      <w:pPr>
        <w:spacing w:line="260" w:lineRule="exact"/>
        <w:rPr>
          <w:szCs w:val="22"/>
        </w:rPr>
      </w:pPr>
      <w:r w:rsidRPr="003A58E4">
        <w:fldChar w:fldCharType="begin"/>
      </w:r>
      <w:r w:rsidRPr="003A58E4">
        <w:instrText xml:space="preserve"> AUTONUM </w:instrText>
      </w:r>
      <w:r w:rsidRPr="003A58E4">
        <w:fldChar w:fldCharType="end"/>
      </w:r>
      <w:r>
        <w:tab/>
        <w:t>El Comité de Expertos de la Unión de Niza (Comité) celebró su trigésima tercera sesión en Ginebra del 1 al 5 de mayo de 2023 en formato híbrido.</w:t>
      </w:r>
      <w:r w:rsidR="009F70B9">
        <w:t xml:space="preserve"> </w:t>
      </w:r>
      <w:r>
        <w:t>Estuvieron representados en la sesión los siguientes miembros del Comité:</w:t>
      </w:r>
      <w:r w:rsidR="009F70B9">
        <w:t xml:space="preserve"> </w:t>
      </w:r>
      <w:r>
        <w:t>Alemania, Arabia Saudita, Argelia, Australia, Austria, Belarús, Canadá, China, Croacia, Dinamarca, Egipto, Eslovaquia, España, Estados Unidos de América, Estonia, Federación de Rusia, Finlandia, Francia, Georgia, Grecia, Hungría, India, Irlanda, Israel, Italia, Japón, Kazajstán, Kirguistán, Letonia, Lituania, Marruecos, México, Noruega, Nueva Zelandia, Países Bajos, Perú, Polonia, Portugal, Reino Unido, República Checa, República de Corea, República de Moldova, Rumania, Singapur, Suecia, Suiza, Trinidad y Tabago, Türkiye, Ucrania y Uruguay (50).</w:t>
      </w:r>
      <w:r w:rsidR="009F70B9">
        <w:t xml:space="preserve"> </w:t>
      </w:r>
      <w:r>
        <w:t>Los siguientes Estados estuvieron representados por observadores:</w:t>
      </w:r>
      <w:r w:rsidR="009F70B9">
        <w:t xml:space="preserve"> </w:t>
      </w:r>
      <w:r>
        <w:t>Angola, Brasil, Colombia, Côte d'Ivoire, Filipinas, Iraq, Madagascar y Tailandia (8).</w:t>
      </w:r>
      <w:r w:rsidR="009F70B9">
        <w:t xml:space="preserve"> </w:t>
      </w:r>
      <w:r>
        <w:t>Los representantes de las siguientes organizaciones intergubernamentales internacionales participaron en la sesión en calidad de observadores:</w:t>
      </w:r>
      <w:r w:rsidR="009F70B9">
        <w:t xml:space="preserve"> </w:t>
      </w:r>
      <w:r>
        <w:t>Organización Africana de la Propiedad Intelectual (OAPI), Organización Regional Africana de la Propiedad Intelectual (ARIPO), Oficina de Propiedad Intelectual del Benelux (BOIP) y Unión Europea (UE).</w:t>
      </w:r>
      <w:r w:rsidR="009F70B9">
        <w:t xml:space="preserve"> </w:t>
      </w:r>
      <w:r>
        <w:t>Asistieron a la sesión, en calidad de observadores, representantes de las siguientes organizaciones no gubernamentales:</w:t>
      </w:r>
      <w:r w:rsidR="009F70B9">
        <w:t xml:space="preserve"> </w:t>
      </w:r>
      <w:r>
        <w:t xml:space="preserve">Asociación para la Protección de la Propiedad Intelectual (AIPPI), Asociación Europea de Estudiantes de Derecho (ELSA International), Instituto de Propiedad Intelectual del Canadá (IPIC), Asociación Internacional de Marcas (INTA) </w:t>
      </w:r>
      <w:r>
        <w:lastRenderedPageBreak/>
        <w:t>y Asociación Japonesa de Abogados de Patentes (JPAA).</w:t>
      </w:r>
      <w:r w:rsidR="009F70B9">
        <w:t xml:space="preserve"> </w:t>
      </w:r>
      <w:r>
        <w:t>La lista de participantes figura en el Anexo I del presente informe.</w:t>
      </w:r>
    </w:p>
    <w:p w14:paraId="100E1E00" w14:textId="77777777" w:rsidR="00903948" w:rsidRPr="00220572" w:rsidRDefault="00903948" w:rsidP="00A713CD">
      <w:pPr>
        <w:spacing w:line="260" w:lineRule="exact"/>
        <w:rPr>
          <w:color w:val="000000" w:themeColor="text1"/>
          <w:szCs w:val="22"/>
        </w:rPr>
      </w:pPr>
    </w:p>
    <w:p w14:paraId="08A1ADB6" w14:textId="0EE7AF04" w:rsidR="00A713CD" w:rsidRPr="00185BF1" w:rsidRDefault="00903948" w:rsidP="00A713CD">
      <w:pPr>
        <w:spacing w:line="260" w:lineRule="exact"/>
      </w:pPr>
      <w:r w:rsidRPr="00185BF1">
        <w:fldChar w:fldCharType="begin"/>
      </w:r>
      <w:r w:rsidRPr="00185BF1">
        <w:instrText xml:space="preserve"> AUTONUM </w:instrText>
      </w:r>
      <w:r w:rsidRPr="00185BF1">
        <w:fldChar w:fldCharType="end"/>
      </w:r>
      <w:r>
        <w:tab/>
        <w:t>La sesión fue inaugurada por el Sr. Ken-Ichiro Natsume, subdirector general del Sector de Infraestructuras y Plataformas de la OMPI, quien dio la bienvenida a los participantes.</w:t>
      </w:r>
    </w:p>
    <w:p w14:paraId="3D91DA71" w14:textId="77777777" w:rsidR="00A713CD" w:rsidRDefault="00A713CD" w:rsidP="00A713CD">
      <w:pPr>
        <w:spacing w:line="260" w:lineRule="exact"/>
      </w:pPr>
    </w:p>
    <w:p w14:paraId="1F75FD59" w14:textId="77777777" w:rsidR="003D09CB" w:rsidRPr="007F246B" w:rsidRDefault="003D09CB"/>
    <w:p w14:paraId="0C84F249" w14:textId="77777777" w:rsidR="00A713CD" w:rsidRDefault="00A713CD" w:rsidP="00A713CD">
      <w:pPr>
        <w:spacing w:line="260" w:lineRule="exact"/>
        <w:rPr>
          <w:b/>
        </w:rPr>
      </w:pPr>
      <w:r>
        <w:rPr>
          <w:b/>
        </w:rPr>
        <w:t>MESA</w:t>
      </w:r>
    </w:p>
    <w:p w14:paraId="634FA1C6" w14:textId="77777777" w:rsidR="00A713CD" w:rsidRPr="00A713CD" w:rsidRDefault="00A713CD" w:rsidP="00A713CD">
      <w:pPr>
        <w:spacing w:line="260" w:lineRule="exact"/>
      </w:pPr>
    </w:p>
    <w:p w14:paraId="00FE1F2C" w14:textId="6882D1AA" w:rsidR="000E0B4B" w:rsidRPr="00220572" w:rsidRDefault="00A713CD" w:rsidP="00A713CD">
      <w:pPr>
        <w:spacing w:line="260" w:lineRule="exact"/>
        <w:rPr>
          <w:color w:val="000000" w:themeColor="text1"/>
          <w:szCs w:val="22"/>
        </w:rPr>
      </w:pPr>
      <w:r w:rsidRPr="00394309">
        <w:fldChar w:fldCharType="begin"/>
      </w:r>
      <w:r w:rsidRPr="00394309">
        <w:instrText xml:space="preserve"> AUTONUM </w:instrText>
      </w:r>
      <w:r w:rsidRPr="00394309">
        <w:fldChar w:fldCharType="end"/>
      </w:r>
      <w:r>
        <w:tab/>
        <w:t>El Comité eligió por unanimidad al Sr. Sébastien Tinguely (Suiza) como presidente, y a la Sra. Monique Choiniere (Estados Unidos de América) y a la Sra. Rula Cohay (Israel) como vicepresidentas.</w:t>
      </w:r>
    </w:p>
    <w:p w14:paraId="2FFE803A" w14:textId="77777777" w:rsidR="00A713CD" w:rsidRPr="00220572" w:rsidRDefault="00A713CD" w:rsidP="00A713CD">
      <w:pPr>
        <w:spacing w:line="260" w:lineRule="exact"/>
        <w:rPr>
          <w:color w:val="000000" w:themeColor="text1"/>
          <w:szCs w:val="22"/>
        </w:rPr>
      </w:pPr>
    </w:p>
    <w:p w14:paraId="5189EF1D" w14:textId="77777777" w:rsidR="00A713CD" w:rsidRPr="00185BF1" w:rsidRDefault="00A713CD" w:rsidP="00A713CD">
      <w:pPr>
        <w:spacing w:line="260" w:lineRule="exact"/>
        <w:rPr>
          <w:szCs w:val="22"/>
        </w:rPr>
      </w:pPr>
      <w:r w:rsidRPr="00185BF1">
        <w:fldChar w:fldCharType="begin"/>
      </w:r>
      <w:r w:rsidRPr="00185BF1">
        <w:instrText xml:space="preserve"> AUTONUM  </w:instrText>
      </w:r>
      <w:r w:rsidRPr="00185BF1">
        <w:fldChar w:fldCharType="end"/>
      </w:r>
      <w:r>
        <w:tab/>
        <w:t>La Sra. Alison Züger (OMPI) actuó como secretaria de la sesión.</w:t>
      </w:r>
    </w:p>
    <w:p w14:paraId="33A6F9CD" w14:textId="77777777" w:rsidR="00A713CD" w:rsidRDefault="00A713CD" w:rsidP="00A713CD">
      <w:pPr>
        <w:spacing w:line="260" w:lineRule="exact"/>
        <w:rPr>
          <w:szCs w:val="22"/>
        </w:rPr>
      </w:pPr>
    </w:p>
    <w:p w14:paraId="27C9E991" w14:textId="77777777" w:rsidR="00A713CD" w:rsidRPr="003A58E4" w:rsidRDefault="00A713CD" w:rsidP="00A713CD">
      <w:pPr>
        <w:spacing w:line="260" w:lineRule="exact"/>
        <w:rPr>
          <w:szCs w:val="22"/>
        </w:rPr>
      </w:pPr>
    </w:p>
    <w:p w14:paraId="08122D15" w14:textId="77777777" w:rsidR="00A713CD" w:rsidRDefault="00A713CD" w:rsidP="00A713CD">
      <w:pPr>
        <w:spacing w:line="260" w:lineRule="exact"/>
        <w:rPr>
          <w:b/>
        </w:rPr>
      </w:pPr>
      <w:r>
        <w:rPr>
          <w:b/>
        </w:rPr>
        <w:t>APROBACIÓN DEL ORDEN DEL DÍA</w:t>
      </w:r>
    </w:p>
    <w:p w14:paraId="3C582418" w14:textId="77777777" w:rsidR="00A713CD" w:rsidRPr="00A713CD" w:rsidRDefault="00A713CD" w:rsidP="00A713CD">
      <w:pPr>
        <w:spacing w:line="260" w:lineRule="exact"/>
      </w:pPr>
    </w:p>
    <w:p w14:paraId="1C6D7FAB" w14:textId="77777777" w:rsidR="00A713CD" w:rsidRPr="003518E4" w:rsidRDefault="00A713CD" w:rsidP="00A713CD">
      <w:pPr>
        <w:spacing w:line="260" w:lineRule="exact"/>
        <w:ind w:left="550"/>
        <w:rPr>
          <w:szCs w:val="22"/>
        </w:rPr>
      </w:pPr>
      <w:r w:rsidRPr="003518E4">
        <w:fldChar w:fldCharType="begin"/>
      </w:r>
      <w:r w:rsidRPr="003518E4">
        <w:instrText xml:space="preserve"> AUTONUM  </w:instrText>
      </w:r>
      <w:r w:rsidRPr="003518E4">
        <w:fldChar w:fldCharType="end"/>
      </w:r>
      <w:r>
        <w:tab/>
        <w:t xml:space="preserve"> El Comité aprobó por unanimidad el orden del día, que figura en el Anexo II del presente informe.</w:t>
      </w:r>
    </w:p>
    <w:p w14:paraId="2FC77985" w14:textId="77777777" w:rsidR="00A713CD" w:rsidRPr="003518E4" w:rsidRDefault="00A713CD" w:rsidP="00A713CD">
      <w:pPr>
        <w:spacing w:line="260" w:lineRule="exact"/>
        <w:rPr>
          <w:szCs w:val="22"/>
        </w:rPr>
      </w:pPr>
    </w:p>
    <w:p w14:paraId="128DB837" w14:textId="77777777" w:rsidR="00A713CD" w:rsidRPr="003518E4" w:rsidRDefault="00A713CD" w:rsidP="00A713CD">
      <w:pPr>
        <w:spacing w:line="260" w:lineRule="exact"/>
        <w:rPr>
          <w:szCs w:val="22"/>
        </w:rPr>
      </w:pPr>
    </w:p>
    <w:p w14:paraId="61E0C1BD" w14:textId="77777777" w:rsidR="00A713CD" w:rsidRPr="003518E4" w:rsidRDefault="00A713CD" w:rsidP="00A713CD">
      <w:pPr>
        <w:spacing w:line="260" w:lineRule="exact"/>
        <w:rPr>
          <w:b/>
        </w:rPr>
      </w:pPr>
      <w:r>
        <w:rPr>
          <w:b/>
        </w:rPr>
        <w:t>DEBATE, CONCLUSIONES Y DECISIONES</w:t>
      </w:r>
    </w:p>
    <w:p w14:paraId="06754C80" w14:textId="77777777" w:rsidR="00A713CD" w:rsidRPr="003518E4" w:rsidRDefault="00A713CD" w:rsidP="00A713CD">
      <w:pPr>
        <w:spacing w:line="260" w:lineRule="exact"/>
        <w:rPr>
          <w:szCs w:val="22"/>
        </w:rPr>
      </w:pPr>
    </w:p>
    <w:p w14:paraId="5D047FFF" w14:textId="42516478" w:rsidR="00A713CD" w:rsidRPr="003518E4" w:rsidRDefault="00A713CD" w:rsidP="00A713CD">
      <w:pPr>
        <w:spacing w:line="260" w:lineRule="exact"/>
        <w:rPr>
          <w:szCs w:val="22"/>
        </w:rPr>
      </w:pPr>
      <w:r w:rsidRPr="003518E4">
        <w:fldChar w:fldCharType="begin"/>
      </w:r>
      <w:r w:rsidRPr="003518E4">
        <w:instrText xml:space="preserve"> AUTONUM </w:instrText>
      </w:r>
      <w:r w:rsidRPr="003518E4">
        <w:fldChar w:fldCharType="end"/>
      </w:r>
      <w:r>
        <w:tab/>
        <w:t>Tal como decidieron los órganos rectores de la OMPI en su décima serie de reuniones, celebrada del 24 de septiembre al 2 de octubre de 1979 (d</w:t>
      </w:r>
      <w:r w:rsidR="009430FC">
        <w:t>ocumento AB/X/32, párrafos 51 y </w:t>
      </w:r>
      <w:r>
        <w:t xml:space="preserve">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 El Comité acordó incluir un breve resumen sobre el debate general del tema </w:t>
      </w:r>
      <w:r w:rsidR="009430FC">
        <w:t>“</w:t>
      </w:r>
      <w:r>
        <w:t>NFT y el metaverso</w:t>
      </w:r>
      <w:r w:rsidR="009430FC">
        <w:t>”</w:t>
      </w:r>
      <w:r>
        <w:t xml:space="preserve"> en esta sesión.</w:t>
      </w:r>
    </w:p>
    <w:p w14:paraId="10AF4E01" w14:textId="77777777" w:rsidR="00A713CD" w:rsidRDefault="00A713CD" w:rsidP="00A713CD">
      <w:pPr>
        <w:spacing w:line="260" w:lineRule="exact"/>
        <w:rPr>
          <w:szCs w:val="22"/>
        </w:rPr>
      </w:pPr>
    </w:p>
    <w:p w14:paraId="30503336" w14:textId="77777777" w:rsidR="00A713CD" w:rsidRPr="00A823EC" w:rsidRDefault="00A713CD" w:rsidP="00A713CD">
      <w:pPr>
        <w:spacing w:line="260" w:lineRule="exact"/>
        <w:rPr>
          <w:szCs w:val="22"/>
        </w:rPr>
      </w:pPr>
    </w:p>
    <w:p w14:paraId="0A960150" w14:textId="77777777" w:rsidR="004B5482" w:rsidRPr="005418B8" w:rsidRDefault="004B5482" w:rsidP="004B5482">
      <w:pPr>
        <w:spacing w:line="260" w:lineRule="exact"/>
        <w:rPr>
          <w:b/>
          <w:szCs w:val="22"/>
        </w:rPr>
      </w:pPr>
      <w:r>
        <w:rPr>
          <w:b/>
        </w:rPr>
        <w:t>DECISIONES DEL COMITÉ</w:t>
      </w:r>
    </w:p>
    <w:p w14:paraId="37BD218C" w14:textId="77777777" w:rsidR="004B5482" w:rsidRDefault="004B5482" w:rsidP="004B5482">
      <w:pPr>
        <w:spacing w:line="260" w:lineRule="exact"/>
        <w:rPr>
          <w:szCs w:val="22"/>
        </w:rPr>
      </w:pPr>
    </w:p>
    <w:p w14:paraId="6DBCB646" w14:textId="68E735C9" w:rsidR="004B5482" w:rsidRDefault="004B5482" w:rsidP="004B5482">
      <w:pPr>
        <w:spacing w:line="260" w:lineRule="exact"/>
        <w:rPr>
          <w:szCs w:val="22"/>
        </w:rPr>
      </w:pPr>
      <w:r>
        <w:fldChar w:fldCharType="begin"/>
      </w:r>
      <w:r>
        <w:instrText xml:space="preserve"> AUTONUM  </w:instrText>
      </w:r>
      <w:r>
        <w:fldChar w:fldCharType="end"/>
      </w:r>
      <w:r>
        <w:tab/>
        <w:t>De conformidad con el artículo 3.7)a) y b) del Arreglo de Niza, las decisiones del Comité relativas a la aprobación de modificaciones</w:t>
      </w:r>
      <w:r>
        <w:rPr>
          <w:rStyle w:val="FootnoteReference"/>
          <w:szCs w:val="22"/>
        </w:rPr>
        <w:footnoteReference w:id="2"/>
      </w:r>
      <w:r>
        <w:t xml:space="preserve"> de la Clasificación de Niza requieren una mayoría de cuatro quintos de los países de la Unión de Niza representados y votantes en la sesión.</w:t>
      </w:r>
      <w:r w:rsidR="009F70B9">
        <w:t xml:space="preserve"> </w:t>
      </w:r>
      <w:r>
        <w:t>Las decisiones relativas a la aprobación de otros cambios en la Clasificación requieren una mayoría simple de los países de la Unión de Niza representados y votantes en la sesión.</w:t>
      </w:r>
      <w:r w:rsidR="009F70B9">
        <w:t xml:space="preserve"> </w:t>
      </w:r>
    </w:p>
    <w:p w14:paraId="7BA98107" w14:textId="77777777" w:rsidR="004B5482" w:rsidRDefault="004B5482" w:rsidP="004B5482">
      <w:pPr>
        <w:spacing w:line="260" w:lineRule="exact"/>
        <w:rPr>
          <w:szCs w:val="22"/>
        </w:rPr>
      </w:pPr>
    </w:p>
    <w:p w14:paraId="30C7F56F" w14:textId="77777777" w:rsidR="004B5482" w:rsidRDefault="004B5482" w:rsidP="004B5482">
      <w:pPr>
        <w:spacing w:line="260" w:lineRule="exact"/>
        <w:rPr>
          <w:szCs w:val="22"/>
        </w:rPr>
      </w:pPr>
    </w:p>
    <w:p w14:paraId="6FA9B119" w14:textId="6227541C" w:rsidR="008C2C98" w:rsidRPr="005418B8" w:rsidRDefault="004B5482" w:rsidP="008C2C98">
      <w:pPr>
        <w:spacing w:line="260" w:lineRule="exact"/>
        <w:rPr>
          <w:b/>
          <w:szCs w:val="22"/>
        </w:rPr>
      </w:pPr>
      <w:r>
        <w:rPr>
          <w:b/>
        </w:rPr>
        <w:t>ENTRADA EN VIGOR DE LAS DECISIONES DEL COMITÉ</w:t>
      </w:r>
    </w:p>
    <w:p w14:paraId="5BFBFC19" w14:textId="77777777" w:rsidR="008C2C98" w:rsidRDefault="008C2C98" w:rsidP="008C2C98">
      <w:pPr>
        <w:spacing w:line="260" w:lineRule="exact"/>
        <w:rPr>
          <w:szCs w:val="22"/>
        </w:rPr>
      </w:pPr>
    </w:p>
    <w:p w14:paraId="6AEE193D" w14:textId="6DDF1E0B" w:rsidR="00CB2427" w:rsidRPr="00316C09" w:rsidRDefault="00CB2427" w:rsidP="00316C09">
      <w:pPr>
        <w:pStyle w:val="ListParagraph"/>
        <w:numPr>
          <w:ilvl w:val="0"/>
          <w:numId w:val="31"/>
        </w:numPr>
        <w:spacing w:line="260" w:lineRule="exact"/>
        <w:ind w:left="540" w:firstLine="0"/>
        <w:rPr>
          <w:szCs w:val="22"/>
        </w:rPr>
      </w:pPr>
      <w:r>
        <w:t>De conformidad con la regla 7 de su reglamento interno, el Comité acordó que los cambios en la Clasificación que no supusieran una modifica</w:t>
      </w:r>
      <w:r w:rsidR="009430FC">
        <w:t>ción en el sentido del artículo </w:t>
      </w:r>
      <w:r>
        <w:t>3.7)b) del Arreglo de Niza entrarán en vigor el 1 de enero de 2024 y se incorporarán a una nueva versión de la Clasificación. Las modificaciones entrarán en vigor más adelante, en una fecha que determinará el Comité.</w:t>
      </w:r>
    </w:p>
    <w:p w14:paraId="4B4B36BD" w14:textId="77777777" w:rsidR="00CB2427" w:rsidRPr="00316C09" w:rsidRDefault="00CB2427" w:rsidP="00CB2427">
      <w:pPr>
        <w:spacing w:line="260" w:lineRule="exact"/>
        <w:ind w:left="550"/>
        <w:rPr>
          <w:szCs w:val="22"/>
        </w:rPr>
      </w:pPr>
    </w:p>
    <w:p w14:paraId="1F7FDAFC" w14:textId="656223E7" w:rsidR="00CB2427" w:rsidRPr="00316C09" w:rsidRDefault="00CB2427" w:rsidP="00316C09">
      <w:pPr>
        <w:pStyle w:val="ListParagraph"/>
        <w:numPr>
          <w:ilvl w:val="0"/>
          <w:numId w:val="32"/>
        </w:numPr>
        <w:spacing w:line="260" w:lineRule="exact"/>
        <w:ind w:left="540" w:firstLine="0"/>
        <w:rPr>
          <w:szCs w:val="22"/>
        </w:rPr>
      </w:pPr>
      <w:r>
        <w:lastRenderedPageBreak/>
        <w:t>El Comité tomó nota de que la Oficina Internacional preparará y publicará en línea la nueva versión de la Clasificación (12-2024), en inglés y francés, para finales de 2023.</w:t>
      </w:r>
      <w:r w:rsidR="009F70B9">
        <w:t xml:space="preserve"> </w:t>
      </w:r>
      <w:r>
        <w:t xml:space="preserve">La lista de productos y servicios en formato Excel, en inglés y francés, estará disponible en el </w:t>
      </w:r>
      <w:hyperlink r:id="rId9" w:history="1">
        <w:r>
          <w:rPr>
            <w:rStyle w:val="Hyperlink"/>
          </w:rPr>
          <w:t>foro electrónico</w:t>
        </w:r>
      </w:hyperlink>
      <w:r>
        <w:t xml:space="preserve"> a finales de junio de 2023.</w:t>
      </w:r>
    </w:p>
    <w:p w14:paraId="27CC7805" w14:textId="77777777" w:rsidR="00717E13" w:rsidRDefault="00717E13" w:rsidP="00717E13">
      <w:pPr>
        <w:spacing w:line="260" w:lineRule="exact"/>
        <w:rPr>
          <w:szCs w:val="22"/>
        </w:rPr>
      </w:pPr>
    </w:p>
    <w:p w14:paraId="6A250DD6" w14:textId="57582CF5" w:rsidR="00717E13" w:rsidRPr="00316C09" w:rsidRDefault="00717E13" w:rsidP="00614EB0">
      <w:pPr>
        <w:pStyle w:val="ListParagraph"/>
        <w:numPr>
          <w:ilvl w:val="0"/>
          <w:numId w:val="33"/>
        </w:numPr>
        <w:spacing w:line="260" w:lineRule="exact"/>
        <w:ind w:left="0" w:firstLine="0"/>
        <w:rPr>
          <w:szCs w:val="22"/>
        </w:rPr>
      </w:pPr>
      <w:r>
        <w:t>El Comité invitó a la Oficina Internacional a aprovechar la oportunidad para corregir los errores tipográficos o gramaticales evidentes que encontrara en el texto de la Clasificación y armonizar, en la medida de lo posible, el uso de la puntuación.</w:t>
      </w:r>
    </w:p>
    <w:p w14:paraId="39F1769D" w14:textId="4FA4F9F2" w:rsidR="00717E13" w:rsidRDefault="00717E13" w:rsidP="008C2C98">
      <w:pPr>
        <w:spacing w:line="260" w:lineRule="exact"/>
        <w:rPr>
          <w:szCs w:val="22"/>
        </w:rPr>
      </w:pPr>
    </w:p>
    <w:p w14:paraId="06E3A210" w14:textId="77777777" w:rsidR="00685D56" w:rsidRDefault="00685D56" w:rsidP="00DD69B7">
      <w:pPr>
        <w:spacing w:line="260" w:lineRule="exact"/>
        <w:rPr>
          <w:b/>
          <w:szCs w:val="22"/>
        </w:rPr>
      </w:pPr>
    </w:p>
    <w:p w14:paraId="78FF33D8" w14:textId="6C475062" w:rsidR="00DD69B7" w:rsidRDefault="00DD69B7" w:rsidP="00DD69B7">
      <w:pPr>
        <w:spacing w:line="260" w:lineRule="exact"/>
        <w:rPr>
          <w:b/>
          <w:szCs w:val="22"/>
        </w:rPr>
      </w:pPr>
      <w:r>
        <w:rPr>
          <w:b/>
        </w:rPr>
        <w:t>SEGMENTO EMPRESARIAL</w:t>
      </w:r>
    </w:p>
    <w:p w14:paraId="230622A8" w14:textId="1C866795" w:rsidR="00DD69B7" w:rsidRPr="00931C24" w:rsidRDefault="00DD69B7" w:rsidP="00DD69B7">
      <w:pPr>
        <w:spacing w:line="260" w:lineRule="exact"/>
        <w:rPr>
          <w:b/>
          <w:szCs w:val="22"/>
        </w:rPr>
      </w:pPr>
      <w:r>
        <w:rPr>
          <w:b/>
        </w:rPr>
        <w:t xml:space="preserve">LAS ASOCIACIONES DE USUARIOS PRESENTAN SUS CUESTIONES RELACIONADAS CON LA CLASIFICACIÓN DE NIZA </w:t>
      </w:r>
    </w:p>
    <w:p w14:paraId="3D6C46CC" w14:textId="4DB332E7" w:rsidR="00DD69B7" w:rsidRDefault="00DD69B7" w:rsidP="00DD69B7">
      <w:pPr>
        <w:spacing w:line="260" w:lineRule="exact"/>
        <w:rPr>
          <w:szCs w:val="22"/>
        </w:rPr>
      </w:pPr>
    </w:p>
    <w:p w14:paraId="6EB4B53C" w14:textId="2FFD8970" w:rsidR="00DD69B7" w:rsidRPr="008C7C72" w:rsidRDefault="005861BC" w:rsidP="008C7C72">
      <w:pPr>
        <w:pStyle w:val="ListParagraph"/>
        <w:numPr>
          <w:ilvl w:val="0"/>
          <w:numId w:val="34"/>
        </w:numPr>
        <w:spacing w:line="260" w:lineRule="exact"/>
        <w:ind w:left="0" w:firstLine="0"/>
        <w:rPr>
          <w:szCs w:val="22"/>
        </w:rPr>
      </w:pPr>
      <w:r>
        <w:t>La INTA expuso algunas posibles soluciones para hacer frente al creciente tamaño de la clase 9. El Comité recordó algunas propuestas y debates pertinentes de sesiones anteriores. La Oficina Internacional anunció que estudiará un nuevo proyecto sobre este tema.</w:t>
      </w:r>
    </w:p>
    <w:p w14:paraId="071598C0" w14:textId="77777777" w:rsidR="00DD69B7" w:rsidRPr="00FD15D7" w:rsidRDefault="00DD69B7" w:rsidP="008C2C98">
      <w:pPr>
        <w:spacing w:line="260" w:lineRule="exact"/>
        <w:rPr>
          <w:szCs w:val="22"/>
        </w:rPr>
      </w:pPr>
    </w:p>
    <w:p w14:paraId="072FAE88" w14:textId="0A6DDB7A" w:rsidR="00E00B7A" w:rsidRDefault="00E00B7A">
      <w:pPr>
        <w:rPr>
          <w:b/>
          <w:szCs w:val="22"/>
        </w:rPr>
      </w:pPr>
    </w:p>
    <w:p w14:paraId="5BDF2B31" w14:textId="40005DA7" w:rsidR="002C257E" w:rsidRPr="00931C24" w:rsidRDefault="002C257E" w:rsidP="00271D5F">
      <w:pPr>
        <w:spacing w:line="260" w:lineRule="exact"/>
        <w:rPr>
          <w:b/>
          <w:szCs w:val="22"/>
        </w:rPr>
      </w:pPr>
      <w:r>
        <w:rPr>
          <w:b/>
        </w:rPr>
        <w:t>EXAMEN DE LAS PROPUESTAS DEL GRUPO 1 (APROBACIÓN POR MAYORÍA DE CUATRO QUINTOS) TRAS LA VOTACIÓN 1 EN EL NCLRMS</w:t>
      </w:r>
    </w:p>
    <w:p w14:paraId="1B88D896" w14:textId="77777777" w:rsidR="002C257E" w:rsidRDefault="002C257E" w:rsidP="00271D5F">
      <w:pPr>
        <w:spacing w:line="260" w:lineRule="exact"/>
        <w:rPr>
          <w:szCs w:val="22"/>
        </w:rPr>
      </w:pPr>
    </w:p>
    <w:p w14:paraId="6BE9A78A" w14:textId="6329AAB5" w:rsidR="002C257E" w:rsidRPr="008C7C72" w:rsidRDefault="002C257E" w:rsidP="008C7C72">
      <w:pPr>
        <w:pStyle w:val="ListParagraph"/>
        <w:numPr>
          <w:ilvl w:val="0"/>
          <w:numId w:val="35"/>
        </w:numPr>
        <w:spacing w:line="260" w:lineRule="exact"/>
        <w:ind w:left="0" w:firstLine="0"/>
        <w:rPr>
          <w:szCs w:val="22"/>
        </w:rPr>
      </w:pPr>
      <w:r>
        <w:t xml:space="preserve">El debate se basó en el Grupo 1 del </w:t>
      </w:r>
      <w:hyperlink r:id="rId10" w:history="1">
        <w:r>
          <w:rPr>
            <w:rStyle w:val="Hyperlink"/>
          </w:rPr>
          <w:t>NCLRMS</w:t>
        </w:r>
      </w:hyperlink>
      <w:r>
        <w:t>, que contiene propuestas de modificaciones y otros cambios a la versión 2023 de la Clasificación, las cuales han recibido un apoyo mayoritario de cuatro quintos en la votación 1.</w:t>
      </w:r>
    </w:p>
    <w:p w14:paraId="7DCD4A0C" w14:textId="77777777" w:rsidR="002C257E" w:rsidRDefault="002C257E" w:rsidP="00271D5F">
      <w:pPr>
        <w:spacing w:line="260" w:lineRule="exact"/>
        <w:rPr>
          <w:szCs w:val="22"/>
        </w:rPr>
      </w:pPr>
    </w:p>
    <w:p w14:paraId="479EA45F" w14:textId="2662C968" w:rsidR="00735B04" w:rsidRPr="008C7C72" w:rsidRDefault="003B1626" w:rsidP="008C7C72">
      <w:pPr>
        <w:pStyle w:val="ListParagraph"/>
        <w:numPr>
          <w:ilvl w:val="0"/>
          <w:numId w:val="35"/>
        </w:numPr>
        <w:spacing w:line="260" w:lineRule="exact"/>
        <w:ind w:left="540" w:firstLine="0"/>
        <w:rPr>
          <w:color w:val="000000" w:themeColor="text1"/>
          <w:szCs w:val="22"/>
        </w:rPr>
      </w:pPr>
      <w:r>
        <w:t xml:space="preserve">A petición de los interesados, una propuesta se trasladó al Grupo 2. </w:t>
      </w:r>
      <w:r>
        <w:rPr>
          <w:color w:val="000000" w:themeColor="text1"/>
        </w:rPr>
        <w:t xml:space="preserve">El Comité acordó por unanimidad aprobar las propuestas restantes del Grupo 1. Las decisiones del Comité están disponibles en NCLRMS/Sessions/CE33/Group 1 (así como en el </w:t>
      </w:r>
      <w:hyperlink r:id="rId11" w:history="1">
        <w:r>
          <w:rPr>
            <w:rStyle w:val="Hyperlink"/>
          </w:rPr>
          <w:t>foro electrónico</w:t>
        </w:r>
      </w:hyperlink>
      <w:r>
        <w:rPr>
          <w:color w:val="000000" w:themeColor="text1"/>
        </w:rPr>
        <w:t xml:space="preserve">, proyecto </w:t>
      </w:r>
      <w:hyperlink r:id="rId12" w:history="1">
        <w:r>
          <w:rPr>
            <w:rStyle w:val="Hyperlink"/>
          </w:rPr>
          <w:t>CE330</w:t>
        </w:r>
      </w:hyperlink>
      <w:r>
        <w:t>).</w:t>
      </w:r>
    </w:p>
    <w:p w14:paraId="2C14ADA6" w14:textId="77777777" w:rsidR="00931C24" w:rsidRPr="00FD15D7" w:rsidRDefault="00931C24" w:rsidP="008C2C98">
      <w:pPr>
        <w:spacing w:line="260" w:lineRule="exact"/>
        <w:rPr>
          <w:szCs w:val="22"/>
        </w:rPr>
      </w:pPr>
    </w:p>
    <w:p w14:paraId="0312F2BB" w14:textId="1F191168" w:rsidR="007957AD" w:rsidRDefault="007957AD">
      <w:pPr>
        <w:rPr>
          <w:b/>
          <w:caps/>
          <w:szCs w:val="22"/>
        </w:rPr>
      </w:pPr>
    </w:p>
    <w:p w14:paraId="08F6A849" w14:textId="1BB7E062" w:rsidR="00A713CD" w:rsidRPr="00931C24" w:rsidRDefault="00A713CD" w:rsidP="00A713CD">
      <w:pPr>
        <w:spacing w:line="260" w:lineRule="exact"/>
        <w:rPr>
          <w:b/>
          <w:caps/>
          <w:szCs w:val="22"/>
        </w:rPr>
      </w:pPr>
      <w:r>
        <w:rPr>
          <w:b/>
          <w:caps/>
        </w:rPr>
        <w:t>EXAMEN DE LAS PROPUESTAS</w:t>
      </w:r>
      <w:r>
        <w:rPr>
          <w:b/>
        </w:rPr>
        <w:t xml:space="preserve"> DEL GRUPO 2 TRAS LA VOTACIÓN 1 EN EL NCLRMS</w:t>
      </w:r>
    </w:p>
    <w:p w14:paraId="79A29C69" w14:textId="77777777" w:rsidR="00931C24" w:rsidRDefault="00931C24" w:rsidP="00931C24">
      <w:pPr>
        <w:spacing w:line="260" w:lineRule="exact"/>
        <w:rPr>
          <w:szCs w:val="22"/>
        </w:rPr>
      </w:pPr>
    </w:p>
    <w:p w14:paraId="6E575933" w14:textId="16478671" w:rsidR="00A713CD" w:rsidRPr="008C7C72" w:rsidRDefault="00A713CD" w:rsidP="008C7C72">
      <w:pPr>
        <w:pStyle w:val="ListParagraph"/>
        <w:numPr>
          <w:ilvl w:val="0"/>
          <w:numId w:val="35"/>
        </w:numPr>
        <w:spacing w:line="260" w:lineRule="exact"/>
        <w:ind w:left="0" w:firstLine="0"/>
        <w:rPr>
          <w:color w:val="000000" w:themeColor="text1"/>
          <w:szCs w:val="22"/>
        </w:rPr>
      </w:pPr>
      <w:r>
        <w:rPr>
          <w:color w:val="000000" w:themeColor="text1"/>
        </w:rPr>
        <w:t>El debate se basó en el Grupo 2 del</w:t>
      </w:r>
      <w:r>
        <w:t xml:space="preserve"> </w:t>
      </w:r>
      <w:hyperlink r:id="rId13" w:history="1">
        <w:r>
          <w:rPr>
            <w:rStyle w:val="Hyperlink"/>
          </w:rPr>
          <w:t>NCLRMS</w:t>
        </w:r>
      </w:hyperlink>
      <w:r>
        <w:t xml:space="preserve"> (</w:t>
      </w:r>
      <w:r>
        <w:rPr>
          <w:color w:val="000000" w:themeColor="text1"/>
        </w:rPr>
        <w:t xml:space="preserve">a excepción de las propuestas contenidas en el tema </w:t>
      </w:r>
      <w:r w:rsidR="009430FC">
        <w:rPr>
          <w:color w:val="000000" w:themeColor="text1"/>
        </w:rPr>
        <w:t>“</w:t>
      </w:r>
      <w:r>
        <w:rPr>
          <w:color w:val="000000" w:themeColor="text1"/>
        </w:rPr>
        <w:t>NFT y el metaverso</w:t>
      </w:r>
      <w:r w:rsidR="009430FC">
        <w:rPr>
          <w:color w:val="000000" w:themeColor="text1"/>
        </w:rPr>
        <w:t>”</w:t>
      </w:r>
      <w:r>
        <w:rPr>
          <w:color w:val="000000" w:themeColor="text1"/>
        </w:rPr>
        <w:t xml:space="preserve"> que se describen en los párrafos 16 a 19), que contiene propuestas de modificaciones y otros cambios de la Clasificación, las cuales no han recibido el apoyo de una mayoría de cuatro quintos en la votación 1.</w:t>
      </w:r>
    </w:p>
    <w:p w14:paraId="2805EE31" w14:textId="77777777" w:rsidR="00601654" w:rsidRDefault="00601654" w:rsidP="00013EC7">
      <w:pPr>
        <w:spacing w:line="260" w:lineRule="exact"/>
        <w:rPr>
          <w:color w:val="000000" w:themeColor="text1"/>
          <w:szCs w:val="22"/>
        </w:rPr>
      </w:pPr>
    </w:p>
    <w:p w14:paraId="54E45EEB" w14:textId="792C3605" w:rsidR="00A713CD" w:rsidRPr="008C7C72" w:rsidRDefault="00A713CD" w:rsidP="008C7C72">
      <w:pPr>
        <w:pStyle w:val="ListParagraph"/>
        <w:numPr>
          <w:ilvl w:val="0"/>
          <w:numId w:val="35"/>
        </w:numPr>
        <w:spacing w:line="260" w:lineRule="exact"/>
        <w:ind w:left="540" w:firstLine="0"/>
        <w:rPr>
          <w:color w:val="000000" w:themeColor="text1"/>
          <w:szCs w:val="22"/>
        </w:rPr>
      </w:pPr>
      <w:r>
        <w:rPr>
          <w:color w:val="000000" w:themeColor="text1"/>
        </w:rPr>
        <w:t xml:space="preserve">El Comité aprobó un número considerable de modificaciones y otros cambios en la Clasificación. Las decisiones del Comité están disponibles en NCLRMS/Sessions/CE33/Group 2 (así como en el </w:t>
      </w:r>
      <w:hyperlink r:id="rId14" w:history="1">
        <w:r>
          <w:rPr>
            <w:rStyle w:val="Hyperlink"/>
          </w:rPr>
          <w:t>foro electrónico</w:t>
        </w:r>
      </w:hyperlink>
      <w:r>
        <w:rPr>
          <w:color w:val="000000" w:themeColor="text1"/>
        </w:rPr>
        <w:t xml:space="preserve">, proyecto </w:t>
      </w:r>
      <w:hyperlink r:id="rId15" w:history="1">
        <w:r>
          <w:rPr>
            <w:rStyle w:val="Hyperlink"/>
          </w:rPr>
          <w:t>CE330</w:t>
        </w:r>
      </w:hyperlink>
      <w:r>
        <w:t>).</w:t>
      </w:r>
    </w:p>
    <w:p w14:paraId="6F6206A0" w14:textId="00E67100" w:rsidR="00934221" w:rsidRDefault="00934221" w:rsidP="00934221">
      <w:pPr>
        <w:spacing w:line="260" w:lineRule="exact"/>
        <w:rPr>
          <w:color w:val="000000" w:themeColor="text1"/>
          <w:szCs w:val="22"/>
        </w:rPr>
      </w:pPr>
    </w:p>
    <w:p w14:paraId="2389C57F" w14:textId="75D110E5" w:rsidR="00664143" w:rsidRDefault="00664143" w:rsidP="00934221">
      <w:pPr>
        <w:spacing w:line="260" w:lineRule="exact"/>
        <w:rPr>
          <w:color w:val="000000" w:themeColor="text1"/>
          <w:szCs w:val="22"/>
        </w:rPr>
      </w:pPr>
    </w:p>
    <w:p w14:paraId="708213E7" w14:textId="464DE10F" w:rsidR="00664143" w:rsidRPr="008C7C72" w:rsidRDefault="007F759D" w:rsidP="00934221">
      <w:pPr>
        <w:spacing w:line="260" w:lineRule="exact"/>
        <w:rPr>
          <w:b/>
          <w:color w:val="000000" w:themeColor="text1"/>
          <w:szCs w:val="22"/>
        </w:rPr>
      </w:pPr>
      <w:r>
        <w:rPr>
          <w:b/>
          <w:color w:val="000000" w:themeColor="text1"/>
        </w:rPr>
        <w:t xml:space="preserve">EXAMEN DE LAS PROPUESTAS RELATIVAS AL TEMA </w:t>
      </w:r>
      <w:r w:rsidR="009430FC">
        <w:rPr>
          <w:b/>
          <w:color w:val="000000" w:themeColor="text1"/>
        </w:rPr>
        <w:t>“</w:t>
      </w:r>
      <w:r>
        <w:rPr>
          <w:b/>
          <w:color w:val="000000" w:themeColor="text1"/>
        </w:rPr>
        <w:t>NFT Y EL METAVERSO</w:t>
      </w:r>
      <w:r w:rsidR="009430FC">
        <w:rPr>
          <w:b/>
          <w:color w:val="000000" w:themeColor="text1"/>
        </w:rPr>
        <w:t>”</w:t>
      </w:r>
    </w:p>
    <w:p w14:paraId="415DD19F" w14:textId="1B6C4708" w:rsidR="00664143" w:rsidRDefault="00664143" w:rsidP="00934221">
      <w:pPr>
        <w:spacing w:line="260" w:lineRule="exact"/>
        <w:rPr>
          <w:color w:val="000000" w:themeColor="text1"/>
          <w:szCs w:val="22"/>
        </w:rPr>
      </w:pPr>
    </w:p>
    <w:p w14:paraId="23EDC936" w14:textId="661EB546" w:rsidR="00664143" w:rsidRPr="008C7C72" w:rsidRDefault="00664143" w:rsidP="008C7C72">
      <w:pPr>
        <w:pStyle w:val="ListParagraph"/>
        <w:numPr>
          <w:ilvl w:val="0"/>
          <w:numId w:val="35"/>
        </w:numPr>
        <w:spacing w:line="260" w:lineRule="exact"/>
        <w:ind w:left="0" w:firstLine="0"/>
        <w:rPr>
          <w:color w:val="000000" w:themeColor="text1"/>
          <w:szCs w:val="22"/>
        </w:rPr>
      </w:pPr>
      <w:r>
        <w:rPr>
          <w:color w:val="000000" w:themeColor="text1"/>
        </w:rPr>
        <w:t>El debate se basó en las propuestas, presentadas por diversas oficinas, relativas a la inclusión, en la lista alfabética, de productos y servicios de este campo de reciente aparición.</w:t>
      </w:r>
    </w:p>
    <w:p w14:paraId="71A13E90" w14:textId="7BC4D400" w:rsidR="00664143" w:rsidRDefault="00664143" w:rsidP="00934221">
      <w:pPr>
        <w:spacing w:line="260" w:lineRule="exact"/>
        <w:rPr>
          <w:color w:val="000000" w:themeColor="text1"/>
          <w:szCs w:val="22"/>
        </w:rPr>
      </w:pPr>
    </w:p>
    <w:p w14:paraId="49060A1F" w14:textId="33C47EF2" w:rsidR="00664143" w:rsidRPr="00DD50CC" w:rsidRDefault="00664143" w:rsidP="00DD50CC">
      <w:pPr>
        <w:pStyle w:val="ListParagraph"/>
        <w:numPr>
          <w:ilvl w:val="0"/>
          <w:numId w:val="35"/>
        </w:numPr>
        <w:spacing w:line="260" w:lineRule="exact"/>
        <w:ind w:left="0" w:firstLine="0"/>
        <w:rPr>
          <w:color w:val="000000" w:themeColor="text1"/>
          <w:szCs w:val="22"/>
        </w:rPr>
      </w:pPr>
      <w:r>
        <w:rPr>
          <w:color w:val="000000" w:themeColor="text1"/>
        </w:rPr>
        <w:t>Con el fin de mantener un diálogo general sobre este tema que sirva de base para debates coherentes sobre las propuestas individuales presentadas, y para agilizar esos debates, la Oficina Internacional envió una encuesta informal en línea de siete preguntas a la que respondieron 35 Estados miembros de Niza.</w:t>
      </w:r>
    </w:p>
    <w:p w14:paraId="77C74CAD" w14:textId="2BC3B1B2" w:rsidR="00664143" w:rsidRDefault="00664143" w:rsidP="00934221">
      <w:pPr>
        <w:spacing w:line="260" w:lineRule="exact"/>
        <w:rPr>
          <w:color w:val="000000" w:themeColor="text1"/>
          <w:szCs w:val="22"/>
        </w:rPr>
      </w:pPr>
    </w:p>
    <w:p w14:paraId="11284AB6" w14:textId="6B5D52F6" w:rsidR="009E7769" w:rsidRPr="00DD50CC" w:rsidRDefault="00664143" w:rsidP="00DD50CC">
      <w:pPr>
        <w:pStyle w:val="ListParagraph"/>
        <w:numPr>
          <w:ilvl w:val="0"/>
          <w:numId w:val="35"/>
        </w:numPr>
        <w:ind w:left="0" w:firstLine="0"/>
        <w:rPr>
          <w:color w:val="000000" w:themeColor="text1"/>
          <w:szCs w:val="22"/>
        </w:rPr>
      </w:pPr>
      <w:r>
        <w:rPr>
          <w:color w:val="000000" w:themeColor="text1"/>
        </w:rPr>
        <w:lastRenderedPageBreak/>
        <w:t xml:space="preserve">Aunque más de la mitad de los encuestados aceptarían la palabra </w:t>
      </w:r>
      <w:r w:rsidR="009430FC">
        <w:rPr>
          <w:color w:val="000000" w:themeColor="text1"/>
        </w:rPr>
        <w:t>“</w:t>
      </w:r>
      <w:r>
        <w:rPr>
          <w:color w:val="000000" w:themeColor="text1"/>
        </w:rPr>
        <w:t>metaverso</w:t>
      </w:r>
      <w:r w:rsidR="009430FC">
        <w:rPr>
          <w:color w:val="000000" w:themeColor="text1"/>
        </w:rPr>
        <w:t>”</w:t>
      </w:r>
      <w:r>
        <w:rPr>
          <w:color w:val="000000" w:themeColor="text1"/>
        </w:rPr>
        <w:t xml:space="preserve"> en las solicitudes de marcas, sigue habiendo dudas sobre la inclusión de ese término en la lista alfabética. Sin embargo, existe un apoyo abrumador al término </w:t>
      </w:r>
      <w:r w:rsidR="009430FC">
        <w:rPr>
          <w:color w:val="000000" w:themeColor="text1"/>
        </w:rPr>
        <w:t>“</w:t>
      </w:r>
      <w:r>
        <w:rPr>
          <w:color w:val="000000" w:themeColor="text1"/>
        </w:rPr>
        <w:t>entornos virtuales</w:t>
      </w:r>
      <w:r w:rsidR="009430FC">
        <w:rPr>
          <w:color w:val="000000" w:themeColor="text1"/>
        </w:rPr>
        <w:t>”</w:t>
      </w:r>
      <w:r>
        <w:rPr>
          <w:color w:val="000000" w:themeColor="text1"/>
        </w:rPr>
        <w:t>. Del mismo modo, si bien más de la mitad de las oficinas no exigirían una descripción detallada del tipo de archivo digital autentificado por un NFT en una solicitud de registro de marca, el Comité prefiere que los términos de la lista alfabética sean específicos. También se observó que la mayoría de las delegaciones no aceptaría el término NFT por sí solo, pero la mayoría aceptaría productos físicos autentificados por NFT en su clase apropiada, por lo que el Comité aprobó una indicación (</w:t>
      </w:r>
      <w:r>
        <w:rPr>
          <w:i/>
          <w:color w:val="000000" w:themeColor="text1"/>
        </w:rPr>
        <w:t>prendas autentificadas por objetos digitales no fungibles [NFT]</w:t>
      </w:r>
      <w:r>
        <w:rPr>
          <w:color w:val="000000" w:themeColor="text1"/>
        </w:rPr>
        <w:t xml:space="preserve"> en la clase 25) para orientar al respecto. El Comité aprobó además las indicaciones relativas a las </w:t>
      </w:r>
      <w:r>
        <w:rPr>
          <w:i/>
          <w:iCs/>
          <w:color w:val="000000" w:themeColor="text1"/>
        </w:rPr>
        <w:t>prendas virtuales descargables</w:t>
      </w:r>
      <w:r>
        <w:rPr>
          <w:color w:val="000000" w:themeColor="text1"/>
        </w:rPr>
        <w:t xml:space="preserve"> y los </w:t>
      </w:r>
      <w:r>
        <w:rPr>
          <w:i/>
          <w:iCs/>
          <w:color w:val="000000" w:themeColor="text1"/>
        </w:rPr>
        <w:t>archivos de imágenes digitales descargables autentificados por objetos digitales no fungibles [NFT]</w:t>
      </w:r>
      <w:r>
        <w:rPr>
          <w:color w:val="000000" w:themeColor="text1"/>
        </w:rPr>
        <w:t xml:space="preserve"> en la clase 9. No obstante, aunque algunas delegaciones prefieren clasificar los servicios virtuales de la misma manera que su equivalente en el mundo real, la mayoría no lo haría sistemáticamente debido a que algunos servicios virtuales no proporcionan el mismo tipo de servicio o resultado que en el mundo real. Por consiguiente, el Comité opinó que debería tenerse en cuenta la repercusión del servicio virtual, y si ese servicio tiene el mismo resultado en el mundo real, para clasificarlo correctamente. En consecuencia, el Comité aprobó una serie de indicaciones relativas a los servicios en entornos virtuales con el fin de orientar a los usuarios. Por último, las delegaciones se mostraron divididas sobre si el </w:t>
      </w:r>
      <w:r w:rsidR="009430FC">
        <w:rPr>
          <w:color w:val="000000" w:themeColor="text1"/>
        </w:rPr>
        <w:t>“</w:t>
      </w:r>
      <w:r>
        <w:rPr>
          <w:color w:val="000000" w:themeColor="text1"/>
        </w:rPr>
        <w:t>comercio</w:t>
      </w:r>
      <w:r w:rsidR="009430FC">
        <w:rPr>
          <w:color w:val="000000" w:themeColor="text1"/>
        </w:rPr>
        <w:t>”</w:t>
      </w:r>
      <w:r>
        <w:rPr>
          <w:color w:val="000000" w:themeColor="text1"/>
        </w:rPr>
        <w:t xml:space="preserve"> o el </w:t>
      </w:r>
      <w:r w:rsidR="009430FC">
        <w:rPr>
          <w:color w:val="000000" w:themeColor="text1"/>
        </w:rPr>
        <w:t>“</w:t>
      </w:r>
      <w:r>
        <w:rPr>
          <w:color w:val="000000" w:themeColor="text1"/>
        </w:rPr>
        <w:t>intercambio</w:t>
      </w:r>
      <w:r w:rsidR="009430FC">
        <w:rPr>
          <w:color w:val="000000" w:themeColor="text1"/>
        </w:rPr>
        <w:t>”</w:t>
      </w:r>
      <w:r>
        <w:rPr>
          <w:color w:val="000000" w:themeColor="text1"/>
        </w:rPr>
        <w:t xml:space="preserve"> de productos virtuales autentificados por NFT debería considerarse un servicio financiero de la clase 36. </w:t>
      </w:r>
    </w:p>
    <w:p w14:paraId="255DC82D" w14:textId="55B35EF9" w:rsidR="00DF1668" w:rsidRDefault="00DF1668" w:rsidP="00934221">
      <w:pPr>
        <w:spacing w:line="260" w:lineRule="exact"/>
        <w:rPr>
          <w:color w:val="000000" w:themeColor="text1"/>
          <w:szCs w:val="22"/>
        </w:rPr>
      </w:pPr>
    </w:p>
    <w:p w14:paraId="5B20D524" w14:textId="499E67FD" w:rsidR="00DF1668" w:rsidRPr="00DD50CC" w:rsidRDefault="00DF1668" w:rsidP="00DD50CC">
      <w:pPr>
        <w:pStyle w:val="ListParagraph"/>
        <w:numPr>
          <w:ilvl w:val="0"/>
          <w:numId w:val="35"/>
        </w:numPr>
        <w:spacing w:line="260" w:lineRule="exact"/>
        <w:ind w:left="540" w:firstLine="0"/>
        <w:rPr>
          <w:color w:val="000000" w:themeColor="text1"/>
          <w:szCs w:val="22"/>
        </w:rPr>
      </w:pPr>
      <w:r>
        <w:rPr>
          <w:color w:val="000000" w:themeColor="text1"/>
        </w:rPr>
        <w:t xml:space="preserve">El Comité aprobó un número considerable de cambios en la Clasificación, así como una modificación relativa a la observación general d) para los servicios. Las decisiones del Comité están disponibles en NCLRMS/Sessions/CE33/Group 2/NFTs and the metaverse (así como en el </w:t>
      </w:r>
      <w:hyperlink r:id="rId16" w:history="1">
        <w:r>
          <w:rPr>
            <w:rStyle w:val="Hyperlink"/>
          </w:rPr>
          <w:t>foro electrónico</w:t>
        </w:r>
      </w:hyperlink>
      <w:r>
        <w:rPr>
          <w:color w:val="000000" w:themeColor="text1"/>
        </w:rPr>
        <w:t xml:space="preserve">, proyecto </w:t>
      </w:r>
      <w:hyperlink r:id="rId17" w:history="1">
        <w:r>
          <w:rPr>
            <w:rStyle w:val="Hyperlink"/>
          </w:rPr>
          <w:t>CE330</w:t>
        </w:r>
      </w:hyperlink>
      <w:r>
        <w:t>).</w:t>
      </w:r>
    </w:p>
    <w:p w14:paraId="7D4DF15D" w14:textId="77777777" w:rsidR="00664143" w:rsidRPr="004818A8" w:rsidRDefault="00664143" w:rsidP="00934221">
      <w:pPr>
        <w:spacing w:line="260" w:lineRule="exact"/>
        <w:rPr>
          <w:color w:val="000000" w:themeColor="text1"/>
          <w:szCs w:val="22"/>
        </w:rPr>
      </w:pPr>
    </w:p>
    <w:p w14:paraId="1EA518BF" w14:textId="77777777" w:rsidR="00BB47C4" w:rsidRDefault="00BB47C4" w:rsidP="00BB47C4">
      <w:pPr>
        <w:spacing w:line="260" w:lineRule="exact"/>
        <w:rPr>
          <w:szCs w:val="22"/>
        </w:rPr>
      </w:pPr>
    </w:p>
    <w:p w14:paraId="75C01170" w14:textId="1AC296CC" w:rsidR="002A0052" w:rsidRPr="004D00D6" w:rsidRDefault="00DD69B7" w:rsidP="00DD69B7">
      <w:pPr>
        <w:spacing w:line="260" w:lineRule="exact"/>
        <w:rPr>
          <w:b/>
          <w:color w:val="000000" w:themeColor="text1"/>
          <w:szCs w:val="22"/>
        </w:rPr>
      </w:pPr>
      <w:r>
        <w:rPr>
          <w:b/>
        </w:rPr>
        <w:t>EVALUACIÓN DEL PROCESO DE REVISIÓN DE LA CLASIFICACIÓN DE NIZA</w:t>
      </w:r>
    </w:p>
    <w:p w14:paraId="6469E4F4" w14:textId="1BF0342D" w:rsidR="00934221" w:rsidRDefault="00934221" w:rsidP="00487487">
      <w:pPr>
        <w:spacing w:line="260" w:lineRule="exact"/>
        <w:jc w:val="center"/>
        <w:rPr>
          <w:szCs w:val="22"/>
        </w:rPr>
      </w:pPr>
    </w:p>
    <w:p w14:paraId="690E64F5" w14:textId="10931BAE" w:rsidR="00B36D1A" w:rsidRDefault="00B36D1A" w:rsidP="00317B5F">
      <w:pPr>
        <w:pStyle w:val="ListParagraph"/>
        <w:numPr>
          <w:ilvl w:val="0"/>
          <w:numId w:val="35"/>
        </w:numPr>
        <w:spacing w:line="260" w:lineRule="exact"/>
        <w:ind w:left="0" w:firstLine="0"/>
        <w:rPr>
          <w:szCs w:val="22"/>
        </w:rPr>
      </w:pPr>
      <w:r>
        <w:t xml:space="preserve">El debate se basó en el proyecto </w:t>
      </w:r>
      <w:hyperlink r:id="rId18" w:history="1">
        <w:r>
          <w:rPr>
            <w:rStyle w:val="Hyperlink"/>
          </w:rPr>
          <w:t>CE332</w:t>
        </w:r>
      </w:hyperlink>
      <w:r>
        <w:t>, Anexos 2 y 3, relativo al proceso de revisión de la Clasificación de Niza, presentado por la Oficina Internacional.</w:t>
      </w:r>
    </w:p>
    <w:p w14:paraId="3F0FADFE" w14:textId="77777777" w:rsidR="00317B5F" w:rsidRDefault="00317B5F" w:rsidP="00317B5F">
      <w:pPr>
        <w:pStyle w:val="ListParagraph"/>
        <w:spacing w:line="260" w:lineRule="exact"/>
        <w:ind w:left="0"/>
        <w:rPr>
          <w:szCs w:val="22"/>
        </w:rPr>
      </w:pPr>
    </w:p>
    <w:p w14:paraId="0903D40C" w14:textId="7E9D5D14" w:rsidR="00B36D1A" w:rsidRDefault="00B36D1A" w:rsidP="00317B5F">
      <w:pPr>
        <w:pStyle w:val="ListParagraph"/>
        <w:numPr>
          <w:ilvl w:val="0"/>
          <w:numId w:val="35"/>
        </w:numPr>
        <w:spacing w:line="260" w:lineRule="exact"/>
        <w:ind w:left="540" w:firstLine="0"/>
        <w:rPr>
          <w:szCs w:val="22"/>
        </w:rPr>
      </w:pPr>
      <w:r>
        <w:t xml:space="preserve">El Comité reiteró su apoyo al actual ciclo y plazos de revisión de la Clasificación de Niza. En cuanto a la sugerencia de la Oficina Internacional de votar por la vía rápida, el Comité se mostró de acuerdo con algunas modificaciones. Un documento actualizado está disponible en el </w:t>
      </w:r>
      <w:hyperlink r:id="rId19" w:history="1">
        <w:r>
          <w:rPr>
            <w:rStyle w:val="Hyperlink"/>
          </w:rPr>
          <w:t>foro electrónico</w:t>
        </w:r>
      </w:hyperlink>
      <w:r>
        <w:t xml:space="preserve">, proyecto </w:t>
      </w:r>
      <w:hyperlink r:id="rId20" w:history="1">
        <w:r>
          <w:rPr>
            <w:rStyle w:val="Hyperlink"/>
          </w:rPr>
          <w:t>SP003</w:t>
        </w:r>
      </w:hyperlink>
      <w:r>
        <w:t>, Anexo 4. La Oficina Internacional acordó mantener abierto el proyecto para recabar más opiniones sobre el procedimiento de revisión.</w:t>
      </w:r>
    </w:p>
    <w:p w14:paraId="4AEC4CC1" w14:textId="538C6DB9" w:rsidR="0047621D" w:rsidRDefault="0047621D" w:rsidP="0047621D">
      <w:pPr>
        <w:spacing w:line="260" w:lineRule="exact"/>
        <w:rPr>
          <w:szCs w:val="22"/>
        </w:rPr>
      </w:pPr>
    </w:p>
    <w:p w14:paraId="66495F54" w14:textId="77777777" w:rsidR="0041109D" w:rsidRDefault="0041109D" w:rsidP="001237BA">
      <w:pPr>
        <w:spacing w:line="260" w:lineRule="exact"/>
        <w:rPr>
          <w:b/>
          <w:caps/>
          <w:szCs w:val="22"/>
        </w:rPr>
      </w:pPr>
    </w:p>
    <w:p w14:paraId="3191E8C7" w14:textId="77777777" w:rsidR="00A713CD" w:rsidRDefault="00A713CD" w:rsidP="00013EC7">
      <w:pPr>
        <w:spacing w:line="260" w:lineRule="exact"/>
        <w:rPr>
          <w:b/>
          <w:caps/>
          <w:szCs w:val="22"/>
        </w:rPr>
      </w:pPr>
      <w:r>
        <w:rPr>
          <w:b/>
          <w:caps/>
        </w:rPr>
        <w:t>Próxima sesión del Comité de Expertos</w:t>
      </w:r>
    </w:p>
    <w:p w14:paraId="459BD962" w14:textId="0BD13F65" w:rsidR="00511E07" w:rsidRDefault="00511E07" w:rsidP="00511E07">
      <w:pPr>
        <w:spacing w:line="260" w:lineRule="exact"/>
        <w:rPr>
          <w:caps/>
          <w:szCs w:val="22"/>
        </w:rPr>
      </w:pPr>
    </w:p>
    <w:p w14:paraId="7579CC59" w14:textId="2E8E237A" w:rsidR="00317B5F" w:rsidRPr="00317B5F" w:rsidRDefault="00317B5F" w:rsidP="00F90072">
      <w:pPr>
        <w:pStyle w:val="ListParagraph"/>
        <w:numPr>
          <w:ilvl w:val="0"/>
          <w:numId w:val="35"/>
        </w:numPr>
        <w:spacing w:line="260" w:lineRule="exact"/>
        <w:ind w:left="540" w:firstLine="0"/>
      </w:pPr>
      <w:r>
        <w:t>El Comité tomó nota de que la próxima sesión (trigésima cuarta) se celebrará en Ginebra a finales de abril o principios de mayo de 2024, en función del calendario de reuniones de la OMPI, incluidos los Comités principales.</w:t>
      </w:r>
    </w:p>
    <w:p w14:paraId="27B0AA9B" w14:textId="77777777" w:rsidR="00A713CD" w:rsidRDefault="00A713CD" w:rsidP="00A713CD">
      <w:pPr>
        <w:rPr>
          <w:szCs w:val="22"/>
        </w:rPr>
      </w:pPr>
    </w:p>
    <w:p w14:paraId="3F8DB7E0" w14:textId="77777777" w:rsidR="004E44EE" w:rsidRPr="003A58E4" w:rsidRDefault="004E44EE" w:rsidP="009430FC">
      <w:pPr>
        <w:keepNext/>
        <w:keepLines/>
        <w:rPr>
          <w:szCs w:val="22"/>
        </w:rPr>
      </w:pPr>
    </w:p>
    <w:p w14:paraId="3AD3F5BA" w14:textId="77777777" w:rsidR="00A713CD" w:rsidRDefault="00A713CD" w:rsidP="009430FC">
      <w:pPr>
        <w:keepNext/>
        <w:keepLines/>
        <w:spacing w:line="260" w:lineRule="exact"/>
        <w:rPr>
          <w:b/>
          <w:caps/>
          <w:szCs w:val="22"/>
        </w:rPr>
      </w:pPr>
      <w:r>
        <w:rPr>
          <w:b/>
          <w:caps/>
        </w:rPr>
        <w:t>CLAUSURA DE LA SESIÓN</w:t>
      </w:r>
    </w:p>
    <w:p w14:paraId="7086A2E1" w14:textId="0BC25EF6" w:rsidR="00013EC7" w:rsidRDefault="00013EC7" w:rsidP="009430FC">
      <w:pPr>
        <w:keepNext/>
        <w:keepLines/>
        <w:spacing w:line="260" w:lineRule="exact"/>
        <w:rPr>
          <w:caps/>
          <w:szCs w:val="22"/>
        </w:rPr>
      </w:pPr>
    </w:p>
    <w:p w14:paraId="3AC1B6C5" w14:textId="55AC5A97" w:rsidR="00317B5F" w:rsidRPr="00317B5F" w:rsidRDefault="00317B5F" w:rsidP="009430FC">
      <w:pPr>
        <w:pStyle w:val="ListParagraph"/>
        <w:keepNext/>
        <w:keepLines/>
        <w:numPr>
          <w:ilvl w:val="0"/>
          <w:numId w:val="35"/>
        </w:numPr>
        <w:spacing w:line="260" w:lineRule="exact"/>
        <w:ind w:left="0" w:firstLine="0"/>
      </w:pPr>
      <w:r>
        <w:t>El presidente clausuró la sesión.</w:t>
      </w:r>
    </w:p>
    <w:p w14:paraId="1F20CBFD" w14:textId="77777777" w:rsidR="0084596A" w:rsidRPr="004A2AA2" w:rsidRDefault="0084596A" w:rsidP="009430FC">
      <w:pPr>
        <w:keepNext/>
        <w:keepLines/>
        <w:rPr>
          <w:szCs w:val="22"/>
        </w:rPr>
      </w:pPr>
    </w:p>
    <w:p w14:paraId="483E78EF" w14:textId="5BF0D9DE" w:rsidR="0084596A" w:rsidRPr="003A58E4" w:rsidRDefault="0084596A" w:rsidP="009430FC">
      <w:pPr>
        <w:pStyle w:val="Endofdocument"/>
        <w:keepNext/>
        <w:keepLines/>
        <w:spacing w:after="600" w:line="240" w:lineRule="auto"/>
        <w:ind w:right="-142"/>
        <w:contextualSpacing w:val="0"/>
        <w:rPr>
          <w:i/>
          <w:szCs w:val="22"/>
        </w:rPr>
      </w:pPr>
      <w:r>
        <w:rPr>
          <w:i/>
          <w:sz w:val="22"/>
        </w:rPr>
        <w:t>24.</w:t>
      </w:r>
      <w:r>
        <w:rPr>
          <w:i/>
          <w:sz w:val="22"/>
        </w:rPr>
        <w:tab/>
        <w:t>El Comité de Expertos adoptó por unanimidad este informe por vía electrónica el 26 de mayo de 2023.</w:t>
      </w:r>
    </w:p>
    <w:p w14:paraId="6BAD736D" w14:textId="66476829" w:rsidR="00A713CD" w:rsidRPr="003A58E4" w:rsidRDefault="00166C34" w:rsidP="0084596A">
      <w:pPr>
        <w:pStyle w:val="Endofdocument"/>
        <w:rPr>
          <w:szCs w:val="22"/>
        </w:rPr>
      </w:pPr>
      <w:r>
        <w:rPr>
          <w:sz w:val="22"/>
        </w:rPr>
        <w:t>[Siguen los Anexos]</w:t>
      </w:r>
    </w:p>
    <w:sectPr w:rsidR="00A713CD" w:rsidRPr="003A58E4" w:rsidSect="009430F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9430FC" w:rsidRDefault="00B82393" w:rsidP="003B38C1">
      <w:pPr>
        <w:spacing w:after="60"/>
        <w:rPr>
          <w:sz w:val="17"/>
          <w:lang w:val="en-US"/>
        </w:rPr>
      </w:pPr>
      <w:r w:rsidRPr="009430FC">
        <w:rPr>
          <w:sz w:val="17"/>
          <w:lang w:val="en-US"/>
        </w:rPr>
        <w:t>[Endnote continued from previous page]</w:t>
      </w:r>
    </w:p>
  </w:endnote>
  <w:endnote w:type="continuationNotice" w:id="1">
    <w:p w14:paraId="65F6FB28" w14:textId="77777777" w:rsidR="00B82393" w:rsidRPr="009430FC" w:rsidRDefault="00B82393" w:rsidP="003B38C1">
      <w:pPr>
        <w:spacing w:before="60"/>
        <w:jc w:val="right"/>
        <w:rPr>
          <w:sz w:val="17"/>
          <w:szCs w:val="17"/>
          <w:lang w:val="en-US"/>
        </w:rPr>
      </w:pPr>
      <w:r w:rsidRPr="009430F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684F42E2" w:rsidR="00AF37D6" w:rsidRDefault="00CD388C">
    <w:pPr>
      <w:pStyle w:val="Footer"/>
    </w:pPr>
    <w:r>
      <w:rPr>
        <w:noProof/>
        <w:lang w:val="es-CL" w:eastAsia="es-CL"/>
      </w:rPr>
      <mc:AlternateContent>
        <mc:Choice Requires="wps">
          <w:drawing>
            <wp:anchor distT="0" distB="0" distL="114300" distR="114300" simplePos="0" relativeHeight="251661312" behindDoc="0" locked="0" layoutInCell="0" allowOverlap="1" wp14:anchorId="43C5BB15" wp14:editId="379A629D">
              <wp:simplePos x="0" y="0"/>
              <wp:positionH relativeFrom="page">
                <wp:posOffset>0</wp:posOffset>
              </wp:positionH>
              <wp:positionV relativeFrom="page">
                <wp:posOffset>10229850</wp:posOffset>
              </wp:positionV>
              <wp:extent cx="7560945" cy="273050"/>
              <wp:effectExtent l="0" t="0" r="0" b="12700"/>
              <wp:wrapNone/>
              <wp:docPr id="4" name="MSIPCMf3214e16bc1813e890b6cb15"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FEFCA" w14:textId="69C56DBE"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5BB15" id="_x0000_t202" coordsize="21600,21600" o:spt="202" path="m,l,21600r21600,l21600,xe">
              <v:stroke joinstyle="miter"/>
              <v:path gradientshapeok="t" o:connecttype="rect"/>
            </v:shapetype>
            <v:shape id="MSIPCMf3214e16bc1813e890b6cb15" o:spid="_x0000_s1026" type="#_x0000_t202" alt="{&quot;HashCode&quot;:2082126947,&quot;Height&quot;:842.0,&quot;Width&quot;:595.0,&quot;Placement&quot;:&quot;Footer&quot;,&quot;Index&quot;:&quot;OddAndEven&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" o:allowincell="f" filled="f" stroked="f" strokeweight=".5pt">
              <v:textbox inset=",0,,0">
                <w:txbxContent>
                  <w:p w14:paraId="41AFEFCA" w14:textId="69C56DBE"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21D40613" w:rsidR="00AF37D6" w:rsidRDefault="00CD388C">
    <w:pPr>
      <w:pStyle w:val="Footer"/>
    </w:pPr>
    <w:r>
      <w:rPr>
        <w:noProof/>
        <w:lang w:val="es-CL" w:eastAsia="es-CL"/>
      </w:rPr>
      <mc:AlternateContent>
        <mc:Choice Requires="wps">
          <w:drawing>
            <wp:anchor distT="0" distB="0" distL="114300" distR="114300" simplePos="0" relativeHeight="251661183" behindDoc="0" locked="0" layoutInCell="0" allowOverlap="1" wp14:anchorId="5DF9C40B" wp14:editId="6D9179BC">
              <wp:simplePos x="0" y="0"/>
              <wp:positionH relativeFrom="page">
                <wp:posOffset>0</wp:posOffset>
              </wp:positionH>
              <wp:positionV relativeFrom="page">
                <wp:posOffset>10229850</wp:posOffset>
              </wp:positionV>
              <wp:extent cx="7560945" cy="273050"/>
              <wp:effectExtent l="0" t="0" r="0" b="12700"/>
              <wp:wrapNone/>
              <wp:docPr id="2" name="MSIPCM5cc34f729925048a6ab9aa3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8806F" w14:textId="16927329"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F9C40B" id="_x0000_t202" coordsize="21600,21600" o:spt="202" path="m,l,21600r21600,l21600,xe">
              <v:stroke joinstyle="miter"/>
              <v:path gradientshapeok="t" o:connecttype="rect"/>
            </v:shapetype>
            <v:shape id="MSIPCM5cc34f729925048a6ab9aa32" o:spid="_x0000_s1027" type="#_x0000_t202" alt="{&quot;HashCode&quot;:2082126947,&quot;Height&quot;:842.0,&quot;Width&quot;:595.0,&quot;Placement&quot;:&quot;Footer&quot;,&quot;Index&quot;:&quot;Primary&quot;,&quot;Section&quot;:1,&quot;Top&quot;:0.0,&quot;Left&quot;:0.0}" style="position:absolute;margin-left:0;margin-top:805.5pt;width:595.35pt;height:21.5pt;z-index:2516611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APw6cNGgMAAD0GAAAOAAAAAAAAAAAA&#10;AAAAAC4CAABkcnMvZTJvRG9jLnhtbFBLAQItABQABgAIAAAAIQA6h7a53wAAAAsBAAAPAAAAAAAA&#10;AAAAAAAAAHQFAABkcnMvZG93bnJldi54bWxQSwUGAAAAAAQABADzAAAAgAYAAAAA&#10;" o:allowincell="f" filled="f" stroked="f" strokeweight=".5pt">
              <v:textbox inset=",0,,0">
                <w:txbxContent>
                  <w:p w14:paraId="39A8806F" w14:textId="16927329"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2A1ACC52" w:rsidR="00AF37D6" w:rsidRDefault="00CD388C">
    <w:pPr>
      <w:pStyle w:val="Footer"/>
    </w:pPr>
    <w:r>
      <w:rPr>
        <w:noProof/>
        <w:lang w:val="es-CL" w:eastAsia="es-CL"/>
      </w:rPr>
      <mc:AlternateContent>
        <mc:Choice Requires="wps">
          <w:drawing>
            <wp:anchor distT="0" distB="0" distL="114300" distR="114300" simplePos="0" relativeHeight="251661247" behindDoc="0" locked="0" layoutInCell="0" allowOverlap="1" wp14:anchorId="611D3DFA" wp14:editId="0EC34778">
              <wp:simplePos x="0" y="0"/>
              <wp:positionH relativeFrom="page">
                <wp:posOffset>0</wp:posOffset>
              </wp:positionH>
              <wp:positionV relativeFrom="page">
                <wp:posOffset>10229850</wp:posOffset>
              </wp:positionV>
              <wp:extent cx="7560945" cy="273050"/>
              <wp:effectExtent l="0" t="0" r="0" b="12700"/>
              <wp:wrapNone/>
              <wp:docPr id="3" name="MSIPCM52e843908e18e1276a1c7568"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E6F15" w14:textId="5D37D1DC"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1D3DFA" id="_x0000_t202" coordsize="21600,21600" o:spt="202" path="m,l,21600r21600,l21600,xe">
              <v:stroke joinstyle="miter"/>
              <v:path gradientshapeok="t" o:connecttype="rect"/>
            </v:shapetype>
            <v:shape id="MSIPCM52e843908e18e1276a1c7568" o:spid="_x0000_s1028" type="#_x0000_t202" alt="{&quot;HashCode&quot;:2082126947,&quot;Height&quot;:842.0,&quot;Width&quot;:595.0,&quot;Placement&quot;:&quot;Footer&quot;,&quot;Index&quot;:&quot;FirstPage&quot;,&quot;Section&quot;:1,&quot;Top&quot;:0.0,&quot;Left&quot;:0.0}" style="position:absolute;margin-left:0;margin-top:805.5pt;width:595.35pt;height:21.5pt;z-index:251661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Cv1PjaGgMAAD8GAAAOAAAAAAAAAAAA&#10;AAAAAC4CAABkcnMvZTJvRG9jLnhtbFBLAQItABQABgAIAAAAIQA6h7a53wAAAAsBAAAPAAAAAAAA&#10;AAAAAAAAAHQFAABkcnMvZG93bnJldi54bWxQSwUGAAAAAAQABADzAAAAgAYAAAAA&#10;" o:allowincell="f" filled="f" stroked="f" strokeweight=".5pt">
              <v:textbox inset=",0,,0">
                <w:txbxContent>
                  <w:p w14:paraId="1AAE6F15" w14:textId="5D37D1DC" w:rsidR="00CD388C" w:rsidRPr="009430FC" w:rsidRDefault="009430FC" w:rsidP="009430FC">
                    <w:pPr>
                      <w:jc w:val="center"/>
                      <w:rPr>
                        <w:rFonts w:ascii="Calibri" w:hAnsi="Calibri" w:cs="Calibri"/>
                        <w:color w:val="000000"/>
                        <w:sz w:val="20"/>
                      </w:rPr>
                    </w:pPr>
                    <w:r w:rsidRPr="009430F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9430FC" w:rsidRDefault="00B82393" w:rsidP="008B60B2">
      <w:pPr>
        <w:spacing w:after="60"/>
        <w:rPr>
          <w:sz w:val="17"/>
          <w:szCs w:val="17"/>
          <w:lang w:val="en-US"/>
        </w:rPr>
      </w:pPr>
      <w:r w:rsidRPr="009430FC">
        <w:rPr>
          <w:sz w:val="17"/>
          <w:szCs w:val="17"/>
          <w:lang w:val="en-US"/>
        </w:rPr>
        <w:t>[Footnote continued from previous page]</w:t>
      </w:r>
    </w:p>
  </w:footnote>
  <w:footnote w:type="continuationNotice" w:id="1">
    <w:p w14:paraId="1CBD9CB2" w14:textId="77777777" w:rsidR="00B82393" w:rsidRPr="009430FC" w:rsidRDefault="00B82393" w:rsidP="008B60B2">
      <w:pPr>
        <w:spacing w:before="60"/>
        <w:jc w:val="right"/>
        <w:rPr>
          <w:sz w:val="17"/>
          <w:szCs w:val="17"/>
          <w:lang w:val="en-US"/>
        </w:rPr>
      </w:pPr>
      <w:r w:rsidRPr="009430FC">
        <w:rPr>
          <w:sz w:val="17"/>
          <w:szCs w:val="17"/>
          <w:lang w:val="en-US"/>
        </w:rPr>
        <w:t>[Footnote continued on next page]</w:t>
      </w:r>
    </w:p>
  </w:footnote>
  <w:footnote w:id="2">
    <w:p w14:paraId="5D4DB3E6" w14:textId="275F053D" w:rsidR="004B5482" w:rsidRPr="00B04448" w:rsidRDefault="004B5482" w:rsidP="004B5482">
      <w:pPr>
        <w:pStyle w:val="FootnoteText"/>
      </w:pPr>
      <w:r>
        <w:rPr>
          <w:rStyle w:val="FootnoteReference"/>
        </w:rPr>
        <w:footnoteRef/>
      </w:r>
      <w:r>
        <w:t xml:space="preserve"> El artículo 3.7)b) del Arreglo de Niza establece que </w:t>
      </w:r>
      <w:r w:rsidR="009430FC">
        <w:t>“</w:t>
      </w:r>
      <w:r>
        <w:t>por modificación deberá entenderse toda transferencia de productos o servicios de una clase a otra, o la creación de una nueva clase</w:t>
      </w:r>
      <w:r w:rsidR="009430FC">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6FE66044" w:rsidR="005B048E" w:rsidRDefault="005B048E" w:rsidP="005B048E">
    <w:pPr>
      <w:jc w:val="right"/>
    </w:pPr>
    <w:r>
      <w:t>CLIM/CE/33/2</w:t>
    </w:r>
  </w:p>
  <w:p w14:paraId="1FE6C1DD" w14:textId="4B48FD50" w:rsidR="005B048E" w:rsidRDefault="005B048E" w:rsidP="005B048E">
    <w:pPr>
      <w:jc w:val="right"/>
    </w:pPr>
    <w:r>
      <w:t xml:space="preserve">página </w:t>
    </w:r>
    <w:r>
      <w:fldChar w:fldCharType="begin"/>
    </w:r>
    <w:r>
      <w:instrText xml:space="preserve"> PAGE  \* MERGEFORMAT </w:instrText>
    </w:r>
    <w:r>
      <w:fldChar w:fldCharType="separate"/>
    </w:r>
    <w:r w:rsidR="00437C4F">
      <w:rPr>
        <w:noProof/>
      </w:rPr>
      <w:t>4</w:t>
    </w:r>
    <w:r>
      <w:fldChar w:fldCharType="end"/>
    </w:r>
  </w:p>
  <w:p w14:paraId="72A7EC5C" w14:textId="77777777" w:rsidR="005B048E" w:rsidRDefault="005B048E" w:rsidP="005B048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40C7B84C" w:rsidR="001D3AEC" w:rsidRDefault="001D3AEC" w:rsidP="00477D6B">
    <w:pPr>
      <w:jc w:val="right"/>
    </w:pPr>
    <w:r>
      <w:t>CLIM/CE/33/2</w:t>
    </w:r>
  </w:p>
  <w:p w14:paraId="4B31F6A9" w14:textId="228EDAC8" w:rsidR="001D3AEC" w:rsidRDefault="001D3AEC" w:rsidP="00477D6B">
    <w:pPr>
      <w:jc w:val="right"/>
    </w:pPr>
    <w:r>
      <w:t xml:space="preserve">página </w:t>
    </w:r>
    <w:r>
      <w:fldChar w:fldCharType="begin"/>
    </w:r>
    <w:r>
      <w:instrText xml:space="preserve"> PAGE  \* MERGEFORMAT </w:instrText>
    </w:r>
    <w:r>
      <w:fldChar w:fldCharType="separate"/>
    </w:r>
    <w:r w:rsidR="00437C4F">
      <w:rPr>
        <w:noProof/>
      </w:rPr>
      <w:t>5</w:t>
    </w:r>
    <w:r>
      <w:fldChar w:fldCharType="end"/>
    </w:r>
  </w:p>
  <w:p w14:paraId="56D098DF" w14:textId="77777777" w:rsidR="001D3AEC" w:rsidRDefault="001D3A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6F70" w14:textId="77777777" w:rsidR="00437C4F" w:rsidRDefault="00437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1E1DDF"/>
    <w:multiLevelType w:val="hybridMultilevel"/>
    <w:tmpl w:val="613EEA04"/>
    <w:lvl w:ilvl="0" w:tplc="01321E8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64A6"/>
    <w:multiLevelType w:val="hybridMultilevel"/>
    <w:tmpl w:val="251C292C"/>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D10149"/>
    <w:multiLevelType w:val="hybridMultilevel"/>
    <w:tmpl w:val="5A96C238"/>
    <w:lvl w:ilvl="0" w:tplc="834ED3F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F7C57E1"/>
    <w:multiLevelType w:val="hybridMultilevel"/>
    <w:tmpl w:val="785AB2E4"/>
    <w:lvl w:ilvl="0" w:tplc="DAAEF354">
      <w:start w:val="8"/>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0" w15:restartNumberingAfterBreak="0">
    <w:nsid w:val="37045F6D"/>
    <w:multiLevelType w:val="hybridMultilevel"/>
    <w:tmpl w:val="08505DEA"/>
    <w:lvl w:ilvl="0" w:tplc="34C8581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3"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4"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BF74EE"/>
    <w:multiLevelType w:val="hybridMultilevel"/>
    <w:tmpl w:val="209EC3BE"/>
    <w:lvl w:ilvl="0" w:tplc="2F48289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466BC2"/>
    <w:multiLevelType w:val="hybridMultilevel"/>
    <w:tmpl w:val="ABBA6CF4"/>
    <w:lvl w:ilvl="0" w:tplc="26C81D62">
      <w:start w:val="9"/>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1"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1D2819"/>
    <w:multiLevelType w:val="hybridMultilevel"/>
    <w:tmpl w:val="CF987D7C"/>
    <w:lvl w:ilvl="0" w:tplc="094875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7" w15:restartNumberingAfterBreak="0">
    <w:nsid w:val="65B17876"/>
    <w:multiLevelType w:val="hybridMultilevel"/>
    <w:tmpl w:val="1EF4E67C"/>
    <w:lvl w:ilvl="0" w:tplc="CAD295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46075"/>
    <w:multiLevelType w:val="hybridMultilevel"/>
    <w:tmpl w:val="82AEED2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8AA546A"/>
    <w:multiLevelType w:val="hybridMultilevel"/>
    <w:tmpl w:val="7632E17A"/>
    <w:lvl w:ilvl="0" w:tplc="FADA0B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0"/>
  </w:num>
  <w:num w:numId="4">
    <w:abstractNumId w:val="28"/>
  </w:num>
  <w:num w:numId="5">
    <w:abstractNumId w:val="5"/>
  </w:num>
  <w:num w:numId="6">
    <w:abstractNumId w:val="11"/>
  </w:num>
  <w:num w:numId="7">
    <w:abstractNumId w:val="7"/>
  </w:num>
  <w:num w:numId="8">
    <w:abstractNumId w:val="31"/>
  </w:num>
  <w:num w:numId="9">
    <w:abstractNumId w:val="8"/>
  </w:num>
  <w:num w:numId="10">
    <w:abstractNumId w:val="29"/>
  </w:num>
  <w:num w:numId="11">
    <w:abstractNumId w:val="35"/>
  </w:num>
  <w:num w:numId="12">
    <w:abstractNumId w:val="39"/>
  </w:num>
  <w:num w:numId="13">
    <w:abstractNumId w:val="14"/>
  </w:num>
  <w:num w:numId="14">
    <w:abstractNumId w:val="26"/>
  </w:num>
  <w:num w:numId="15">
    <w:abstractNumId w:val="13"/>
  </w:num>
  <w:num w:numId="16">
    <w:abstractNumId w:val="21"/>
  </w:num>
  <w:num w:numId="17">
    <w:abstractNumId w:val="17"/>
  </w:num>
  <w:num w:numId="18">
    <w:abstractNumId w:val="33"/>
  </w:num>
  <w:num w:numId="19">
    <w:abstractNumId w:val="12"/>
  </w:num>
  <w:num w:numId="20">
    <w:abstractNumId w:val="32"/>
  </w:num>
  <w:num w:numId="21">
    <w:abstractNumId w:val="15"/>
  </w:num>
  <w:num w:numId="22">
    <w:abstractNumId w:val="23"/>
  </w:num>
  <w:num w:numId="23">
    <w:abstractNumId w:val="18"/>
  </w:num>
  <w:num w:numId="24">
    <w:abstractNumId w:val="3"/>
  </w:num>
  <w:num w:numId="25">
    <w:abstractNumId w:val="36"/>
  </w:num>
  <w:num w:numId="26">
    <w:abstractNumId w:val="4"/>
  </w:num>
  <w:num w:numId="27">
    <w:abstractNumId w:val="16"/>
  </w:num>
  <w:num w:numId="28">
    <w:abstractNumId w:val="24"/>
  </w:num>
  <w:num w:numId="29">
    <w:abstractNumId w:val="22"/>
  </w:num>
  <w:num w:numId="30">
    <w:abstractNumId w:val="6"/>
  </w:num>
  <w:num w:numId="31">
    <w:abstractNumId w:val="19"/>
  </w:num>
  <w:num w:numId="32">
    <w:abstractNumId w:val="30"/>
  </w:num>
  <w:num w:numId="33">
    <w:abstractNumId w:val="34"/>
  </w:num>
  <w:num w:numId="34">
    <w:abstractNumId w:val="10"/>
  </w:num>
  <w:num w:numId="35">
    <w:abstractNumId w:val="20"/>
  </w:num>
  <w:num w:numId="36">
    <w:abstractNumId w:val="38"/>
  </w:num>
  <w:num w:numId="37">
    <w:abstractNumId w:val="2"/>
  </w:num>
  <w:num w:numId="38">
    <w:abstractNumId w:val="40"/>
  </w:num>
  <w:num w:numId="39">
    <w:abstractNumId w:val="27"/>
  </w:num>
  <w:num w:numId="40">
    <w:abstractNumId w:val="3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06EC"/>
    <w:rsid w:val="000139B4"/>
    <w:rsid w:val="00013EC7"/>
    <w:rsid w:val="00015AF5"/>
    <w:rsid w:val="00022C17"/>
    <w:rsid w:val="000257F8"/>
    <w:rsid w:val="000331EA"/>
    <w:rsid w:val="000357E2"/>
    <w:rsid w:val="00035B2B"/>
    <w:rsid w:val="00036158"/>
    <w:rsid w:val="000409E9"/>
    <w:rsid w:val="00043CAA"/>
    <w:rsid w:val="0005216A"/>
    <w:rsid w:val="00054D1E"/>
    <w:rsid w:val="00056756"/>
    <w:rsid w:val="00061740"/>
    <w:rsid w:val="000655CA"/>
    <w:rsid w:val="00067CFD"/>
    <w:rsid w:val="00071219"/>
    <w:rsid w:val="00075432"/>
    <w:rsid w:val="00075FA3"/>
    <w:rsid w:val="00076A87"/>
    <w:rsid w:val="000809E9"/>
    <w:rsid w:val="00081427"/>
    <w:rsid w:val="00081689"/>
    <w:rsid w:val="00082F31"/>
    <w:rsid w:val="0009471F"/>
    <w:rsid w:val="000968ED"/>
    <w:rsid w:val="000A1326"/>
    <w:rsid w:val="000A1355"/>
    <w:rsid w:val="000A3741"/>
    <w:rsid w:val="000A415D"/>
    <w:rsid w:val="000A7B47"/>
    <w:rsid w:val="000B0218"/>
    <w:rsid w:val="000B2A59"/>
    <w:rsid w:val="000B61FC"/>
    <w:rsid w:val="000B690E"/>
    <w:rsid w:val="000B7A7A"/>
    <w:rsid w:val="000C09A7"/>
    <w:rsid w:val="000C0AFC"/>
    <w:rsid w:val="000C0D00"/>
    <w:rsid w:val="000C379F"/>
    <w:rsid w:val="000C470E"/>
    <w:rsid w:val="000D0748"/>
    <w:rsid w:val="000D40DB"/>
    <w:rsid w:val="000D4407"/>
    <w:rsid w:val="000E0B4B"/>
    <w:rsid w:val="000E17B6"/>
    <w:rsid w:val="000E6B59"/>
    <w:rsid w:val="000F00E4"/>
    <w:rsid w:val="000F5E56"/>
    <w:rsid w:val="000F77EB"/>
    <w:rsid w:val="00104941"/>
    <w:rsid w:val="0011202C"/>
    <w:rsid w:val="00120135"/>
    <w:rsid w:val="001237BA"/>
    <w:rsid w:val="00124221"/>
    <w:rsid w:val="00125B5F"/>
    <w:rsid w:val="00130A5D"/>
    <w:rsid w:val="001326D7"/>
    <w:rsid w:val="0013284B"/>
    <w:rsid w:val="00133089"/>
    <w:rsid w:val="00133F58"/>
    <w:rsid w:val="001362EE"/>
    <w:rsid w:val="001415D6"/>
    <w:rsid w:val="00142529"/>
    <w:rsid w:val="00143158"/>
    <w:rsid w:val="001442B8"/>
    <w:rsid w:val="00145518"/>
    <w:rsid w:val="00146386"/>
    <w:rsid w:val="00150F37"/>
    <w:rsid w:val="0015216F"/>
    <w:rsid w:val="001535FB"/>
    <w:rsid w:val="00157411"/>
    <w:rsid w:val="00157754"/>
    <w:rsid w:val="001601F2"/>
    <w:rsid w:val="00166C34"/>
    <w:rsid w:val="0017567E"/>
    <w:rsid w:val="00177F5C"/>
    <w:rsid w:val="0018202A"/>
    <w:rsid w:val="001832A6"/>
    <w:rsid w:val="00183564"/>
    <w:rsid w:val="00184F76"/>
    <w:rsid w:val="0018554B"/>
    <w:rsid w:val="00185BF1"/>
    <w:rsid w:val="001916AB"/>
    <w:rsid w:val="00192415"/>
    <w:rsid w:val="001952B5"/>
    <w:rsid w:val="00196347"/>
    <w:rsid w:val="001971F3"/>
    <w:rsid w:val="001A17E4"/>
    <w:rsid w:val="001A2FA2"/>
    <w:rsid w:val="001A56E9"/>
    <w:rsid w:val="001A7195"/>
    <w:rsid w:val="001B0EDA"/>
    <w:rsid w:val="001B266E"/>
    <w:rsid w:val="001B5C3C"/>
    <w:rsid w:val="001C1643"/>
    <w:rsid w:val="001C22F5"/>
    <w:rsid w:val="001C3FE2"/>
    <w:rsid w:val="001C4AFD"/>
    <w:rsid w:val="001C613E"/>
    <w:rsid w:val="001C6DCF"/>
    <w:rsid w:val="001C6E08"/>
    <w:rsid w:val="001D09F1"/>
    <w:rsid w:val="001D3AEC"/>
    <w:rsid w:val="001D647D"/>
    <w:rsid w:val="001E230A"/>
    <w:rsid w:val="001E27EA"/>
    <w:rsid w:val="001F1C4B"/>
    <w:rsid w:val="001F287D"/>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1C31"/>
    <w:rsid w:val="0022236E"/>
    <w:rsid w:val="002227D2"/>
    <w:rsid w:val="00232AE9"/>
    <w:rsid w:val="00237ED6"/>
    <w:rsid w:val="00240733"/>
    <w:rsid w:val="0024387E"/>
    <w:rsid w:val="002469E7"/>
    <w:rsid w:val="00247274"/>
    <w:rsid w:val="00252D09"/>
    <w:rsid w:val="00253D78"/>
    <w:rsid w:val="00255077"/>
    <w:rsid w:val="00260ECD"/>
    <w:rsid w:val="002634C4"/>
    <w:rsid w:val="00265674"/>
    <w:rsid w:val="00265912"/>
    <w:rsid w:val="00271D5F"/>
    <w:rsid w:val="002734E5"/>
    <w:rsid w:val="0027472B"/>
    <w:rsid w:val="00282D4F"/>
    <w:rsid w:val="002928D3"/>
    <w:rsid w:val="00292D0A"/>
    <w:rsid w:val="00293FE0"/>
    <w:rsid w:val="002A0052"/>
    <w:rsid w:val="002B0287"/>
    <w:rsid w:val="002C1527"/>
    <w:rsid w:val="002C1C89"/>
    <w:rsid w:val="002C257E"/>
    <w:rsid w:val="002C2EFD"/>
    <w:rsid w:val="002C31A0"/>
    <w:rsid w:val="002C3B10"/>
    <w:rsid w:val="002C64C9"/>
    <w:rsid w:val="002D108C"/>
    <w:rsid w:val="002D153E"/>
    <w:rsid w:val="002D1A71"/>
    <w:rsid w:val="002D7CB3"/>
    <w:rsid w:val="002E0C5B"/>
    <w:rsid w:val="002E10DF"/>
    <w:rsid w:val="002E53DE"/>
    <w:rsid w:val="002E71BB"/>
    <w:rsid w:val="002F105C"/>
    <w:rsid w:val="002F1B2D"/>
    <w:rsid w:val="002F1F45"/>
    <w:rsid w:val="002F1FE6"/>
    <w:rsid w:val="002F3CBC"/>
    <w:rsid w:val="002F4E68"/>
    <w:rsid w:val="00300113"/>
    <w:rsid w:val="00305576"/>
    <w:rsid w:val="00306C7C"/>
    <w:rsid w:val="00310704"/>
    <w:rsid w:val="003114BF"/>
    <w:rsid w:val="00312F7F"/>
    <w:rsid w:val="00316C09"/>
    <w:rsid w:val="00317B5F"/>
    <w:rsid w:val="003216E2"/>
    <w:rsid w:val="00321921"/>
    <w:rsid w:val="00322243"/>
    <w:rsid w:val="00325E22"/>
    <w:rsid w:val="00332A11"/>
    <w:rsid w:val="0033381E"/>
    <w:rsid w:val="003357BF"/>
    <w:rsid w:val="00341017"/>
    <w:rsid w:val="00343F38"/>
    <w:rsid w:val="00347976"/>
    <w:rsid w:val="003518E4"/>
    <w:rsid w:val="00355464"/>
    <w:rsid w:val="00356202"/>
    <w:rsid w:val="003573B4"/>
    <w:rsid w:val="00357A6C"/>
    <w:rsid w:val="00361450"/>
    <w:rsid w:val="00365019"/>
    <w:rsid w:val="003673CF"/>
    <w:rsid w:val="00372F0F"/>
    <w:rsid w:val="00382ABA"/>
    <w:rsid w:val="00383C79"/>
    <w:rsid w:val="003845C1"/>
    <w:rsid w:val="00384A7D"/>
    <w:rsid w:val="003902C1"/>
    <w:rsid w:val="00394309"/>
    <w:rsid w:val="00395D0B"/>
    <w:rsid w:val="003A18EE"/>
    <w:rsid w:val="003A6F89"/>
    <w:rsid w:val="003A78DB"/>
    <w:rsid w:val="003B1626"/>
    <w:rsid w:val="003B38C1"/>
    <w:rsid w:val="003B4C19"/>
    <w:rsid w:val="003B6126"/>
    <w:rsid w:val="003C1466"/>
    <w:rsid w:val="003C4968"/>
    <w:rsid w:val="003C6E56"/>
    <w:rsid w:val="003D09CB"/>
    <w:rsid w:val="003D39D2"/>
    <w:rsid w:val="003D6B7C"/>
    <w:rsid w:val="003E3A86"/>
    <w:rsid w:val="003E3E29"/>
    <w:rsid w:val="003E7332"/>
    <w:rsid w:val="003E7882"/>
    <w:rsid w:val="003F01CD"/>
    <w:rsid w:val="003F46BA"/>
    <w:rsid w:val="00401E0C"/>
    <w:rsid w:val="0040455E"/>
    <w:rsid w:val="004079F5"/>
    <w:rsid w:val="0041109D"/>
    <w:rsid w:val="004161CE"/>
    <w:rsid w:val="00421B99"/>
    <w:rsid w:val="0042289E"/>
    <w:rsid w:val="00423E3E"/>
    <w:rsid w:val="0042786C"/>
    <w:rsid w:val="00427AF4"/>
    <w:rsid w:val="00432E53"/>
    <w:rsid w:val="0043369B"/>
    <w:rsid w:val="0043532C"/>
    <w:rsid w:val="00435D31"/>
    <w:rsid w:val="00437A9A"/>
    <w:rsid w:val="00437C4F"/>
    <w:rsid w:val="0044050B"/>
    <w:rsid w:val="00440C1C"/>
    <w:rsid w:val="0044138C"/>
    <w:rsid w:val="004428E9"/>
    <w:rsid w:val="00450762"/>
    <w:rsid w:val="00455221"/>
    <w:rsid w:val="00457861"/>
    <w:rsid w:val="0046238B"/>
    <w:rsid w:val="004647B4"/>
    <w:rsid w:val="004647DA"/>
    <w:rsid w:val="004719A2"/>
    <w:rsid w:val="00471EE0"/>
    <w:rsid w:val="00474062"/>
    <w:rsid w:val="004759E6"/>
    <w:rsid w:val="00475C75"/>
    <w:rsid w:val="0047621D"/>
    <w:rsid w:val="00476302"/>
    <w:rsid w:val="00477D6B"/>
    <w:rsid w:val="004804F4"/>
    <w:rsid w:val="00481560"/>
    <w:rsid w:val="004818A8"/>
    <w:rsid w:val="00482539"/>
    <w:rsid w:val="00487487"/>
    <w:rsid w:val="0049242E"/>
    <w:rsid w:val="004931FF"/>
    <w:rsid w:val="004A0C1C"/>
    <w:rsid w:val="004A1F36"/>
    <w:rsid w:val="004A3EF8"/>
    <w:rsid w:val="004A44A6"/>
    <w:rsid w:val="004A6335"/>
    <w:rsid w:val="004A717C"/>
    <w:rsid w:val="004B0C63"/>
    <w:rsid w:val="004B5482"/>
    <w:rsid w:val="004B604A"/>
    <w:rsid w:val="004C6FDF"/>
    <w:rsid w:val="004D00D6"/>
    <w:rsid w:val="004D7984"/>
    <w:rsid w:val="004D7A10"/>
    <w:rsid w:val="004E1CD1"/>
    <w:rsid w:val="004E2A0A"/>
    <w:rsid w:val="004E2B55"/>
    <w:rsid w:val="004E3CD1"/>
    <w:rsid w:val="004E44EE"/>
    <w:rsid w:val="004E5F89"/>
    <w:rsid w:val="004E7C1A"/>
    <w:rsid w:val="004F1BF3"/>
    <w:rsid w:val="004F31B1"/>
    <w:rsid w:val="004F4E42"/>
    <w:rsid w:val="005019FF"/>
    <w:rsid w:val="005048D2"/>
    <w:rsid w:val="00510278"/>
    <w:rsid w:val="00511E07"/>
    <w:rsid w:val="00517030"/>
    <w:rsid w:val="00521780"/>
    <w:rsid w:val="00521FFA"/>
    <w:rsid w:val="005225BE"/>
    <w:rsid w:val="00524741"/>
    <w:rsid w:val="005262E2"/>
    <w:rsid w:val="0053057A"/>
    <w:rsid w:val="005315FF"/>
    <w:rsid w:val="0053203A"/>
    <w:rsid w:val="0053516A"/>
    <w:rsid w:val="0053735C"/>
    <w:rsid w:val="00537582"/>
    <w:rsid w:val="00540FE1"/>
    <w:rsid w:val="00541ECE"/>
    <w:rsid w:val="0054212D"/>
    <w:rsid w:val="00546C8A"/>
    <w:rsid w:val="00554081"/>
    <w:rsid w:val="0055446B"/>
    <w:rsid w:val="0055462E"/>
    <w:rsid w:val="0055507D"/>
    <w:rsid w:val="0055616B"/>
    <w:rsid w:val="00556C09"/>
    <w:rsid w:val="00557043"/>
    <w:rsid w:val="00560A29"/>
    <w:rsid w:val="00560EB8"/>
    <w:rsid w:val="005615BC"/>
    <w:rsid w:val="00563307"/>
    <w:rsid w:val="0057033B"/>
    <w:rsid w:val="00574D82"/>
    <w:rsid w:val="005861BC"/>
    <w:rsid w:val="005902AD"/>
    <w:rsid w:val="00592A29"/>
    <w:rsid w:val="005A28B5"/>
    <w:rsid w:val="005A2AE7"/>
    <w:rsid w:val="005A33B2"/>
    <w:rsid w:val="005A49F5"/>
    <w:rsid w:val="005A7034"/>
    <w:rsid w:val="005A73A4"/>
    <w:rsid w:val="005B048E"/>
    <w:rsid w:val="005B243C"/>
    <w:rsid w:val="005B31FF"/>
    <w:rsid w:val="005B41AE"/>
    <w:rsid w:val="005B6775"/>
    <w:rsid w:val="005B6C18"/>
    <w:rsid w:val="005B7B48"/>
    <w:rsid w:val="005C12F6"/>
    <w:rsid w:val="005C156C"/>
    <w:rsid w:val="005C3776"/>
    <w:rsid w:val="005C474D"/>
    <w:rsid w:val="005C6649"/>
    <w:rsid w:val="005D0392"/>
    <w:rsid w:val="005D1B88"/>
    <w:rsid w:val="005D544B"/>
    <w:rsid w:val="005D5530"/>
    <w:rsid w:val="005D68E6"/>
    <w:rsid w:val="005E09D7"/>
    <w:rsid w:val="005E109D"/>
    <w:rsid w:val="005E2020"/>
    <w:rsid w:val="005E28DA"/>
    <w:rsid w:val="005E32BD"/>
    <w:rsid w:val="005E45A3"/>
    <w:rsid w:val="006007B1"/>
    <w:rsid w:val="006010CC"/>
    <w:rsid w:val="0060164E"/>
    <w:rsid w:val="00601654"/>
    <w:rsid w:val="006044B5"/>
    <w:rsid w:val="00604B40"/>
    <w:rsid w:val="00605827"/>
    <w:rsid w:val="00612DFA"/>
    <w:rsid w:val="00613CC1"/>
    <w:rsid w:val="00614EB0"/>
    <w:rsid w:val="0061539A"/>
    <w:rsid w:val="00615D3B"/>
    <w:rsid w:val="00616F1F"/>
    <w:rsid w:val="00622247"/>
    <w:rsid w:val="00622AF7"/>
    <w:rsid w:val="00622F26"/>
    <w:rsid w:val="006239AB"/>
    <w:rsid w:val="00625D0F"/>
    <w:rsid w:val="00625DED"/>
    <w:rsid w:val="00626A7B"/>
    <w:rsid w:val="00630DDD"/>
    <w:rsid w:val="006310F5"/>
    <w:rsid w:val="00633485"/>
    <w:rsid w:val="00636735"/>
    <w:rsid w:val="00641BA9"/>
    <w:rsid w:val="00641CAE"/>
    <w:rsid w:val="00642DB5"/>
    <w:rsid w:val="0064528F"/>
    <w:rsid w:val="00646050"/>
    <w:rsid w:val="00647AE2"/>
    <w:rsid w:val="006602A4"/>
    <w:rsid w:val="00661F9F"/>
    <w:rsid w:val="0066389D"/>
    <w:rsid w:val="00664143"/>
    <w:rsid w:val="00664519"/>
    <w:rsid w:val="00665DE8"/>
    <w:rsid w:val="00670E0E"/>
    <w:rsid w:val="006713CA"/>
    <w:rsid w:val="00672616"/>
    <w:rsid w:val="00672E13"/>
    <w:rsid w:val="00674127"/>
    <w:rsid w:val="0067545A"/>
    <w:rsid w:val="00676C5C"/>
    <w:rsid w:val="00680537"/>
    <w:rsid w:val="00681B55"/>
    <w:rsid w:val="00685D56"/>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247C"/>
    <w:rsid w:val="006F648A"/>
    <w:rsid w:val="006F7852"/>
    <w:rsid w:val="00701028"/>
    <w:rsid w:val="00701545"/>
    <w:rsid w:val="00701687"/>
    <w:rsid w:val="00703856"/>
    <w:rsid w:val="00705904"/>
    <w:rsid w:val="00706D44"/>
    <w:rsid w:val="0071006F"/>
    <w:rsid w:val="00712B21"/>
    <w:rsid w:val="00712CF2"/>
    <w:rsid w:val="007139BA"/>
    <w:rsid w:val="00713B14"/>
    <w:rsid w:val="007152C8"/>
    <w:rsid w:val="00717E13"/>
    <w:rsid w:val="007201FF"/>
    <w:rsid w:val="00723632"/>
    <w:rsid w:val="007262DE"/>
    <w:rsid w:val="00727E9F"/>
    <w:rsid w:val="0073171D"/>
    <w:rsid w:val="00733BE2"/>
    <w:rsid w:val="00734B29"/>
    <w:rsid w:val="00735B04"/>
    <w:rsid w:val="007473FF"/>
    <w:rsid w:val="007524BB"/>
    <w:rsid w:val="0075297A"/>
    <w:rsid w:val="00763263"/>
    <w:rsid w:val="00765AF5"/>
    <w:rsid w:val="00770A42"/>
    <w:rsid w:val="007734DC"/>
    <w:rsid w:val="00775D38"/>
    <w:rsid w:val="00776F75"/>
    <w:rsid w:val="007807BB"/>
    <w:rsid w:val="00781D8C"/>
    <w:rsid w:val="007859E4"/>
    <w:rsid w:val="00792EF8"/>
    <w:rsid w:val="007954E3"/>
    <w:rsid w:val="007957AD"/>
    <w:rsid w:val="007A0976"/>
    <w:rsid w:val="007A5731"/>
    <w:rsid w:val="007B259B"/>
    <w:rsid w:val="007B336B"/>
    <w:rsid w:val="007C5D48"/>
    <w:rsid w:val="007C6124"/>
    <w:rsid w:val="007C65B7"/>
    <w:rsid w:val="007C6A00"/>
    <w:rsid w:val="007D1613"/>
    <w:rsid w:val="007D2B95"/>
    <w:rsid w:val="007D420E"/>
    <w:rsid w:val="007D556A"/>
    <w:rsid w:val="007D6F6F"/>
    <w:rsid w:val="007D77D0"/>
    <w:rsid w:val="007E1926"/>
    <w:rsid w:val="007E484D"/>
    <w:rsid w:val="007F246B"/>
    <w:rsid w:val="007F2833"/>
    <w:rsid w:val="007F32AE"/>
    <w:rsid w:val="007F46A0"/>
    <w:rsid w:val="007F5803"/>
    <w:rsid w:val="007F6873"/>
    <w:rsid w:val="007F759D"/>
    <w:rsid w:val="0080005C"/>
    <w:rsid w:val="00801CE5"/>
    <w:rsid w:val="00802B3B"/>
    <w:rsid w:val="008036A5"/>
    <w:rsid w:val="00803896"/>
    <w:rsid w:val="00804A8F"/>
    <w:rsid w:val="00806BB9"/>
    <w:rsid w:val="00810904"/>
    <w:rsid w:val="008123A6"/>
    <w:rsid w:val="00814EE7"/>
    <w:rsid w:val="0081654E"/>
    <w:rsid w:val="0082026C"/>
    <w:rsid w:val="00824666"/>
    <w:rsid w:val="0082647C"/>
    <w:rsid w:val="008319CD"/>
    <w:rsid w:val="0083322F"/>
    <w:rsid w:val="0083567C"/>
    <w:rsid w:val="0084596A"/>
    <w:rsid w:val="00847393"/>
    <w:rsid w:val="00851211"/>
    <w:rsid w:val="00853721"/>
    <w:rsid w:val="00855E2C"/>
    <w:rsid w:val="00861690"/>
    <w:rsid w:val="00861755"/>
    <w:rsid w:val="0086280F"/>
    <w:rsid w:val="00867484"/>
    <w:rsid w:val="0086768E"/>
    <w:rsid w:val="00873DA7"/>
    <w:rsid w:val="00874441"/>
    <w:rsid w:val="00881649"/>
    <w:rsid w:val="00897284"/>
    <w:rsid w:val="008A02A1"/>
    <w:rsid w:val="008A18AD"/>
    <w:rsid w:val="008A4ADC"/>
    <w:rsid w:val="008A4B7A"/>
    <w:rsid w:val="008A4D10"/>
    <w:rsid w:val="008A5500"/>
    <w:rsid w:val="008A697D"/>
    <w:rsid w:val="008A6A23"/>
    <w:rsid w:val="008B0A99"/>
    <w:rsid w:val="008B18EB"/>
    <w:rsid w:val="008B2CC1"/>
    <w:rsid w:val="008B60B2"/>
    <w:rsid w:val="008B647D"/>
    <w:rsid w:val="008B64D5"/>
    <w:rsid w:val="008B7732"/>
    <w:rsid w:val="008B7B9F"/>
    <w:rsid w:val="008C032C"/>
    <w:rsid w:val="008C0C28"/>
    <w:rsid w:val="008C20BF"/>
    <w:rsid w:val="008C2C98"/>
    <w:rsid w:val="008C2F23"/>
    <w:rsid w:val="008C7C72"/>
    <w:rsid w:val="008D09AC"/>
    <w:rsid w:val="008D1172"/>
    <w:rsid w:val="008D4231"/>
    <w:rsid w:val="008D592C"/>
    <w:rsid w:val="008E0107"/>
    <w:rsid w:val="008E3E4B"/>
    <w:rsid w:val="008E66DA"/>
    <w:rsid w:val="008F32F4"/>
    <w:rsid w:val="008F3443"/>
    <w:rsid w:val="008F5487"/>
    <w:rsid w:val="008F5F00"/>
    <w:rsid w:val="00901E8E"/>
    <w:rsid w:val="00903948"/>
    <w:rsid w:val="00904B76"/>
    <w:rsid w:val="00906F0A"/>
    <w:rsid w:val="0090731E"/>
    <w:rsid w:val="00907FF2"/>
    <w:rsid w:val="00915496"/>
    <w:rsid w:val="00916EE2"/>
    <w:rsid w:val="00921BE5"/>
    <w:rsid w:val="009221D7"/>
    <w:rsid w:val="00931C24"/>
    <w:rsid w:val="00934221"/>
    <w:rsid w:val="00936964"/>
    <w:rsid w:val="009370AF"/>
    <w:rsid w:val="00940466"/>
    <w:rsid w:val="009430FC"/>
    <w:rsid w:val="0094415C"/>
    <w:rsid w:val="00954A2B"/>
    <w:rsid w:val="009555B8"/>
    <w:rsid w:val="00957386"/>
    <w:rsid w:val="00963C21"/>
    <w:rsid w:val="009664C4"/>
    <w:rsid w:val="00966A22"/>
    <w:rsid w:val="0096722F"/>
    <w:rsid w:val="00967C1B"/>
    <w:rsid w:val="00970337"/>
    <w:rsid w:val="00971354"/>
    <w:rsid w:val="00973B20"/>
    <w:rsid w:val="009758EC"/>
    <w:rsid w:val="009769B8"/>
    <w:rsid w:val="00980843"/>
    <w:rsid w:val="0098383C"/>
    <w:rsid w:val="00986EB6"/>
    <w:rsid w:val="00990093"/>
    <w:rsid w:val="009946DF"/>
    <w:rsid w:val="00997122"/>
    <w:rsid w:val="009A35A6"/>
    <w:rsid w:val="009A5D22"/>
    <w:rsid w:val="009B6F14"/>
    <w:rsid w:val="009C072C"/>
    <w:rsid w:val="009C2861"/>
    <w:rsid w:val="009C3441"/>
    <w:rsid w:val="009C5832"/>
    <w:rsid w:val="009C5957"/>
    <w:rsid w:val="009D28D3"/>
    <w:rsid w:val="009D309C"/>
    <w:rsid w:val="009D31D4"/>
    <w:rsid w:val="009D525C"/>
    <w:rsid w:val="009D7146"/>
    <w:rsid w:val="009D7B8B"/>
    <w:rsid w:val="009E2791"/>
    <w:rsid w:val="009E2E24"/>
    <w:rsid w:val="009E3F6F"/>
    <w:rsid w:val="009E6309"/>
    <w:rsid w:val="009E6FB4"/>
    <w:rsid w:val="009E7769"/>
    <w:rsid w:val="009F499F"/>
    <w:rsid w:val="009F4E4F"/>
    <w:rsid w:val="009F50CD"/>
    <w:rsid w:val="009F70B9"/>
    <w:rsid w:val="00A02569"/>
    <w:rsid w:val="00A15EF2"/>
    <w:rsid w:val="00A17CBF"/>
    <w:rsid w:val="00A24EBD"/>
    <w:rsid w:val="00A30D7B"/>
    <w:rsid w:val="00A31713"/>
    <w:rsid w:val="00A42DAF"/>
    <w:rsid w:val="00A44A9A"/>
    <w:rsid w:val="00A45BD8"/>
    <w:rsid w:val="00A529C0"/>
    <w:rsid w:val="00A532CC"/>
    <w:rsid w:val="00A534EE"/>
    <w:rsid w:val="00A5641F"/>
    <w:rsid w:val="00A625C6"/>
    <w:rsid w:val="00A6735C"/>
    <w:rsid w:val="00A67ABF"/>
    <w:rsid w:val="00A67C75"/>
    <w:rsid w:val="00A67FC3"/>
    <w:rsid w:val="00A713CD"/>
    <w:rsid w:val="00A71C57"/>
    <w:rsid w:val="00A72466"/>
    <w:rsid w:val="00A74CD2"/>
    <w:rsid w:val="00A848E9"/>
    <w:rsid w:val="00A869B7"/>
    <w:rsid w:val="00A914CE"/>
    <w:rsid w:val="00A958C2"/>
    <w:rsid w:val="00A95D3F"/>
    <w:rsid w:val="00AA16B2"/>
    <w:rsid w:val="00AA2FE6"/>
    <w:rsid w:val="00AA47D6"/>
    <w:rsid w:val="00AB0E5A"/>
    <w:rsid w:val="00AB7DFA"/>
    <w:rsid w:val="00AC205C"/>
    <w:rsid w:val="00AD2B42"/>
    <w:rsid w:val="00AD364F"/>
    <w:rsid w:val="00AF0A6B"/>
    <w:rsid w:val="00AF24F5"/>
    <w:rsid w:val="00AF37D6"/>
    <w:rsid w:val="00AF5416"/>
    <w:rsid w:val="00B04448"/>
    <w:rsid w:val="00B05A69"/>
    <w:rsid w:val="00B06772"/>
    <w:rsid w:val="00B1174E"/>
    <w:rsid w:val="00B12EE7"/>
    <w:rsid w:val="00B24D5B"/>
    <w:rsid w:val="00B25B25"/>
    <w:rsid w:val="00B263AE"/>
    <w:rsid w:val="00B277BE"/>
    <w:rsid w:val="00B27DC4"/>
    <w:rsid w:val="00B34C47"/>
    <w:rsid w:val="00B36D1A"/>
    <w:rsid w:val="00B43843"/>
    <w:rsid w:val="00B43A5B"/>
    <w:rsid w:val="00B47FEC"/>
    <w:rsid w:val="00B525BE"/>
    <w:rsid w:val="00B6007D"/>
    <w:rsid w:val="00B607F7"/>
    <w:rsid w:val="00B630E3"/>
    <w:rsid w:val="00B64626"/>
    <w:rsid w:val="00B65E38"/>
    <w:rsid w:val="00B66E1D"/>
    <w:rsid w:val="00B70D21"/>
    <w:rsid w:val="00B81BCC"/>
    <w:rsid w:val="00B821FE"/>
    <w:rsid w:val="00B82393"/>
    <w:rsid w:val="00B82F01"/>
    <w:rsid w:val="00B94C4C"/>
    <w:rsid w:val="00B9734B"/>
    <w:rsid w:val="00B97A1D"/>
    <w:rsid w:val="00BA219A"/>
    <w:rsid w:val="00BA3626"/>
    <w:rsid w:val="00BA3DA1"/>
    <w:rsid w:val="00BA5400"/>
    <w:rsid w:val="00BA5F17"/>
    <w:rsid w:val="00BB2DFF"/>
    <w:rsid w:val="00BB335E"/>
    <w:rsid w:val="00BB34EE"/>
    <w:rsid w:val="00BB47C4"/>
    <w:rsid w:val="00BB52C5"/>
    <w:rsid w:val="00BC3E96"/>
    <w:rsid w:val="00BC4E28"/>
    <w:rsid w:val="00BC7418"/>
    <w:rsid w:val="00BD1850"/>
    <w:rsid w:val="00BD4D70"/>
    <w:rsid w:val="00BD5FCE"/>
    <w:rsid w:val="00BD734D"/>
    <w:rsid w:val="00BD77D0"/>
    <w:rsid w:val="00BF04F2"/>
    <w:rsid w:val="00BF182E"/>
    <w:rsid w:val="00BF559A"/>
    <w:rsid w:val="00BF6CE4"/>
    <w:rsid w:val="00BF7EC1"/>
    <w:rsid w:val="00C02D63"/>
    <w:rsid w:val="00C0589C"/>
    <w:rsid w:val="00C11536"/>
    <w:rsid w:val="00C11BFE"/>
    <w:rsid w:val="00C1395E"/>
    <w:rsid w:val="00C13BB7"/>
    <w:rsid w:val="00C15035"/>
    <w:rsid w:val="00C1539B"/>
    <w:rsid w:val="00C1612D"/>
    <w:rsid w:val="00C1671A"/>
    <w:rsid w:val="00C211FB"/>
    <w:rsid w:val="00C21420"/>
    <w:rsid w:val="00C21A06"/>
    <w:rsid w:val="00C24098"/>
    <w:rsid w:val="00C30E5D"/>
    <w:rsid w:val="00C35124"/>
    <w:rsid w:val="00C46BF7"/>
    <w:rsid w:val="00C523E8"/>
    <w:rsid w:val="00C54D52"/>
    <w:rsid w:val="00C5665B"/>
    <w:rsid w:val="00C61936"/>
    <w:rsid w:val="00C63410"/>
    <w:rsid w:val="00C70936"/>
    <w:rsid w:val="00C71A98"/>
    <w:rsid w:val="00C737BE"/>
    <w:rsid w:val="00C751EC"/>
    <w:rsid w:val="00C75213"/>
    <w:rsid w:val="00C75FFE"/>
    <w:rsid w:val="00C77396"/>
    <w:rsid w:val="00C80DAB"/>
    <w:rsid w:val="00C84120"/>
    <w:rsid w:val="00C85A08"/>
    <w:rsid w:val="00C959DC"/>
    <w:rsid w:val="00C95D3D"/>
    <w:rsid w:val="00C976C2"/>
    <w:rsid w:val="00CA2A8B"/>
    <w:rsid w:val="00CA52C6"/>
    <w:rsid w:val="00CB2427"/>
    <w:rsid w:val="00CB4622"/>
    <w:rsid w:val="00CC1BD9"/>
    <w:rsid w:val="00CC1C6C"/>
    <w:rsid w:val="00CC2EAF"/>
    <w:rsid w:val="00CD2CD0"/>
    <w:rsid w:val="00CD388C"/>
    <w:rsid w:val="00CD4D22"/>
    <w:rsid w:val="00CD64B4"/>
    <w:rsid w:val="00CF4114"/>
    <w:rsid w:val="00D01A19"/>
    <w:rsid w:val="00D02941"/>
    <w:rsid w:val="00D02F4B"/>
    <w:rsid w:val="00D04AFC"/>
    <w:rsid w:val="00D054A0"/>
    <w:rsid w:val="00D05EC4"/>
    <w:rsid w:val="00D062A4"/>
    <w:rsid w:val="00D075A9"/>
    <w:rsid w:val="00D10432"/>
    <w:rsid w:val="00D122D6"/>
    <w:rsid w:val="00D1441F"/>
    <w:rsid w:val="00D156C1"/>
    <w:rsid w:val="00D202FA"/>
    <w:rsid w:val="00D20E09"/>
    <w:rsid w:val="00D20EAB"/>
    <w:rsid w:val="00D22C73"/>
    <w:rsid w:val="00D255CA"/>
    <w:rsid w:val="00D2711D"/>
    <w:rsid w:val="00D330C3"/>
    <w:rsid w:val="00D40043"/>
    <w:rsid w:val="00D40A5D"/>
    <w:rsid w:val="00D420EE"/>
    <w:rsid w:val="00D44759"/>
    <w:rsid w:val="00D450CB"/>
    <w:rsid w:val="00D45252"/>
    <w:rsid w:val="00D45B47"/>
    <w:rsid w:val="00D468F7"/>
    <w:rsid w:val="00D46E51"/>
    <w:rsid w:val="00D50B4B"/>
    <w:rsid w:val="00D54A8B"/>
    <w:rsid w:val="00D552C0"/>
    <w:rsid w:val="00D56D71"/>
    <w:rsid w:val="00D578B1"/>
    <w:rsid w:val="00D61A8F"/>
    <w:rsid w:val="00D62106"/>
    <w:rsid w:val="00D71B4D"/>
    <w:rsid w:val="00D84BC3"/>
    <w:rsid w:val="00D90F8F"/>
    <w:rsid w:val="00D93A49"/>
    <w:rsid w:val="00D93D55"/>
    <w:rsid w:val="00D94F50"/>
    <w:rsid w:val="00D961D5"/>
    <w:rsid w:val="00DA11DA"/>
    <w:rsid w:val="00DC0574"/>
    <w:rsid w:val="00DC62C8"/>
    <w:rsid w:val="00DC6870"/>
    <w:rsid w:val="00DC709D"/>
    <w:rsid w:val="00DC74CF"/>
    <w:rsid w:val="00DD50CC"/>
    <w:rsid w:val="00DD5390"/>
    <w:rsid w:val="00DD69B7"/>
    <w:rsid w:val="00DE1261"/>
    <w:rsid w:val="00DF0DEC"/>
    <w:rsid w:val="00DF1668"/>
    <w:rsid w:val="00DF49FB"/>
    <w:rsid w:val="00E00B7A"/>
    <w:rsid w:val="00E0111E"/>
    <w:rsid w:val="00E014D5"/>
    <w:rsid w:val="00E019B9"/>
    <w:rsid w:val="00E02F88"/>
    <w:rsid w:val="00E03C34"/>
    <w:rsid w:val="00E10E40"/>
    <w:rsid w:val="00E10E7D"/>
    <w:rsid w:val="00E12599"/>
    <w:rsid w:val="00E14C20"/>
    <w:rsid w:val="00E159B4"/>
    <w:rsid w:val="00E1775B"/>
    <w:rsid w:val="00E21C5B"/>
    <w:rsid w:val="00E239FE"/>
    <w:rsid w:val="00E335FE"/>
    <w:rsid w:val="00E346CC"/>
    <w:rsid w:val="00E37B6A"/>
    <w:rsid w:val="00E37BF0"/>
    <w:rsid w:val="00E4199A"/>
    <w:rsid w:val="00E44FD5"/>
    <w:rsid w:val="00E512EA"/>
    <w:rsid w:val="00E51419"/>
    <w:rsid w:val="00E51987"/>
    <w:rsid w:val="00E530F6"/>
    <w:rsid w:val="00E5379B"/>
    <w:rsid w:val="00E564FB"/>
    <w:rsid w:val="00E60711"/>
    <w:rsid w:val="00E65591"/>
    <w:rsid w:val="00E65D7A"/>
    <w:rsid w:val="00E70B77"/>
    <w:rsid w:val="00E76B13"/>
    <w:rsid w:val="00E806B0"/>
    <w:rsid w:val="00E80D18"/>
    <w:rsid w:val="00E829F1"/>
    <w:rsid w:val="00E82FA4"/>
    <w:rsid w:val="00E90CE1"/>
    <w:rsid w:val="00E92DAC"/>
    <w:rsid w:val="00EA29F2"/>
    <w:rsid w:val="00EA4A7C"/>
    <w:rsid w:val="00EA5B87"/>
    <w:rsid w:val="00EB4E3A"/>
    <w:rsid w:val="00EB67E1"/>
    <w:rsid w:val="00EC3AA3"/>
    <w:rsid w:val="00EC4E49"/>
    <w:rsid w:val="00EC5760"/>
    <w:rsid w:val="00EC5B5E"/>
    <w:rsid w:val="00EC6911"/>
    <w:rsid w:val="00EC78C8"/>
    <w:rsid w:val="00EC7A93"/>
    <w:rsid w:val="00ED0B84"/>
    <w:rsid w:val="00ED0FB6"/>
    <w:rsid w:val="00ED203F"/>
    <w:rsid w:val="00ED6210"/>
    <w:rsid w:val="00ED77FB"/>
    <w:rsid w:val="00EE45FA"/>
    <w:rsid w:val="00EE4EA9"/>
    <w:rsid w:val="00EE6700"/>
    <w:rsid w:val="00EF5758"/>
    <w:rsid w:val="00EF64ED"/>
    <w:rsid w:val="00EF66E0"/>
    <w:rsid w:val="00EF79A1"/>
    <w:rsid w:val="00F0042B"/>
    <w:rsid w:val="00F022CF"/>
    <w:rsid w:val="00F157A8"/>
    <w:rsid w:val="00F16651"/>
    <w:rsid w:val="00F17AC9"/>
    <w:rsid w:val="00F210F3"/>
    <w:rsid w:val="00F24638"/>
    <w:rsid w:val="00F24F05"/>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2C4"/>
    <w:rsid w:val="00F8031F"/>
    <w:rsid w:val="00F81402"/>
    <w:rsid w:val="00F857C0"/>
    <w:rsid w:val="00F864DB"/>
    <w:rsid w:val="00F90072"/>
    <w:rsid w:val="00FA1587"/>
    <w:rsid w:val="00FA296E"/>
    <w:rsid w:val="00FA4709"/>
    <w:rsid w:val="00FB0290"/>
    <w:rsid w:val="00FB0487"/>
    <w:rsid w:val="00FB0C35"/>
    <w:rsid w:val="00FB4662"/>
    <w:rsid w:val="00FB6E95"/>
    <w:rsid w:val="00FC1735"/>
    <w:rsid w:val="00FC1F6C"/>
    <w:rsid w:val="00FC6E1C"/>
    <w:rsid w:val="00FC767C"/>
    <w:rsid w:val="00FD25D7"/>
    <w:rsid w:val="00FD297E"/>
    <w:rsid w:val="00FD2DCB"/>
    <w:rsid w:val="00FD434D"/>
    <w:rsid w:val="00FE0144"/>
    <w:rsid w:val="00FE36D3"/>
    <w:rsid w:val="00FE3AA9"/>
    <w:rsid w:val="00FE5895"/>
    <w:rsid w:val="00FF0270"/>
    <w:rsid w:val="00FF0320"/>
    <w:rsid w:val="00FF0F54"/>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classifications/nice/nclrms/" TargetMode="External"/><Relationship Id="rId18" Type="http://schemas.openxmlformats.org/officeDocument/2006/relationships/hyperlink" Target="https://www3.wipo.int/classifications/nice/nclef/public/en/project/CE33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nice/nclef/public/en/project/CE330" TargetMode="External"/><Relationship Id="rId17" Type="http://schemas.openxmlformats.org/officeDocument/2006/relationships/hyperlink" Target="https://www3.wipo.int/classifications/nice/nclef/public/en/project/CE33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nice/nclef/public/en" TargetMode="External"/><Relationship Id="rId20" Type="http://schemas.openxmlformats.org/officeDocument/2006/relationships/hyperlink" Target="https://www3.wipo.int/classifications/nice/nclef/public/en/project/SP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nice/nclef/public/en/project/CE3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classifications/nice/nclrms/" TargetMode="External"/><Relationship Id="rId19" Type="http://schemas.openxmlformats.org/officeDocument/2006/relationships/hyperlink" Target="https://www.wipo.int/classifications/nice/nclef/" TargetMode="Externa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D67A-3060-4B20-B0E0-742E8303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1629</Words>
  <Characters>9739</Characters>
  <Application>Microsoft Office Word</Application>
  <DocSecurity>0</DocSecurity>
  <Lines>3246</Lines>
  <Paragraphs>247</Paragraphs>
  <ScaleCrop>false</ScaleCrop>
  <HeadingPairs>
    <vt:vector size="2" baseType="variant">
      <vt:variant>
        <vt:lpstr>Title</vt:lpstr>
      </vt:variant>
      <vt:variant>
        <vt:i4>1</vt:i4>
      </vt:variant>
    </vt:vector>
  </HeadingPairs>
  <TitlesOfParts>
    <vt:vector size="1" baseType="lpstr">
      <vt:lpstr>CLIM/CE/33/2</vt:lpstr>
    </vt:vector>
  </TitlesOfParts>
  <Company>WIPO</Company>
  <LinksUpToDate>false</LinksUpToDate>
  <CharactersWithSpaces>11121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CLIM/CE/33/2</dc:title>
  <dc:subject>Draft Report</dc:subject>
  <dc:creator>CARMINATI Christine</dc:creator>
  <cp:keywords>FOR OFFICIAL USE ONLY</cp:keywords>
  <cp:lastModifiedBy>CARMINATI Christine</cp:lastModifiedBy>
  <cp:revision>2</cp:revision>
  <cp:lastPrinted>2022-05-03T06:12:00Z</cp:lastPrinted>
  <dcterms:created xsi:type="dcterms:W3CDTF">2023-06-01T13:29:00Z</dcterms:created>
  <dcterms:modified xsi:type="dcterms:W3CDTF">2023-06-01T13:29:00Z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2023-06-01T13:29:24Z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afcd1d56-f233-4ab0-a063-1562cf42bae9</vt:lpwstr>
  </property>
  <property fmtid="{D5CDD505-2E9C-101B-9397-08002B2CF9AE}" pid="14" name="MSIP_Label_bfc084f7-b690-4c43-8ee6-d475b6d3461d_ContentBits">
    <vt:lpwstr>2</vt:lpwstr>
  </property>
</Properties>
</file>