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37ECA" w:rsidRPr="008B2CC1" w14:paraId="69612309" w14:textId="77777777" w:rsidTr="004D064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097F5EF" w14:textId="77777777" w:rsidR="00037ECA" w:rsidRPr="008B2CC1" w:rsidRDefault="00037ECA" w:rsidP="004D0640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0C2B2C7" w14:textId="77777777" w:rsidR="00037ECA" w:rsidRPr="008B2CC1" w:rsidRDefault="00037ECA" w:rsidP="004D0640">
            <w:r>
              <w:rPr>
                <w:noProof/>
                <w:lang w:eastAsia="en-US"/>
              </w:rPr>
              <w:drawing>
                <wp:inline distT="0" distB="0" distL="0" distR="0" wp14:anchorId="42C3AE7F" wp14:editId="680A1C65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8517E24" w14:textId="77777777" w:rsidR="00037ECA" w:rsidRPr="008B2CC1" w:rsidRDefault="00037ECA" w:rsidP="004D0640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037ECA" w:rsidRPr="001832A6" w14:paraId="208D104E" w14:textId="77777777" w:rsidTr="004D064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E8A0921" w14:textId="77777777" w:rsidR="00037ECA" w:rsidRPr="0090731E" w:rsidRDefault="00037ECA" w:rsidP="004D064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037ECA" w:rsidRPr="001832A6" w14:paraId="38426218" w14:textId="77777777" w:rsidTr="004D064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EB74797" w14:textId="77777777" w:rsidR="00037ECA" w:rsidRPr="0090731E" w:rsidRDefault="00037ECA" w:rsidP="004D064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037ECA" w:rsidRPr="001832A6" w14:paraId="2B5E7432" w14:textId="77777777" w:rsidTr="004D064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5B9FE52" w14:textId="77777777" w:rsidR="00037ECA" w:rsidRPr="0090731E" w:rsidRDefault="00037ECA" w:rsidP="004D064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6 septembre 2018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14F0FEC0" w14:textId="77777777" w:rsidR="00037ECA" w:rsidRPr="00037ECA" w:rsidRDefault="00037ECA" w:rsidP="00037ECA">
      <w:pPr>
        <w:spacing w:before="1200" w:after="600"/>
        <w:rPr>
          <w:b/>
          <w:sz w:val="28"/>
          <w:szCs w:val="28"/>
          <w:lang w:val="fr-FR"/>
        </w:rPr>
      </w:pPr>
      <w:r w:rsidRPr="00037ECA">
        <w:rPr>
          <w:b/>
          <w:sz w:val="28"/>
          <w:szCs w:val="28"/>
          <w:lang w:val="fr-FR"/>
        </w:rPr>
        <w:t>Comité des normes de l’OMPI (CWS)</w:t>
      </w:r>
    </w:p>
    <w:p w14:paraId="45AA1F52" w14:textId="77777777" w:rsidR="00037ECA" w:rsidRPr="00037ECA" w:rsidRDefault="00037ECA" w:rsidP="00037ECA">
      <w:pPr>
        <w:rPr>
          <w:b/>
          <w:sz w:val="24"/>
          <w:szCs w:val="24"/>
          <w:lang w:val="fr-FR"/>
        </w:rPr>
      </w:pPr>
      <w:r w:rsidRPr="00037ECA">
        <w:rPr>
          <w:b/>
          <w:sz w:val="24"/>
          <w:szCs w:val="24"/>
          <w:lang w:val="fr-FR"/>
        </w:rPr>
        <w:t>Sixième session</w:t>
      </w:r>
    </w:p>
    <w:p w14:paraId="2A8076BE" w14:textId="77777777" w:rsidR="00037ECA" w:rsidRPr="00037ECA" w:rsidRDefault="00037ECA" w:rsidP="00037ECA">
      <w:pPr>
        <w:rPr>
          <w:b/>
          <w:sz w:val="24"/>
          <w:szCs w:val="24"/>
          <w:lang w:val="fr-FR"/>
        </w:rPr>
      </w:pPr>
      <w:r w:rsidRPr="00037ECA">
        <w:rPr>
          <w:b/>
          <w:sz w:val="24"/>
          <w:szCs w:val="24"/>
          <w:lang w:val="fr-FR"/>
        </w:rPr>
        <w:t>Genève, 15 – 19 octobre 2018</w:t>
      </w:r>
    </w:p>
    <w:p w14:paraId="6A670CE3" w14:textId="75EEBB3C" w:rsidR="00CF24DC" w:rsidRPr="004C4A98" w:rsidRDefault="004C4A98" w:rsidP="00037ECA">
      <w:pPr>
        <w:spacing w:before="720"/>
        <w:rPr>
          <w:caps/>
          <w:sz w:val="24"/>
          <w:lang w:val="fr-CH"/>
        </w:rPr>
      </w:pPr>
      <w:bookmarkStart w:id="3" w:name="_GoBack"/>
      <w:r w:rsidRPr="004C4A98">
        <w:rPr>
          <w:caps/>
          <w:sz w:val="24"/>
          <w:lang w:val="fr-CH"/>
        </w:rPr>
        <w:t>Rapport sur l’enquête concernant l’utilisation des normes de</w:t>
      </w:r>
      <w:r>
        <w:rPr>
          <w:caps/>
          <w:sz w:val="24"/>
          <w:lang w:val="fr-CH"/>
        </w:rPr>
        <w:t> </w:t>
      </w:r>
      <w:r w:rsidRPr="004C4A98">
        <w:rPr>
          <w:caps/>
          <w:sz w:val="24"/>
          <w:lang w:val="fr-CH"/>
        </w:rPr>
        <w:t>l’OMPI</w:t>
      </w:r>
    </w:p>
    <w:bookmarkEnd w:id="3"/>
    <w:p w14:paraId="75867DD4" w14:textId="77777777" w:rsidR="00CF24DC" w:rsidRPr="00C14F89" w:rsidRDefault="00B8033D" w:rsidP="00037ECA">
      <w:pPr>
        <w:spacing w:before="360" w:after="960"/>
        <w:rPr>
          <w:i/>
          <w:lang w:val="fr-CH"/>
        </w:rPr>
      </w:pPr>
      <w:r w:rsidRPr="00C14F89">
        <w:rPr>
          <w:i/>
          <w:lang w:val="fr-CH"/>
        </w:rPr>
        <w:t>Document établi par le Secrétariat</w:t>
      </w:r>
    </w:p>
    <w:p w14:paraId="17BB9F6F" w14:textId="77777777" w:rsidR="00CF24DC" w:rsidRPr="004C4A98" w:rsidRDefault="00AA0C03" w:rsidP="004C4A98">
      <w:pPr>
        <w:pStyle w:val="Heading2"/>
        <w:rPr>
          <w:lang w:val="fr-CH"/>
        </w:rPr>
      </w:pPr>
      <w:r w:rsidRPr="004C4A98">
        <w:rPr>
          <w:lang w:val="fr-CH"/>
        </w:rPr>
        <w:t>Informations générales</w:t>
      </w:r>
    </w:p>
    <w:p w14:paraId="1A407E53" w14:textId="756AA3C7" w:rsidR="00CF24DC" w:rsidRPr="00C14F89" w:rsidRDefault="00AA0C03" w:rsidP="004C4A98">
      <w:pPr>
        <w:pStyle w:val="ONUMFS"/>
        <w:rPr>
          <w:lang w:val="fr-CH"/>
        </w:rPr>
      </w:pPr>
      <w:r w:rsidRPr="00C14F89">
        <w:rPr>
          <w:lang w:val="fr-CH"/>
        </w:rPr>
        <w:t>À sa cinqu</w:t>
      </w:r>
      <w:r w:rsidR="00DC328A">
        <w:rPr>
          <w:lang w:val="fr-CH"/>
        </w:rPr>
        <w:t>ième session</w:t>
      </w:r>
      <w:r w:rsidRPr="00C14F89">
        <w:rPr>
          <w:lang w:val="fr-CH"/>
        </w:rPr>
        <w:t xml:space="preserve">, tenue </w:t>
      </w:r>
      <w:r w:rsidR="00DC328A" w:rsidRPr="00C14F89">
        <w:rPr>
          <w:lang w:val="fr-CH"/>
        </w:rPr>
        <w:t>en</w:t>
      </w:r>
      <w:r w:rsidR="00DC328A">
        <w:rPr>
          <w:lang w:val="fr-CH"/>
        </w:rPr>
        <w:t> </w:t>
      </w:r>
      <w:r w:rsidR="00DC328A" w:rsidRPr="00C14F89">
        <w:rPr>
          <w:lang w:val="fr-CH"/>
        </w:rPr>
        <w:t>2017</w:t>
      </w:r>
      <w:r w:rsidRPr="00C14F89">
        <w:rPr>
          <w:lang w:val="fr-CH"/>
        </w:rPr>
        <w:t>, le Comité des normes de l</w:t>
      </w:r>
      <w:r w:rsidR="00DC328A">
        <w:rPr>
          <w:lang w:val="fr-CH"/>
        </w:rPr>
        <w:t>’</w:t>
      </w:r>
      <w:r w:rsidRPr="00C14F89">
        <w:rPr>
          <w:lang w:val="fr-CH"/>
        </w:rPr>
        <w:t>OMPI (CWS) a pris note du rapport sur les résultats de l</w:t>
      </w:r>
      <w:r w:rsidR="00DC328A">
        <w:rPr>
          <w:lang w:val="fr-CH"/>
        </w:rPr>
        <w:t>’</w:t>
      </w:r>
      <w:r w:rsidRPr="00C14F89">
        <w:rPr>
          <w:lang w:val="fr-CH"/>
        </w:rPr>
        <w:t>enquête concernant l</w:t>
      </w:r>
      <w:r w:rsidR="00DC328A">
        <w:rPr>
          <w:lang w:val="fr-CH"/>
        </w:rPr>
        <w:t>’</w:t>
      </w:r>
      <w:r w:rsidRPr="00C14F89">
        <w:rPr>
          <w:lang w:val="fr-CH"/>
        </w:rPr>
        <w:t>utilisation des normes de l</w:t>
      </w:r>
      <w:r w:rsidR="00DC328A">
        <w:rPr>
          <w:lang w:val="fr-CH"/>
        </w:rPr>
        <w:t>’</w:t>
      </w:r>
      <w:r w:rsidRPr="00C14F89">
        <w:rPr>
          <w:lang w:val="fr-CH"/>
        </w:rPr>
        <w:t xml:space="preserve">OMPI, </w:t>
      </w:r>
      <w:r w:rsidR="00DC328A">
        <w:rPr>
          <w:lang w:val="fr-CH"/>
        </w:rPr>
        <w:t>y compris</w:t>
      </w:r>
      <w:r w:rsidRPr="00C14F89">
        <w:rPr>
          <w:lang w:val="fr-CH"/>
        </w:rPr>
        <w:t xml:space="preserve"> le résumé des réponses de 31</w:t>
      </w:r>
      <w:r w:rsidR="009E7E81">
        <w:rPr>
          <w:lang w:val="fr-CH"/>
        </w:rPr>
        <w:t> </w:t>
      </w:r>
      <w:r w:rsidRPr="00C14F89">
        <w:rPr>
          <w:lang w:val="fr-CH"/>
        </w:rPr>
        <w:t>offices de propriété industriel</w:t>
      </w:r>
      <w:r w:rsidR="009E7E81" w:rsidRPr="00C14F89">
        <w:rPr>
          <w:lang w:val="fr-CH"/>
        </w:rPr>
        <w:t>le</w:t>
      </w:r>
      <w:r w:rsidR="009E7E81">
        <w:rPr>
          <w:lang w:val="fr-CH"/>
        </w:rPr>
        <w:t xml:space="preserve">.  </w:t>
      </w:r>
      <w:r w:rsidR="009E7E81" w:rsidRPr="00C14F89">
        <w:rPr>
          <w:lang w:val="fr-CH"/>
        </w:rPr>
        <w:t>Le</w:t>
      </w:r>
      <w:r w:rsidR="00DC328A">
        <w:rPr>
          <w:lang w:val="fr-CH"/>
        </w:rPr>
        <w:t> </w:t>
      </w:r>
      <w:r w:rsidR="00DC328A" w:rsidRPr="00C14F89">
        <w:rPr>
          <w:lang w:val="fr-CH"/>
        </w:rPr>
        <w:t>CWS</w:t>
      </w:r>
      <w:r w:rsidR="008A7EF3" w:rsidRPr="00C14F89">
        <w:rPr>
          <w:lang w:val="fr-CH"/>
        </w:rPr>
        <w:t xml:space="preserve"> a prié le Bureau international de poursuivre et d</w:t>
      </w:r>
      <w:r w:rsidR="00DC328A">
        <w:rPr>
          <w:lang w:val="fr-CH"/>
        </w:rPr>
        <w:t>’</w:t>
      </w:r>
      <w:r w:rsidR="008A7EF3" w:rsidRPr="00C14F89">
        <w:rPr>
          <w:lang w:val="fr-CH"/>
        </w:rPr>
        <w:t>intensifier ses efforts en matière de fourniture d</w:t>
      </w:r>
      <w:r w:rsidR="00DC328A">
        <w:rPr>
          <w:lang w:val="fr-CH"/>
        </w:rPr>
        <w:t>’</w:t>
      </w:r>
      <w:r w:rsidR="008A7EF3" w:rsidRPr="00C14F89">
        <w:rPr>
          <w:lang w:val="fr-CH"/>
        </w:rPr>
        <w:t>assistance technique aux États membres et d</w:t>
      </w:r>
      <w:r w:rsidR="00DC328A">
        <w:rPr>
          <w:lang w:val="fr-CH"/>
        </w:rPr>
        <w:t>’</w:t>
      </w:r>
      <w:r w:rsidR="008A7EF3" w:rsidRPr="00C14F89">
        <w:rPr>
          <w:lang w:val="fr-CH"/>
        </w:rPr>
        <w:t xml:space="preserve">assurer le suivi des cas visés au </w:t>
      </w:r>
      <w:r w:rsidR="00DC328A" w:rsidRPr="00C14F89">
        <w:rPr>
          <w:lang w:val="fr-CH"/>
        </w:rPr>
        <w:t>paragraphe</w:t>
      </w:r>
      <w:r w:rsidR="00DC328A">
        <w:rPr>
          <w:lang w:val="fr-CH"/>
        </w:rPr>
        <w:t> </w:t>
      </w:r>
      <w:r w:rsidR="00DC328A" w:rsidRPr="00C14F89">
        <w:rPr>
          <w:lang w:val="fr-CH"/>
        </w:rPr>
        <w:t>8</w:t>
      </w:r>
      <w:r w:rsidR="008A7EF3" w:rsidRPr="00C14F89">
        <w:rPr>
          <w:lang w:val="fr-CH"/>
        </w:rPr>
        <w:t>.c) du document</w:t>
      </w:r>
      <w:r w:rsidR="009E7E81">
        <w:rPr>
          <w:lang w:val="fr-CH"/>
        </w:rPr>
        <w:t> </w:t>
      </w:r>
      <w:r w:rsidR="008A7EF3" w:rsidRPr="00C14F89">
        <w:rPr>
          <w:lang w:val="fr-CH"/>
        </w:rPr>
        <w:t>CWS/5/2, ainsi que d</w:t>
      </w:r>
      <w:r w:rsidR="00DC328A">
        <w:rPr>
          <w:lang w:val="fr-CH"/>
        </w:rPr>
        <w:t>’</w:t>
      </w:r>
      <w:r w:rsidR="008A7EF3" w:rsidRPr="00C14F89">
        <w:rPr>
          <w:lang w:val="fr-CH"/>
        </w:rPr>
        <w:t>autres cas à l</w:t>
      </w:r>
      <w:r w:rsidR="00DC328A">
        <w:rPr>
          <w:lang w:val="fr-CH"/>
        </w:rPr>
        <w:t>’</w:t>
      </w:r>
      <w:r w:rsidR="008A7EF3" w:rsidRPr="00C14F89">
        <w:rPr>
          <w:lang w:val="fr-CH"/>
        </w:rPr>
        <w:t>avenir qui appelleraient des activités de sensibilisation et d</w:t>
      </w:r>
      <w:r w:rsidR="00DC328A">
        <w:rPr>
          <w:lang w:val="fr-CH"/>
        </w:rPr>
        <w:t>’</w:t>
      </w:r>
      <w:r w:rsidR="008A7EF3" w:rsidRPr="00C14F89">
        <w:rPr>
          <w:lang w:val="fr-CH"/>
        </w:rPr>
        <w:t xml:space="preserve">assistance technique (voir les </w:t>
      </w:r>
      <w:r w:rsidR="00DC328A" w:rsidRPr="00C14F89">
        <w:rPr>
          <w:lang w:val="fr-CH"/>
        </w:rPr>
        <w:t>paragraphes</w:t>
      </w:r>
      <w:r w:rsidR="00DC328A">
        <w:rPr>
          <w:lang w:val="fr-CH"/>
        </w:rPr>
        <w:t> </w:t>
      </w:r>
      <w:r w:rsidR="00DC328A" w:rsidRPr="00C14F89">
        <w:rPr>
          <w:lang w:val="fr-CH"/>
        </w:rPr>
        <w:t>1</w:t>
      </w:r>
      <w:r w:rsidR="008A7EF3" w:rsidRPr="00C14F89">
        <w:rPr>
          <w:lang w:val="fr-CH"/>
        </w:rPr>
        <w:t>3, 14 et 19 du document</w:t>
      </w:r>
      <w:r w:rsidR="009E7E81">
        <w:rPr>
          <w:lang w:val="fr-CH"/>
        </w:rPr>
        <w:t> </w:t>
      </w:r>
      <w:r w:rsidR="008A7EF3" w:rsidRPr="00C14F89">
        <w:rPr>
          <w:lang w:val="fr-CH"/>
        </w:rPr>
        <w:t>CWS/5/22)</w:t>
      </w:r>
    </w:p>
    <w:p w14:paraId="6B77A7C5" w14:textId="0A6CDF82" w:rsidR="00CF24DC" w:rsidRPr="00C14F89" w:rsidRDefault="003C27E9" w:rsidP="004C4A98">
      <w:pPr>
        <w:pStyle w:val="ONUMFS"/>
        <w:rPr>
          <w:lang w:val="fr-CH"/>
        </w:rPr>
      </w:pPr>
      <w:r w:rsidRPr="00C14F89">
        <w:rPr>
          <w:lang w:val="fr-CH"/>
        </w:rPr>
        <w:t>Pour donner suite aux décisions prises par</w:t>
      </w:r>
      <w:r w:rsidR="00DC328A" w:rsidRPr="00C14F89">
        <w:rPr>
          <w:lang w:val="fr-CH"/>
        </w:rPr>
        <w:t xml:space="preserve"> le</w:t>
      </w:r>
      <w:r w:rsidR="00DC328A">
        <w:rPr>
          <w:lang w:val="fr-CH"/>
        </w:rPr>
        <w:t> </w:t>
      </w:r>
      <w:r w:rsidR="00DC328A" w:rsidRPr="00C14F89">
        <w:rPr>
          <w:lang w:val="fr-CH"/>
        </w:rPr>
        <w:t>CWS</w:t>
      </w:r>
      <w:r w:rsidRPr="00C14F89">
        <w:rPr>
          <w:lang w:val="fr-CH"/>
        </w:rPr>
        <w:t xml:space="preserve"> à sa cinqu</w:t>
      </w:r>
      <w:r w:rsidR="00DC328A">
        <w:rPr>
          <w:lang w:val="fr-CH"/>
        </w:rPr>
        <w:t>ième session</w:t>
      </w:r>
      <w:r w:rsidRPr="00C14F89">
        <w:rPr>
          <w:lang w:val="fr-CH"/>
        </w:rPr>
        <w:t>, le Secrétariat a émis la circulaire C.</w:t>
      </w:r>
      <w:r w:rsidR="00942848">
        <w:rPr>
          <w:lang w:val="fr-CH"/>
        </w:rPr>
        <w:t> </w:t>
      </w:r>
      <w:r w:rsidRPr="00C14F89">
        <w:rPr>
          <w:lang w:val="fr-CH"/>
        </w:rPr>
        <w:t>CWS</w:t>
      </w:r>
      <w:r w:rsidR="009E7E81">
        <w:rPr>
          <w:lang w:val="fr-CH"/>
        </w:rPr>
        <w:t> </w:t>
      </w:r>
      <w:r w:rsidRPr="00C14F89">
        <w:rPr>
          <w:lang w:val="fr-CH"/>
        </w:rPr>
        <w:t>89 par note verbale, en date du 2</w:t>
      </w:r>
      <w:r w:rsidR="00DC328A" w:rsidRPr="00C14F89">
        <w:rPr>
          <w:lang w:val="fr-CH"/>
        </w:rPr>
        <w:t>9</w:t>
      </w:r>
      <w:r w:rsidR="00DC328A">
        <w:rPr>
          <w:lang w:val="fr-CH"/>
        </w:rPr>
        <w:t> </w:t>
      </w:r>
      <w:r w:rsidR="00DC328A" w:rsidRPr="00C14F89">
        <w:rPr>
          <w:lang w:val="fr-CH"/>
        </w:rPr>
        <w:t>novembre</w:t>
      </w:r>
      <w:r w:rsidR="00DC328A">
        <w:rPr>
          <w:lang w:val="fr-CH"/>
        </w:rPr>
        <w:t> </w:t>
      </w:r>
      <w:r w:rsidR="00DC328A" w:rsidRPr="00C14F89">
        <w:rPr>
          <w:lang w:val="fr-CH"/>
        </w:rPr>
        <w:t>20</w:t>
      </w:r>
      <w:r w:rsidRPr="00C14F89">
        <w:rPr>
          <w:lang w:val="fr-CH"/>
        </w:rPr>
        <w:t xml:space="preserve">17, invitant les offices de propriété </w:t>
      </w:r>
      <w:r w:rsidR="004A6661">
        <w:rPr>
          <w:lang w:val="fr-CH"/>
        </w:rPr>
        <w:t>industrielle</w:t>
      </w:r>
      <w:r w:rsidRPr="00C14F89">
        <w:rPr>
          <w:lang w:val="fr-CH"/>
        </w:rPr>
        <w:t xml:space="preserve"> à soumettre </w:t>
      </w:r>
      <w:r w:rsidR="007C7480">
        <w:rPr>
          <w:lang w:val="fr-CH"/>
        </w:rPr>
        <w:t xml:space="preserve">ou modifier </w:t>
      </w:r>
      <w:r w:rsidRPr="00C14F89">
        <w:rPr>
          <w:lang w:val="fr-CH"/>
        </w:rPr>
        <w:t>leurs réponses à l</w:t>
      </w:r>
      <w:r w:rsidR="00DC328A">
        <w:rPr>
          <w:lang w:val="fr-CH"/>
        </w:rPr>
        <w:t>’</w:t>
      </w:r>
      <w:r w:rsidRPr="00C14F89">
        <w:rPr>
          <w:lang w:val="fr-CH"/>
        </w:rPr>
        <w:t>enquête concernant l</w:t>
      </w:r>
      <w:r w:rsidR="00DC328A">
        <w:rPr>
          <w:lang w:val="fr-CH"/>
        </w:rPr>
        <w:t>’</w:t>
      </w:r>
      <w:r w:rsidRPr="00C14F89">
        <w:rPr>
          <w:lang w:val="fr-CH"/>
        </w:rPr>
        <w:t>utilisation des normes de l</w:t>
      </w:r>
      <w:r w:rsidR="00DC328A">
        <w:rPr>
          <w:lang w:val="fr-CH"/>
        </w:rPr>
        <w:t>’</w:t>
      </w:r>
      <w:r w:rsidRPr="00C14F89">
        <w:rPr>
          <w:lang w:val="fr-CH"/>
        </w:rPr>
        <w:t>O</w:t>
      </w:r>
      <w:r w:rsidR="009E7E81" w:rsidRPr="00C14F89">
        <w:rPr>
          <w:lang w:val="fr-CH"/>
        </w:rPr>
        <w:t>MPI</w:t>
      </w:r>
      <w:r w:rsidR="009E7E81">
        <w:rPr>
          <w:lang w:val="fr-CH"/>
        </w:rPr>
        <w:t xml:space="preserve">.  </w:t>
      </w:r>
      <w:r w:rsidR="009E7E81" w:rsidRPr="00C14F89">
        <w:rPr>
          <w:lang w:val="fr-CH"/>
        </w:rPr>
        <w:t>En</w:t>
      </w:r>
      <w:r w:rsidR="00AA0C03" w:rsidRPr="00C14F89">
        <w:rPr>
          <w:lang w:val="fr-CH"/>
        </w:rPr>
        <w:t xml:space="preserve"> outre, les résultats de </w:t>
      </w:r>
      <w:r w:rsidR="002705C6">
        <w:rPr>
          <w:lang w:val="fr-CH"/>
        </w:rPr>
        <w:t>cette e</w:t>
      </w:r>
      <w:r w:rsidR="00AA0C03" w:rsidRPr="00C14F89">
        <w:rPr>
          <w:lang w:val="fr-CH"/>
        </w:rPr>
        <w:t xml:space="preserve">nquête </w:t>
      </w:r>
      <w:r w:rsidR="002705C6">
        <w:rPr>
          <w:lang w:val="fr-CH"/>
        </w:rPr>
        <w:t>présentés</w:t>
      </w:r>
      <w:r w:rsidR="00DC328A" w:rsidRPr="00C14F89">
        <w:rPr>
          <w:lang w:val="fr-CH"/>
        </w:rPr>
        <w:t xml:space="preserve"> </w:t>
      </w:r>
      <w:r w:rsidR="00DC328A">
        <w:rPr>
          <w:lang w:val="fr-CH"/>
        </w:rPr>
        <w:t>au CWS</w:t>
      </w:r>
      <w:r w:rsidR="002705C6">
        <w:rPr>
          <w:lang w:val="fr-CH"/>
        </w:rPr>
        <w:t xml:space="preserve"> à sa cinqu</w:t>
      </w:r>
      <w:r w:rsidR="00DC328A">
        <w:rPr>
          <w:lang w:val="fr-CH"/>
        </w:rPr>
        <w:t>ième session</w:t>
      </w:r>
      <w:r w:rsidR="002705C6">
        <w:rPr>
          <w:lang w:val="fr-CH"/>
        </w:rPr>
        <w:t xml:space="preserve"> </w:t>
      </w:r>
      <w:r w:rsidR="00AA0C03" w:rsidRPr="00C14F89">
        <w:rPr>
          <w:lang w:val="fr-CH"/>
        </w:rPr>
        <w:t>ont été publiés dans la partie</w:t>
      </w:r>
      <w:r w:rsidR="009E7E81">
        <w:rPr>
          <w:lang w:val="fr-CH"/>
        </w:rPr>
        <w:t> </w:t>
      </w:r>
      <w:r w:rsidR="00AA0C03" w:rsidRPr="00C14F89">
        <w:rPr>
          <w:lang w:val="fr-CH"/>
        </w:rPr>
        <w:t xml:space="preserve">7.12 du </w:t>
      </w:r>
      <w:r w:rsidR="00AA0C03" w:rsidRPr="00D94563">
        <w:rPr>
          <w:i/>
          <w:lang w:val="fr-CH"/>
        </w:rPr>
        <w:t>Manuel de l</w:t>
      </w:r>
      <w:r w:rsidR="00DC328A">
        <w:rPr>
          <w:i/>
          <w:lang w:val="fr-CH"/>
        </w:rPr>
        <w:t>’</w:t>
      </w:r>
      <w:r w:rsidR="00AA0C03" w:rsidRPr="00D94563">
        <w:rPr>
          <w:i/>
          <w:lang w:val="fr-CH"/>
        </w:rPr>
        <w:t>OMPI sur l</w:t>
      </w:r>
      <w:r w:rsidR="00DC328A">
        <w:rPr>
          <w:i/>
          <w:lang w:val="fr-CH"/>
        </w:rPr>
        <w:t>’</w:t>
      </w:r>
      <w:r w:rsidR="00AA0C03" w:rsidRPr="00D94563">
        <w:rPr>
          <w:i/>
          <w:lang w:val="fr-CH"/>
        </w:rPr>
        <w:t>information et la documentation en matière de propriété industriel</w:t>
      </w:r>
      <w:r w:rsidR="009E7E81" w:rsidRPr="00D94563">
        <w:rPr>
          <w:i/>
          <w:lang w:val="fr-CH"/>
        </w:rPr>
        <w:t>le</w:t>
      </w:r>
      <w:r w:rsidR="009E7E81">
        <w:rPr>
          <w:i/>
          <w:lang w:val="fr-CH"/>
        </w:rPr>
        <w:t xml:space="preserve">.  </w:t>
      </w:r>
      <w:r w:rsidR="009E7E81" w:rsidRPr="00C14F89">
        <w:rPr>
          <w:lang w:val="fr-CH"/>
        </w:rPr>
        <w:t>Pa</w:t>
      </w:r>
      <w:r w:rsidR="00AA0C03" w:rsidRPr="00C14F89">
        <w:rPr>
          <w:lang w:val="fr-CH"/>
        </w:rPr>
        <w:t>r ailleurs, les normes</w:t>
      </w:r>
      <w:r w:rsidR="00942848">
        <w:rPr>
          <w:lang w:val="fr-CH"/>
        </w:rPr>
        <w:t> </w:t>
      </w:r>
      <w:r w:rsidR="00AA0C03" w:rsidRPr="00C14F89">
        <w:rPr>
          <w:lang w:val="fr-CH"/>
        </w:rPr>
        <w:t>ST.7 à ST.7/F et ST.30 de l</w:t>
      </w:r>
      <w:r w:rsidR="00DC328A">
        <w:rPr>
          <w:lang w:val="fr-CH"/>
        </w:rPr>
        <w:t>’</w:t>
      </w:r>
      <w:r w:rsidR="00AA0C03" w:rsidRPr="00C14F89">
        <w:rPr>
          <w:lang w:val="fr-CH"/>
        </w:rPr>
        <w:t xml:space="preserve">OMPI ont été transférées </w:t>
      </w:r>
      <w:r w:rsidR="00F52D0B" w:rsidRPr="00C14F89">
        <w:rPr>
          <w:lang w:val="fr-CH"/>
        </w:rPr>
        <w:t xml:space="preserve">dans les </w:t>
      </w:r>
      <w:r w:rsidR="008E00B8">
        <w:rPr>
          <w:lang w:val="fr-CH"/>
        </w:rPr>
        <w:t>a</w:t>
      </w:r>
      <w:r w:rsidR="00F52D0B" w:rsidRPr="00C14F89">
        <w:rPr>
          <w:lang w:val="fr-CH"/>
        </w:rPr>
        <w:t>rchives, qui sont également accessibles sur le site</w:t>
      </w:r>
      <w:r w:rsidR="00942848">
        <w:rPr>
          <w:lang w:val="fr-CH"/>
        </w:rPr>
        <w:t> </w:t>
      </w:r>
      <w:r w:rsidR="00F52D0B" w:rsidRPr="00C14F89">
        <w:rPr>
          <w:lang w:val="fr-CH"/>
        </w:rPr>
        <w:t>Web de l</w:t>
      </w:r>
      <w:r w:rsidR="00DC328A">
        <w:rPr>
          <w:lang w:val="fr-CH"/>
        </w:rPr>
        <w:t>’</w:t>
      </w:r>
      <w:r w:rsidR="00F52D0B" w:rsidRPr="00C14F89">
        <w:rPr>
          <w:lang w:val="fr-CH"/>
        </w:rPr>
        <w:t>O</w:t>
      </w:r>
      <w:r w:rsidR="009E7E81" w:rsidRPr="00C14F89">
        <w:rPr>
          <w:lang w:val="fr-CH"/>
        </w:rPr>
        <w:t>MPI</w:t>
      </w:r>
      <w:r w:rsidR="009E7E81">
        <w:rPr>
          <w:lang w:val="fr-CH"/>
        </w:rPr>
        <w:t xml:space="preserve">.  </w:t>
      </w:r>
      <w:r w:rsidR="009E7E81" w:rsidRPr="00C14F89">
        <w:rPr>
          <w:lang w:val="fr-CH"/>
        </w:rPr>
        <w:t>En</w:t>
      </w:r>
      <w:r w:rsidR="007F38DB" w:rsidRPr="00C14F89">
        <w:rPr>
          <w:lang w:val="fr-CH"/>
        </w:rPr>
        <w:t xml:space="preserve"> conséquence, les réponses des offices de propriété industrielle relatives aux normes archiv</w:t>
      </w:r>
      <w:r w:rsidR="005F3989" w:rsidRPr="00C14F89">
        <w:rPr>
          <w:lang w:val="fr-CH"/>
        </w:rPr>
        <w:t>ées</w:t>
      </w:r>
      <w:r w:rsidR="007F38DB" w:rsidRPr="00C14F89">
        <w:rPr>
          <w:lang w:val="fr-CH"/>
        </w:rPr>
        <w:t xml:space="preserve"> ont également été transférées dans les archives (voir les </w:t>
      </w:r>
      <w:r w:rsidR="00DC328A" w:rsidRPr="00C14F89">
        <w:rPr>
          <w:lang w:val="fr-CH"/>
        </w:rPr>
        <w:t>paragraphes</w:t>
      </w:r>
      <w:r w:rsidR="00DC328A">
        <w:rPr>
          <w:lang w:val="fr-CH"/>
        </w:rPr>
        <w:t> </w:t>
      </w:r>
      <w:r w:rsidR="00DC328A" w:rsidRPr="00C14F89">
        <w:rPr>
          <w:lang w:val="fr-CH"/>
        </w:rPr>
        <w:t>1</w:t>
      </w:r>
      <w:r w:rsidR="007F38DB" w:rsidRPr="00C14F89">
        <w:rPr>
          <w:lang w:val="fr-CH"/>
        </w:rPr>
        <w:t>5 à 18 du document</w:t>
      </w:r>
      <w:r w:rsidR="009E7E81">
        <w:rPr>
          <w:lang w:val="fr-CH"/>
        </w:rPr>
        <w:t> </w:t>
      </w:r>
      <w:r w:rsidR="00EA6BF4" w:rsidRPr="00C14F89">
        <w:rPr>
          <w:lang w:val="fr-CH"/>
        </w:rPr>
        <w:t>CWS/5/22)</w:t>
      </w:r>
      <w:r w:rsidR="005F3989" w:rsidRPr="00C14F89">
        <w:rPr>
          <w:lang w:val="fr-CH"/>
        </w:rPr>
        <w:t>.</w:t>
      </w:r>
    </w:p>
    <w:p w14:paraId="0467791F" w14:textId="122EB99D" w:rsidR="00CF24DC" w:rsidRPr="004C4A98" w:rsidRDefault="00CF24DC" w:rsidP="0005745F">
      <w:pPr>
        <w:pStyle w:val="Heading2"/>
        <w:rPr>
          <w:lang w:val="fr-CH"/>
        </w:rPr>
      </w:pPr>
      <w:r w:rsidRPr="004C4A98">
        <w:rPr>
          <w:lang w:val="fr-CH"/>
        </w:rPr>
        <w:lastRenderedPageBreak/>
        <w:t>Rapport sur l</w:t>
      </w:r>
      <w:r w:rsidR="00DC328A" w:rsidRPr="004C4A98">
        <w:rPr>
          <w:lang w:val="fr-CH"/>
        </w:rPr>
        <w:t>’</w:t>
      </w:r>
      <w:r w:rsidRPr="004C4A98">
        <w:rPr>
          <w:lang w:val="fr-CH"/>
        </w:rPr>
        <w:t>état d</w:t>
      </w:r>
      <w:r w:rsidR="00DC328A" w:rsidRPr="004C4A98">
        <w:rPr>
          <w:lang w:val="fr-CH"/>
        </w:rPr>
        <w:t>’</w:t>
      </w:r>
      <w:r w:rsidRPr="004C4A98">
        <w:rPr>
          <w:lang w:val="fr-CH"/>
        </w:rPr>
        <w:t>avancement des travaux</w:t>
      </w:r>
    </w:p>
    <w:p w14:paraId="632FD4D3" w14:textId="5E4F0503" w:rsidR="00DC328A" w:rsidRDefault="00CF24DC" w:rsidP="004C4A98">
      <w:pPr>
        <w:pStyle w:val="ONUMFS"/>
        <w:rPr>
          <w:lang w:val="fr-CH"/>
        </w:rPr>
      </w:pPr>
      <w:r w:rsidRPr="00C14F89">
        <w:rPr>
          <w:lang w:val="fr-CH"/>
        </w:rPr>
        <w:t>Dans leur réponse à la circulaire C.</w:t>
      </w:r>
      <w:r w:rsidR="00942848">
        <w:rPr>
          <w:lang w:val="fr-CH"/>
        </w:rPr>
        <w:t> </w:t>
      </w:r>
      <w:r w:rsidRPr="00C14F89">
        <w:rPr>
          <w:lang w:val="fr-CH"/>
        </w:rPr>
        <w:t>CWS</w:t>
      </w:r>
      <w:r w:rsidR="009E7E81">
        <w:rPr>
          <w:lang w:val="fr-CH"/>
        </w:rPr>
        <w:t> </w:t>
      </w:r>
      <w:r w:rsidRPr="00C14F89">
        <w:rPr>
          <w:lang w:val="fr-CH"/>
        </w:rPr>
        <w:t>89, deux</w:t>
      </w:r>
      <w:r w:rsidR="00942848">
        <w:rPr>
          <w:lang w:val="fr-CH"/>
        </w:rPr>
        <w:t> </w:t>
      </w:r>
      <w:r w:rsidRPr="00C14F89">
        <w:rPr>
          <w:lang w:val="fr-CH"/>
        </w:rPr>
        <w:t>offices de propriété industrielle (CA et</w:t>
      </w:r>
      <w:r w:rsidR="0000578F">
        <w:rPr>
          <w:lang w:val="fr-CH"/>
        </w:rPr>
        <w:t> </w:t>
      </w:r>
      <w:r w:rsidRPr="00C14F89">
        <w:rPr>
          <w:lang w:val="fr-CH"/>
        </w:rPr>
        <w:t xml:space="preserve">MD) ont modifié leurs réponses </w:t>
      </w:r>
      <w:r w:rsidR="00F55E9B" w:rsidRPr="00C14F89">
        <w:rPr>
          <w:lang w:val="fr-CH"/>
        </w:rPr>
        <w:t xml:space="preserve">précédentes </w:t>
      </w:r>
      <w:r w:rsidRPr="00C14F89">
        <w:rPr>
          <w:lang w:val="fr-CH"/>
        </w:rPr>
        <w:t>et neuf</w:t>
      </w:r>
      <w:r w:rsidR="00942848">
        <w:rPr>
          <w:lang w:val="fr-CH"/>
        </w:rPr>
        <w:t> </w:t>
      </w:r>
      <w:r w:rsidRPr="00C14F89">
        <w:rPr>
          <w:lang w:val="fr-CH"/>
        </w:rPr>
        <w:t>offices ont soumis des réponses pour la première fois (AR, CH, EC, EM, EP, GB, GE, IL et TH).</w:t>
      </w:r>
    </w:p>
    <w:p w14:paraId="3CC89B3D" w14:textId="6E0D8E4F" w:rsidR="00595E99" w:rsidRPr="00C14F89" w:rsidRDefault="00CF24DC" w:rsidP="004C4A98">
      <w:pPr>
        <w:pStyle w:val="ONUMFS"/>
        <w:rPr>
          <w:lang w:val="fr-CH"/>
        </w:rPr>
      </w:pPr>
      <w:r w:rsidRPr="00C14F89">
        <w:rPr>
          <w:lang w:val="fr-CH"/>
        </w:rPr>
        <w:t>Les 49</w:t>
      </w:r>
      <w:r w:rsidR="009E7E81">
        <w:rPr>
          <w:lang w:val="fr-CH"/>
        </w:rPr>
        <w:t> </w:t>
      </w:r>
      <w:r w:rsidRPr="00C14F89">
        <w:rPr>
          <w:lang w:val="fr-CH"/>
        </w:rPr>
        <w:t xml:space="preserve">offices de propriété </w:t>
      </w:r>
      <w:r w:rsidR="00912839">
        <w:rPr>
          <w:lang w:val="fr-CH"/>
        </w:rPr>
        <w:t>intellectuelle</w:t>
      </w:r>
      <w:r w:rsidRPr="00C14F89">
        <w:rPr>
          <w:lang w:val="fr-CH"/>
        </w:rPr>
        <w:t xml:space="preserve"> ci</w:t>
      </w:r>
      <w:r w:rsidR="00911626">
        <w:rPr>
          <w:lang w:val="fr-CH"/>
        </w:rPr>
        <w:noBreakHyphen/>
      </w:r>
      <w:r w:rsidRPr="00C14F89">
        <w:rPr>
          <w:lang w:val="fr-CH"/>
        </w:rPr>
        <w:t>après avaient participé à l</w:t>
      </w:r>
      <w:r w:rsidR="00DC328A">
        <w:rPr>
          <w:lang w:val="fr-CH"/>
        </w:rPr>
        <w:t>’</w:t>
      </w:r>
      <w:r w:rsidRPr="00C14F89">
        <w:rPr>
          <w:lang w:val="fr-CH"/>
        </w:rPr>
        <w:t>enquête au moment de l</w:t>
      </w:r>
      <w:r w:rsidR="00DC328A">
        <w:rPr>
          <w:lang w:val="fr-CH"/>
        </w:rPr>
        <w:t>’</w:t>
      </w:r>
      <w:r w:rsidRPr="00C14F89">
        <w:rPr>
          <w:lang w:val="fr-CH"/>
        </w:rPr>
        <w:t>établissement du présent document</w:t>
      </w:r>
      <w:r w:rsidR="00DC328A">
        <w:rPr>
          <w:lang w:val="fr-CH"/>
        </w:rPr>
        <w:t> :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3933"/>
        <w:gridCol w:w="720"/>
        <w:gridCol w:w="2970"/>
      </w:tblGrid>
      <w:tr w:rsidR="00C14F89" w:rsidRPr="005360E5" w14:paraId="509DC115" w14:textId="77777777" w:rsidTr="00B33C2D">
        <w:tc>
          <w:tcPr>
            <w:tcW w:w="648" w:type="dxa"/>
          </w:tcPr>
          <w:p w14:paraId="216A1C3E" w14:textId="77777777" w:rsidR="00CF24DC" w:rsidRPr="00C14F89" w:rsidRDefault="000736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AR</w:t>
            </w:r>
          </w:p>
          <w:p w14:paraId="308887D5" w14:textId="77777777" w:rsidR="00CF24DC" w:rsidRPr="00C14F89" w:rsidRDefault="00595E99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AU</w:t>
            </w:r>
          </w:p>
          <w:p w14:paraId="3D012236" w14:textId="77777777" w:rsidR="00CF24DC" w:rsidRPr="00C14F89" w:rsidRDefault="00595E99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BA</w:t>
            </w:r>
          </w:p>
          <w:p w14:paraId="2413CBF5" w14:textId="77777777" w:rsidR="00CF24DC" w:rsidRPr="00C14F89" w:rsidRDefault="00595E99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BD</w:t>
            </w:r>
          </w:p>
          <w:p w14:paraId="39BC0863" w14:textId="77777777" w:rsidR="00CF24DC" w:rsidRPr="00C14F89" w:rsidRDefault="00595E99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CA</w:t>
            </w:r>
          </w:p>
          <w:p w14:paraId="2E51506C" w14:textId="77777777" w:rsidR="00CF24DC" w:rsidRPr="00C14F89" w:rsidRDefault="000736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CH</w:t>
            </w:r>
          </w:p>
          <w:p w14:paraId="5A413AEB" w14:textId="77777777" w:rsidR="00CF24DC" w:rsidRPr="00174ECC" w:rsidRDefault="00595E99" w:rsidP="0005745F">
            <w:pPr>
              <w:pStyle w:val="ONUMFS"/>
              <w:numPr>
                <w:ilvl w:val="0"/>
                <w:numId w:val="0"/>
              </w:numPr>
              <w:spacing w:after="120"/>
            </w:pPr>
            <w:r w:rsidRPr="00174ECC">
              <w:t>CN</w:t>
            </w:r>
          </w:p>
          <w:p w14:paraId="69CBE3BC" w14:textId="77777777" w:rsidR="00CF24DC" w:rsidRPr="00174ECC" w:rsidRDefault="00595E99" w:rsidP="0005745F">
            <w:pPr>
              <w:pStyle w:val="ONUMFS"/>
              <w:numPr>
                <w:ilvl w:val="0"/>
                <w:numId w:val="0"/>
              </w:numPr>
              <w:spacing w:after="120"/>
            </w:pPr>
            <w:r w:rsidRPr="00174ECC">
              <w:t>CO</w:t>
            </w:r>
          </w:p>
          <w:p w14:paraId="0538D180" w14:textId="77777777" w:rsidR="00CF24DC" w:rsidRPr="00174ECC" w:rsidRDefault="00595E99" w:rsidP="0005745F">
            <w:pPr>
              <w:pStyle w:val="ONUMFS"/>
              <w:numPr>
                <w:ilvl w:val="0"/>
                <w:numId w:val="0"/>
              </w:numPr>
              <w:spacing w:after="120"/>
            </w:pPr>
            <w:r w:rsidRPr="00174ECC">
              <w:t>CZ</w:t>
            </w:r>
          </w:p>
          <w:p w14:paraId="2E9721A7" w14:textId="77777777" w:rsidR="00CF24DC" w:rsidRPr="00174ECC" w:rsidRDefault="00595E99" w:rsidP="0005745F">
            <w:pPr>
              <w:pStyle w:val="ONUMFS"/>
              <w:numPr>
                <w:ilvl w:val="0"/>
                <w:numId w:val="0"/>
              </w:numPr>
              <w:spacing w:after="120"/>
            </w:pPr>
            <w:r w:rsidRPr="00174ECC">
              <w:t>DE</w:t>
            </w:r>
          </w:p>
          <w:p w14:paraId="5E5C5392" w14:textId="77777777" w:rsidR="00CF24DC" w:rsidRPr="00174ECC" w:rsidRDefault="000736DC" w:rsidP="0005745F">
            <w:pPr>
              <w:pStyle w:val="ONUMFS"/>
              <w:numPr>
                <w:ilvl w:val="0"/>
                <w:numId w:val="0"/>
              </w:numPr>
              <w:spacing w:after="120"/>
            </w:pPr>
            <w:r w:rsidRPr="00174ECC">
              <w:t>EC</w:t>
            </w:r>
          </w:p>
          <w:p w14:paraId="4B7CC2CA" w14:textId="77777777" w:rsidR="00CF24DC" w:rsidRPr="00174ECC" w:rsidRDefault="000736DC" w:rsidP="0005745F">
            <w:pPr>
              <w:pStyle w:val="ONUMFS"/>
              <w:numPr>
                <w:ilvl w:val="0"/>
                <w:numId w:val="0"/>
              </w:numPr>
              <w:spacing w:after="120"/>
            </w:pPr>
            <w:r w:rsidRPr="00174ECC">
              <w:t>EM</w:t>
            </w:r>
          </w:p>
          <w:p w14:paraId="7E6B32AB" w14:textId="77777777" w:rsidR="00CF24DC" w:rsidRPr="00174ECC" w:rsidRDefault="000736DC" w:rsidP="0005745F">
            <w:pPr>
              <w:pStyle w:val="ONUMFS"/>
              <w:numPr>
                <w:ilvl w:val="0"/>
                <w:numId w:val="0"/>
              </w:numPr>
              <w:spacing w:after="120"/>
            </w:pPr>
            <w:r w:rsidRPr="00174ECC">
              <w:t>EP</w:t>
            </w:r>
          </w:p>
          <w:p w14:paraId="68519FC2" w14:textId="77777777" w:rsidR="00CF24DC" w:rsidRPr="00174ECC" w:rsidRDefault="000736DC" w:rsidP="0005745F">
            <w:pPr>
              <w:pStyle w:val="ONUMFS"/>
              <w:numPr>
                <w:ilvl w:val="0"/>
                <w:numId w:val="0"/>
              </w:numPr>
              <w:spacing w:after="120"/>
            </w:pPr>
            <w:r w:rsidRPr="00174ECC">
              <w:t>GB</w:t>
            </w:r>
          </w:p>
          <w:p w14:paraId="020D577A" w14:textId="77777777" w:rsidR="00CF24DC" w:rsidRPr="00174ECC" w:rsidRDefault="000736DC" w:rsidP="0005745F">
            <w:pPr>
              <w:pStyle w:val="ONUMFS"/>
              <w:numPr>
                <w:ilvl w:val="0"/>
                <w:numId w:val="0"/>
              </w:numPr>
              <w:spacing w:after="120"/>
            </w:pPr>
            <w:r w:rsidRPr="00174ECC">
              <w:t>GE</w:t>
            </w:r>
          </w:p>
          <w:p w14:paraId="6B12BC6C" w14:textId="77777777" w:rsidR="00CF24DC" w:rsidRPr="00174ECC" w:rsidRDefault="00595E99" w:rsidP="0005745F">
            <w:pPr>
              <w:pStyle w:val="ONUMFS"/>
              <w:numPr>
                <w:ilvl w:val="0"/>
                <w:numId w:val="0"/>
              </w:numPr>
              <w:spacing w:after="120"/>
            </w:pPr>
            <w:r w:rsidRPr="00174ECC">
              <w:t>HN</w:t>
            </w:r>
          </w:p>
          <w:p w14:paraId="72927C1C" w14:textId="77777777" w:rsidR="00CF24DC" w:rsidRPr="00C14F89" w:rsidRDefault="00595E99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HR</w:t>
            </w:r>
          </w:p>
          <w:p w14:paraId="19D4B764" w14:textId="77777777" w:rsidR="00CF24DC" w:rsidRPr="00C14F89" w:rsidRDefault="00595E99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HU</w:t>
            </w:r>
          </w:p>
          <w:p w14:paraId="6C027620" w14:textId="77777777" w:rsidR="00CF24DC" w:rsidRPr="00C14F89" w:rsidRDefault="000736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IL</w:t>
            </w:r>
          </w:p>
          <w:p w14:paraId="2AB639DD" w14:textId="0B9E2699" w:rsidR="00595E99" w:rsidRPr="00C14F89" w:rsidRDefault="00595E99" w:rsidP="0000578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IT</w:t>
            </w:r>
          </w:p>
        </w:tc>
        <w:tc>
          <w:tcPr>
            <w:tcW w:w="3933" w:type="dxa"/>
          </w:tcPr>
          <w:p w14:paraId="07A9F63B" w14:textId="59E51BBB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Argentine</w:t>
            </w:r>
          </w:p>
          <w:p w14:paraId="2C8F2FD4" w14:textId="44A231DB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Australie</w:t>
            </w:r>
          </w:p>
          <w:p w14:paraId="5A5DEE1A" w14:textId="7C37D0E8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Bosnie</w:t>
            </w:r>
            <w:r w:rsidR="00911626">
              <w:rPr>
                <w:lang w:val="fr-CH"/>
              </w:rPr>
              <w:noBreakHyphen/>
            </w:r>
            <w:r w:rsidRPr="00C14F89">
              <w:rPr>
                <w:lang w:val="fr-CH"/>
              </w:rPr>
              <w:t>Herzégovine</w:t>
            </w:r>
          </w:p>
          <w:p w14:paraId="4F9A6E0A" w14:textId="74FE07F4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Bangladesh</w:t>
            </w:r>
          </w:p>
          <w:p w14:paraId="2513115D" w14:textId="685FD52B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Canada</w:t>
            </w:r>
          </w:p>
          <w:p w14:paraId="4BB13001" w14:textId="2BCBBA97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Suisse</w:t>
            </w:r>
          </w:p>
          <w:p w14:paraId="6C3102FD" w14:textId="3D54378E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Chine</w:t>
            </w:r>
          </w:p>
          <w:p w14:paraId="2A7A3BB2" w14:textId="5862369D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Colombie</w:t>
            </w:r>
          </w:p>
          <w:p w14:paraId="7306C61C" w14:textId="4A911CE1" w:rsidR="00CF24DC" w:rsidRPr="00C14F89" w:rsidRDefault="004C4A98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4C4A98">
              <w:rPr>
                <w:lang w:val="fr-CH"/>
              </w:rPr>
              <w:t xml:space="preserve">République </w:t>
            </w:r>
            <w:r w:rsidRPr="004C4A98">
              <w:rPr>
                <w:rFonts w:eastAsia="MS Gothic"/>
                <w:lang w:val="fr-CH"/>
              </w:rPr>
              <w:t>tchèque</w:t>
            </w:r>
          </w:p>
          <w:p w14:paraId="0729415B" w14:textId="511E17E3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Allemagne</w:t>
            </w:r>
          </w:p>
          <w:p w14:paraId="6DACD966" w14:textId="0122494C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Équateur</w:t>
            </w:r>
          </w:p>
          <w:p w14:paraId="45838E24" w14:textId="45A76E8A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EUIPO</w:t>
            </w:r>
          </w:p>
          <w:p w14:paraId="4E2795E5" w14:textId="569BE84C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Office européen des brevets</w:t>
            </w:r>
          </w:p>
          <w:p w14:paraId="3B46107C" w14:textId="7F92039A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Grande</w:t>
            </w:r>
            <w:r w:rsidR="00911626">
              <w:rPr>
                <w:lang w:val="fr-CH"/>
              </w:rPr>
              <w:noBreakHyphen/>
            </w:r>
            <w:r w:rsidRPr="00C14F89">
              <w:rPr>
                <w:lang w:val="fr-CH"/>
              </w:rPr>
              <w:t>Bretagne</w:t>
            </w:r>
          </w:p>
          <w:p w14:paraId="54E86ED1" w14:textId="01BBCBC2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Géorgie</w:t>
            </w:r>
          </w:p>
          <w:p w14:paraId="5DDC12EB" w14:textId="7A5DE496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Honduras</w:t>
            </w:r>
          </w:p>
          <w:p w14:paraId="382DAC64" w14:textId="0FB53280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Croatie</w:t>
            </w:r>
          </w:p>
          <w:p w14:paraId="3E67464F" w14:textId="6CF65AE9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Hongrie</w:t>
            </w:r>
          </w:p>
          <w:p w14:paraId="16115964" w14:textId="56E8D792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Israël</w:t>
            </w:r>
          </w:p>
          <w:p w14:paraId="0CE6A64C" w14:textId="4D3B6577" w:rsidR="00595E99" w:rsidRPr="00C14F89" w:rsidRDefault="00CF24DC" w:rsidP="0000578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Italie</w:t>
            </w:r>
          </w:p>
        </w:tc>
        <w:tc>
          <w:tcPr>
            <w:tcW w:w="720" w:type="dxa"/>
          </w:tcPr>
          <w:p w14:paraId="21F7A9C8" w14:textId="77777777" w:rsidR="00CF24DC" w:rsidRPr="005360E5" w:rsidRDefault="004B725A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de-CH"/>
              </w:rPr>
            </w:pPr>
            <w:r w:rsidRPr="005360E5">
              <w:rPr>
                <w:lang w:val="de-CH"/>
              </w:rPr>
              <w:t>JP</w:t>
            </w:r>
          </w:p>
          <w:p w14:paraId="6E551D57" w14:textId="77777777" w:rsidR="00CF24DC" w:rsidRPr="005360E5" w:rsidRDefault="004B725A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de-CH"/>
              </w:rPr>
            </w:pPr>
            <w:r w:rsidRPr="005360E5">
              <w:rPr>
                <w:lang w:val="de-CH"/>
              </w:rPr>
              <w:t>KG</w:t>
            </w:r>
          </w:p>
          <w:p w14:paraId="6BA6DBC5" w14:textId="77777777" w:rsidR="00CF24DC" w:rsidRPr="005360E5" w:rsidRDefault="004B725A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de-CH"/>
              </w:rPr>
            </w:pPr>
            <w:r w:rsidRPr="005360E5">
              <w:rPr>
                <w:lang w:val="de-CH"/>
              </w:rPr>
              <w:t>KR</w:t>
            </w:r>
          </w:p>
          <w:p w14:paraId="6350C3A5" w14:textId="77777777" w:rsidR="00CF24DC" w:rsidRPr="005360E5" w:rsidRDefault="00595E99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de-CH"/>
              </w:rPr>
            </w:pPr>
            <w:r w:rsidRPr="005360E5">
              <w:rPr>
                <w:lang w:val="de-CH"/>
              </w:rPr>
              <w:t>LT</w:t>
            </w:r>
          </w:p>
          <w:p w14:paraId="22DB0E24" w14:textId="77777777" w:rsidR="00CF24DC" w:rsidRPr="005360E5" w:rsidRDefault="00595E99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de-CH"/>
              </w:rPr>
            </w:pPr>
            <w:r w:rsidRPr="005360E5">
              <w:rPr>
                <w:lang w:val="de-CH"/>
              </w:rPr>
              <w:t>MD</w:t>
            </w:r>
          </w:p>
          <w:p w14:paraId="2C6D2EAB" w14:textId="77777777" w:rsidR="00CF24DC" w:rsidRPr="005360E5" w:rsidRDefault="00595E99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de-CH"/>
              </w:rPr>
            </w:pPr>
            <w:r w:rsidRPr="005360E5">
              <w:rPr>
                <w:lang w:val="de-CH"/>
              </w:rPr>
              <w:t>MX</w:t>
            </w:r>
          </w:p>
          <w:p w14:paraId="7C580778" w14:textId="77777777" w:rsidR="00CF24DC" w:rsidRPr="00C14F89" w:rsidRDefault="00595E99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OM</w:t>
            </w:r>
          </w:p>
          <w:p w14:paraId="631732F6" w14:textId="77777777" w:rsidR="00CF24DC" w:rsidRPr="00C14F89" w:rsidRDefault="00595E99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RU</w:t>
            </w:r>
          </w:p>
          <w:p w14:paraId="1C487392" w14:textId="77777777" w:rsidR="00CF24DC" w:rsidRPr="00C14F89" w:rsidRDefault="00595E99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SA</w:t>
            </w:r>
          </w:p>
          <w:p w14:paraId="18437F30" w14:textId="77777777" w:rsidR="00CF24DC" w:rsidRPr="00C14F89" w:rsidRDefault="00595E99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SE</w:t>
            </w:r>
          </w:p>
          <w:p w14:paraId="08DB03FC" w14:textId="77777777" w:rsidR="00CF24DC" w:rsidRPr="00C14F89" w:rsidRDefault="00595E99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SK</w:t>
            </w:r>
          </w:p>
          <w:p w14:paraId="5BD7923F" w14:textId="77777777" w:rsidR="00CF24DC" w:rsidRPr="00C14F89" w:rsidRDefault="00595E99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SV</w:t>
            </w:r>
          </w:p>
          <w:p w14:paraId="75F80AD2" w14:textId="77777777" w:rsidR="00CF24DC" w:rsidRPr="00174ECC" w:rsidRDefault="000736DC" w:rsidP="0005745F">
            <w:pPr>
              <w:pStyle w:val="ONUMFS"/>
              <w:numPr>
                <w:ilvl w:val="0"/>
                <w:numId w:val="0"/>
              </w:numPr>
              <w:spacing w:after="120"/>
            </w:pPr>
            <w:r w:rsidRPr="00174ECC">
              <w:t>TH</w:t>
            </w:r>
          </w:p>
          <w:p w14:paraId="47CEF5D1" w14:textId="77777777" w:rsidR="00CF24DC" w:rsidRPr="00174ECC" w:rsidRDefault="00595E99" w:rsidP="0005745F">
            <w:pPr>
              <w:pStyle w:val="ONUMFS"/>
              <w:numPr>
                <w:ilvl w:val="0"/>
                <w:numId w:val="0"/>
              </w:numPr>
              <w:spacing w:after="120"/>
            </w:pPr>
            <w:r w:rsidRPr="00174ECC">
              <w:t>TN</w:t>
            </w:r>
          </w:p>
          <w:p w14:paraId="7E452066" w14:textId="77777777" w:rsidR="00CF24DC" w:rsidRPr="00174ECC" w:rsidRDefault="00595E99" w:rsidP="0005745F">
            <w:pPr>
              <w:pStyle w:val="ONUMFS"/>
              <w:numPr>
                <w:ilvl w:val="0"/>
                <w:numId w:val="0"/>
              </w:numPr>
              <w:spacing w:after="120"/>
            </w:pPr>
            <w:r w:rsidRPr="00174ECC">
              <w:t>TT</w:t>
            </w:r>
          </w:p>
          <w:p w14:paraId="354CECD0" w14:textId="77777777" w:rsidR="00CF24DC" w:rsidRPr="00174ECC" w:rsidRDefault="00595E99" w:rsidP="0005745F">
            <w:pPr>
              <w:pStyle w:val="ONUMFS"/>
              <w:numPr>
                <w:ilvl w:val="0"/>
                <w:numId w:val="0"/>
              </w:numPr>
              <w:spacing w:after="120"/>
            </w:pPr>
            <w:r w:rsidRPr="00174ECC">
              <w:t>UA</w:t>
            </w:r>
          </w:p>
          <w:p w14:paraId="3790DF96" w14:textId="77777777" w:rsidR="00CF24DC" w:rsidRPr="00174ECC" w:rsidRDefault="00595E99" w:rsidP="0005745F">
            <w:pPr>
              <w:pStyle w:val="ONUMFS"/>
              <w:numPr>
                <w:ilvl w:val="0"/>
                <w:numId w:val="0"/>
              </w:numPr>
              <w:spacing w:after="120"/>
            </w:pPr>
            <w:r w:rsidRPr="00174ECC">
              <w:t>UG</w:t>
            </w:r>
          </w:p>
          <w:p w14:paraId="2AB25619" w14:textId="77777777" w:rsidR="00CF24DC" w:rsidRPr="00174ECC" w:rsidRDefault="00595E99" w:rsidP="0005745F">
            <w:pPr>
              <w:pStyle w:val="ONUMFS"/>
              <w:numPr>
                <w:ilvl w:val="0"/>
                <w:numId w:val="0"/>
              </w:numPr>
              <w:spacing w:after="120"/>
            </w:pPr>
            <w:r w:rsidRPr="00174ECC">
              <w:t>US</w:t>
            </w:r>
          </w:p>
          <w:p w14:paraId="30992108" w14:textId="4BDE5010" w:rsidR="00595E99" w:rsidRPr="00C14F89" w:rsidRDefault="00595E99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ZA</w:t>
            </w:r>
          </w:p>
        </w:tc>
        <w:tc>
          <w:tcPr>
            <w:tcW w:w="2970" w:type="dxa"/>
          </w:tcPr>
          <w:p w14:paraId="3CE3F498" w14:textId="5378FAF2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Japon</w:t>
            </w:r>
          </w:p>
          <w:p w14:paraId="645BE0C5" w14:textId="476C30BF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Kirghizistan</w:t>
            </w:r>
          </w:p>
          <w:p w14:paraId="06B00CD7" w14:textId="2A2DFFDB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République de Corée</w:t>
            </w:r>
          </w:p>
          <w:p w14:paraId="54A7F710" w14:textId="4ACD32B5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Lituanie</w:t>
            </w:r>
          </w:p>
          <w:p w14:paraId="78C961DC" w14:textId="5F10EE74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République de Moldova</w:t>
            </w:r>
          </w:p>
          <w:p w14:paraId="2BA8A854" w14:textId="50598BEF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Mexique</w:t>
            </w:r>
          </w:p>
          <w:p w14:paraId="5CD97353" w14:textId="11353B98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Oman</w:t>
            </w:r>
          </w:p>
          <w:p w14:paraId="7489C16B" w14:textId="226B2835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Fédération de Russie</w:t>
            </w:r>
          </w:p>
          <w:p w14:paraId="77AE4C07" w14:textId="7F2ADBE7" w:rsidR="00CF24DC" w:rsidRPr="00C14F89" w:rsidRDefault="00DC328A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>
              <w:rPr>
                <w:lang w:val="fr-CH"/>
              </w:rPr>
              <w:t>Arabie saoudite</w:t>
            </w:r>
          </w:p>
          <w:p w14:paraId="5C8635A3" w14:textId="1C0F35EB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Suède</w:t>
            </w:r>
          </w:p>
          <w:p w14:paraId="49D76264" w14:textId="1E79F4C7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Slovaquie</w:t>
            </w:r>
          </w:p>
          <w:p w14:paraId="3055FFB6" w14:textId="2376BA6E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El</w:t>
            </w:r>
            <w:r w:rsidR="00942848">
              <w:rPr>
                <w:lang w:val="fr-CH"/>
              </w:rPr>
              <w:t> </w:t>
            </w:r>
            <w:r w:rsidRPr="00C14F89">
              <w:rPr>
                <w:lang w:val="fr-CH"/>
              </w:rPr>
              <w:t>Salvador</w:t>
            </w:r>
          </w:p>
          <w:p w14:paraId="1B21F0FA" w14:textId="36CCFCDF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Thaïlande</w:t>
            </w:r>
          </w:p>
          <w:p w14:paraId="5CF249CB" w14:textId="20179FC9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Tunisie</w:t>
            </w:r>
          </w:p>
          <w:p w14:paraId="3A13DBB4" w14:textId="3D939BA8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Trinité</w:t>
            </w:r>
            <w:r w:rsidR="00911626">
              <w:rPr>
                <w:lang w:val="fr-CH"/>
              </w:rPr>
              <w:noBreakHyphen/>
            </w:r>
            <w:r w:rsidRPr="00C14F89">
              <w:rPr>
                <w:lang w:val="fr-CH"/>
              </w:rPr>
              <w:t>et</w:t>
            </w:r>
            <w:r w:rsidR="00911626">
              <w:rPr>
                <w:lang w:val="fr-CH"/>
              </w:rPr>
              <w:noBreakHyphen/>
            </w:r>
            <w:r w:rsidRPr="00C14F89">
              <w:rPr>
                <w:lang w:val="fr-CH"/>
              </w:rPr>
              <w:t>Tobago</w:t>
            </w:r>
          </w:p>
          <w:p w14:paraId="06B85F0B" w14:textId="720130AD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Ukraine</w:t>
            </w:r>
          </w:p>
          <w:p w14:paraId="578A92F4" w14:textId="20FEF324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Ouganda</w:t>
            </w:r>
          </w:p>
          <w:p w14:paraId="4C0BC5D6" w14:textId="1375865A" w:rsidR="00CF24DC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États</w:t>
            </w:r>
            <w:r w:rsidR="00911626">
              <w:rPr>
                <w:lang w:val="fr-CH"/>
              </w:rPr>
              <w:noBreakHyphen/>
            </w:r>
            <w:r w:rsidRPr="00C14F89">
              <w:rPr>
                <w:lang w:val="fr-CH"/>
              </w:rPr>
              <w:t>Unis d</w:t>
            </w:r>
            <w:r w:rsidR="00DC328A">
              <w:rPr>
                <w:lang w:val="fr-CH"/>
              </w:rPr>
              <w:t>’</w:t>
            </w:r>
            <w:r w:rsidRPr="00C14F89">
              <w:rPr>
                <w:lang w:val="fr-CH"/>
              </w:rPr>
              <w:t>Amérique</w:t>
            </w:r>
          </w:p>
          <w:p w14:paraId="0CD48923" w14:textId="5AB3572B" w:rsidR="00F8569B" w:rsidRPr="00C14F89" w:rsidRDefault="00CF24DC" w:rsidP="0005745F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C14F89">
              <w:rPr>
                <w:lang w:val="fr-CH"/>
              </w:rPr>
              <w:t>Afrique du Sud</w:t>
            </w:r>
          </w:p>
        </w:tc>
      </w:tr>
    </w:tbl>
    <w:p w14:paraId="7AB074AC" w14:textId="77777777" w:rsidR="0000578F" w:rsidRDefault="0000578F" w:rsidP="0000578F">
      <w:pPr>
        <w:rPr>
          <w:lang w:val="fr-CH"/>
        </w:rPr>
      </w:pPr>
    </w:p>
    <w:p w14:paraId="03EE89DC" w14:textId="0D21F582" w:rsidR="00CF24DC" w:rsidRPr="00C14F89" w:rsidRDefault="004C0048" w:rsidP="0000578F">
      <w:pPr>
        <w:pStyle w:val="ONUMFS"/>
        <w:rPr>
          <w:lang w:val="fr-CH"/>
        </w:rPr>
      </w:pPr>
      <w:r w:rsidRPr="00C14F89">
        <w:rPr>
          <w:lang w:val="fr-CH"/>
        </w:rPr>
        <w:t>Les 49</w:t>
      </w:r>
      <w:r w:rsidR="009E7E81">
        <w:rPr>
          <w:lang w:val="fr-CH"/>
        </w:rPr>
        <w:t> </w:t>
      </w:r>
      <w:r w:rsidRPr="00C14F89">
        <w:rPr>
          <w:lang w:val="fr-CH"/>
        </w:rPr>
        <w:t>réponses à l</w:t>
      </w:r>
      <w:r w:rsidR="00DC328A">
        <w:rPr>
          <w:lang w:val="fr-CH"/>
        </w:rPr>
        <w:t>’</w:t>
      </w:r>
      <w:r w:rsidRPr="00C14F89">
        <w:rPr>
          <w:lang w:val="fr-CH"/>
        </w:rPr>
        <w:t xml:space="preserve">enquête sont accessibles au public sur la </w:t>
      </w:r>
      <w:r w:rsidR="00DC328A" w:rsidRPr="00C14F89">
        <w:rPr>
          <w:lang w:val="fr-CH"/>
        </w:rPr>
        <w:t>page</w:t>
      </w:r>
      <w:r w:rsidR="00DC328A">
        <w:rPr>
          <w:lang w:val="fr-CH"/>
        </w:rPr>
        <w:t> </w:t>
      </w:r>
      <w:r w:rsidR="00DC328A" w:rsidRPr="00C14F89">
        <w:rPr>
          <w:lang w:val="fr-CH"/>
        </w:rPr>
        <w:t>W</w:t>
      </w:r>
      <w:r w:rsidRPr="00C14F89">
        <w:rPr>
          <w:lang w:val="fr-CH"/>
        </w:rPr>
        <w:t>iki intitulée “Enquête</w:t>
      </w:r>
      <w:r w:rsidR="00DC328A" w:rsidRPr="00C14F89">
        <w:rPr>
          <w:lang w:val="fr-CH"/>
        </w:rPr>
        <w:t xml:space="preserve"> du</w:t>
      </w:r>
      <w:r w:rsidR="00DC328A">
        <w:rPr>
          <w:lang w:val="fr-CH"/>
        </w:rPr>
        <w:t> </w:t>
      </w:r>
      <w:r w:rsidR="00DC328A" w:rsidRPr="00C14F89">
        <w:rPr>
          <w:lang w:val="fr-CH"/>
        </w:rPr>
        <w:t>CWS</w:t>
      </w:r>
      <w:r w:rsidRPr="00C14F89">
        <w:rPr>
          <w:lang w:val="fr-CH"/>
        </w:rPr>
        <w:t xml:space="preserve"> concernant l</w:t>
      </w:r>
      <w:r w:rsidR="00DC328A">
        <w:rPr>
          <w:lang w:val="fr-CH"/>
        </w:rPr>
        <w:t>’</w:t>
      </w:r>
      <w:r w:rsidRPr="00C14F89">
        <w:rPr>
          <w:lang w:val="fr-CH"/>
        </w:rPr>
        <w:t>utilisation des normes de l</w:t>
      </w:r>
      <w:r w:rsidR="00DC328A">
        <w:rPr>
          <w:lang w:val="fr-CH"/>
        </w:rPr>
        <w:t>’</w:t>
      </w:r>
      <w:r w:rsidRPr="00C14F89">
        <w:rPr>
          <w:lang w:val="fr-CH"/>
        </w:rPr>
        <w:t>OMPI” à l</w:t>
      </w:r>
      <w:r w:rsidR="00DC328A">
        <w:rPr>
          <w:lang w:val="fr-CH"/>
        </w:rPr>
        <w:t>’</w:t>
      </w:r>
      <w:r w:rsidRPr="00C14F89">
        <w:rPr>
          <w:lang w:val="fr-CH"/>
        </w:rPr>
        <w:t xml:space="preserve">adresse </w:t>
      </w:r>
      <w:hyperlink r:id="rId9" w:history="1">
        <w:r w:rsidR="00942848">
          <w:rPr>
            <w:rStyle w:val="Hyperlink"/>
            <w:lang w:val="fr-CH"/>
          </w:rPr>
          <w:t>https:</w:t>
        </w:r>
        <w:r w:rsidR="00C14F89" w:rsidRPr="009941F2">
          <w:rPr>
            <w:rStyle w:val="Hyperlink"/>
            <w:lang w:val="fr-CH"/>
          </w:rPr>
          <w:t>//www3.wipo.int/confluence/x/OADDB</w:t>
        </w:r>
      </w:hyperlink>
      <w:r w:rsidRPr="00C14F89">
        <w:rPr>
          <w:lang w:val="fr-CH"/>
        </w:rPr>
        <w:t>;  les résultats peuvent être consultés par norme et par offi</w:t>
      </w:r>
      <w:r w:rsidR="009E7E81" w:rsidRPr="00C14F89">
        <w:rPr>
          <w:lang w:val="fr-CH"/>
        </w:rPr>
        <w:t>ce</w:t>
      </w:r>
      <w:r w:rsidR="009E7E81">
        <w:rPr>
          <w:lang w:val="fr-CH"/>
        </w:rPr>
        <w:t xml:space="preserve">.  </w:t>
      </w:r>
      <w:r w:rsidR="009E7E81" w:rsidRPr="00C14F89">
        <w:rPr>
          <w:lang w:val="fr-CH"/>
        </w:rPr>
        <w:t>Un</w:t>
      </w:r>
      <w:r w:rsidRPr="00C14F89">
        <w:rPr>
          <w:lang w:val="fr-CH"/>
        </w:rPr>
        <w:t xml:space="preserve"> aperçu de l</w:t>
      </w:r>
      <w:r w:rsidR="00DC328A">
        <w:rPr>
          <w:lang w:val="fr-CH"/>
        </w:rPr>
        <w:t>’</w:t>
      </w:r>
      <w:r w:rsidRPr="00C14F89">
        <w:rPr>
          <w:lang w:val="fr-CH"/>
        </w:rPr>
        <w:t>état d</w:t>
      </w:r>
      <w:r w:rsidR="00DC328A">
        <w:rPr>
          <w:lang w:val="fr-CH"/>
        </w:rPr>
        <w:t>’</w:t>
      </w:r>
      <w:r w:rsidRPr="00C14F89">
        <w:rPr>
          <w:lang w:val="fr-CH"/>
        </w:rPr>
        <w:t xml:space="preserve">avancement de la mise en </w:t>
      </w:r>
      <w:r w:rsidR="00DE4808" w:rsidRPr="00C14F89">
        <w:rPr>
          <w:lang w:val="fr-CH"/>
        </w:rPr>
        <w:t>œuvre</w:t>
      </w:r>
      <w:r w:rsidRPr="00C14F89">
        <w:rPr>
          <w:lang w:val="fr-CH"/>
        </w:rPr>
        <w:t xml:space="preserve"> des normes est disponible sous forme de tableau sur la page intitulée “Aperçu de l</w:t>
      </w:r>
      <w:r w:rsidR="00DC328A">
        <w:rPr>
          <w:lang w:val="fr-CH"/>
        </w:rPr>
        <w:t>’</w:t>
      </w:r>
      <w:r w:rsidRPr="00C14F89">
        <w:rPr>
          <w:lang w:val="fr-CH"/>
        </w:rPr>
        <w:t>état d</w:t>
      </w:r>
      <w:r w:rsidR="00DC328A">
        <w:rPr>
          <w:lang w:val="fr-CH"/>
        </w:rPr>
        <w:t>’</w:t>
      </w:r>
      <w:r w:rsidRPr="00C14F89">
        <w:rPr>
          <w:lang w:val="fr-CH"/>
        </w:rPr>
        <w:t xml:space="preserve">avancement de la mise en </w:t>
      </w:r>
      <w:r w:rsidR="00DE4808" w:rsidRPr="00C14F89">
        <w:rPr>
          <w:lang w:val="fr-CH"/>
        </w:rPr>
        <w:t>œuvre</w:t>
      </w:r>
      <w:r w:rsidRPr="00C14F89">
        <w:rPr>
          <w:lang w:val="fr-CH"/>
        </w:rPr>
        <w:t xml:space="preserve"> des normes de l</w:t>
      </w:r>
      <w:r w:rsidR="00DC328A">
        <w:rPr>
          <w:lang w:val="fr-CH"/>
        </w:rPr>
        <w:t>’</w:t>
      </w:r>
      <w:r w:rsidRPr="00C14F89">
        <w:rPr>
          <w:lang w:val="fr-CH"/>
        </w:rPr>
        <w:t>OMPI” à l</w:t>
      </w:r>
      <w:r w:rsidR="00DC328A">
        <w:rPr>
          <w:lang w:val="fr-CH"/>
        </w:rPr>
        <w:t>’</w:t>
      </w:r>
      <w:r w:rsidRPr="00C14F89">
        <w:rPr>
          <w:lang w:val="fr-CH"/>
        </w:rPr>
        <w:t xml:space="preserve">adresse </w:t>
      </w:r>
      <w:hyperlink r:id="rId10" w:history="1">
        <w:r w:rsidR="00942848">
          <w:rPr>
            <w:rStyle w:val="Hyperlink"/>
            <w:lang w:val="fr-CH"/>
          </w:rPr>
          <w:t>https:</w:t>
        </w:r>
        <w:r w:rsidR="00C14F89" w:rsidRPr="009941F2">
          <w:rPr>
            <w:rStyle w:val="Hyperlink"/>
            <w:lang w:val="fr-CH"/>
          </w:rPr>
          <w:t>//www3.wipo.int/confluence/x/OALDB</w:t>
        </w:r>
      </w:hyperlink>
      <w:r w:rsidR="0083250A" w:rsidRPr="00C14F89">
        <w:rPr>
          <w:lang w:val="fr-CH"/>
        </w:rPr>
        <w:fldChar w:fldCharType="begin"/>
      </w:r>
      <w:r w:rsidR="0083250A" w:rsidRPr="00C14F89">
        <w:rPr>
          <w:lang w:val="fr-CH"/>
        </w:rPr>
        <w:instrText xml:space="preserve"> </w:instrText>
      </w:r>
      <w:r w:rsidR="0083250A" w:rsidRPr="00C14F89">
        <w:rPr>
          <w:lang w:val="fr-CH"/>
        </w:rPr>
        <w:fldChar w:fldCharType="begin"/>
      </w:r>
      <w:r w:rsidR="0083250A" w:rsidRPr="00C14F89">
        <w:rPr>
          <w:lang w:val="fr-CH"/>
        </w:rPr>
        <w:instrText xml:space="preserve">  </w:instrText>
      </w:r>
      <w:r w:rsidR="0083250A" w:rsidRPr="00C14F89">
        <w:rPr>
          <w:lang w:val="fr-CH"/>
        </w:rPr>
        <w:fldChar w:fldCharType="end"/>
      </w:r>
      <w:r w:rsidR="0083250A" w:rsidRPr="00C14F89">
        <w:rPr>
          <w:lang w:val="fr-CH"/>
        </w:rPr>
        <w:instrText xml:space="preserve"> </w:instrText>
      </w:r>
      <w:r w:rsidR="0083250A" w:rsidRPr="00C14F89">
        <w:rPr>
          <w:lang w:val="fr-CH"/>
        </w:rPr>
        <w:fldChar w:fldCharType="end"/>
      </w:r>
      <w:r w:rsidRPr="00C14F89">
        <w:rPr>
          <w:lang w:val="fr-CH"/>
        </w:rPr>
        <w:t>.</w:t>
      </w:r>
    </w:p>
    <w:p w14:paraId="2A55CCCC" w14:textId="425AD3AC" w:rsidR="00CF24DC" w:rsidRPr="00C14F89" w:rsidRDefault="00A8243D" w:rsidP="0000578F">
      <w:pPr>
        <w:pStyle w:val="ONUMFS"/>
        <w:rPr>
          <w:lang w:val="fr-CH"/>
        </w:rPr>
      </w:pPr>
      <w:r w:rsidRPr="00C14F89">
        <w:rPr>
          <w:lang w:val="fr-CH"/>
        </w:rPr>
        <w:t xml:space="preserve">Les principaux obstacles à la mise en </w:t>
      </w:r>
      <w:r w:rsidR="00DE4808" w:rsidRPr="00C14F89">
        <w:rPr>
          <w:lang w:val="fr-CH"/>
        </w:rPr>
        <w:t>œuvre</w:t>
      </w:r>
      <w:r w:rsidRPr="00C14F89">
        <w:rPr>
          <w:lang w:val="fr-CH"/>
        </w:rPr>
        <w:t xml:space="preserve"> des normes de l</w:t>
      </w:r>
      <w:r w:rsidR="00DC328A">
        <w:rPr>
          <w:lang w:val="fr-CH"/>
        </w:rPr>
        <w:t>’</w:t>
      </w:r>
      <w:r w:rsidRPr="00C14F89">
        <w:rPr>
          <w:lang w:val="fr-CH"/>
        </w:rPr>
        <w:t xml:space="preserve">OMPI dans les pratiques des offices de propriété industrielle et les raisons pour lesquelles ces normes ne sont pas mises en </w:t>
      </w:r>
      <w:r w:rsidR="00DE4808" w:rsidRPr="00C14F89">
        <w:rPr>
          <w:lang w:val="fr-CH"/>
        </w:rPr>
        <w:t>œuvre</w:t>
      </w:r>
      <w:r w:rsidRPr="00C14F89">
        <w:rPr>
          <w:lang w:val="fr-CH"/>
        </w:rPr>
        <w:t xml:space="preserve"> qui ont été indiqués dans les nouvelles réponses des 11</w:t>
      </w:r>
      <w:r w:rsidR="009E7E81">
        <w:rPr>
          <w:lang w:val="fr-CH"/>
        </w:rPr>
        <w:t> </w:t>
      </w:r>
      <w:r w:rsidRPr="00C14F89">
        <w:rPr>
          <w:lang w:val="fr-CH"/>
        </w:rPr>
        <w:t>offices précités étaient similaires aux obstacles et aux raisons qui avaient été présentés</w:t>
      </w:r>
      <w:r w:rsidR="00DC328A" w:rsidRPr="00C14F89">
        <w:rPr>
          <w:lang w:val="fr-CH"/>
        </w:rPr>
        <w:t xml:space="preserve"> au</w:t>
      </w:r>
      <w:r w:rsidR="00DC328A">
        <w:rPr>
          <w:lang w:val="fr-CH"/>
        </w:rPr>
        <w:t> </w:t>
      </w:r>
      <w:r w:rsidR="00DC328A" w:rsidRPr="00C14F89">
        <w:rPr>
          <w:lang w:val="fr-CH"/>
        </w:rPr>
        <w:t>CWS</w:t>
      </w:r>
      <w:r w:rsidRPr="00C14F89">
        <w:rPr>
          <w:lang w:val="fr-CH"/>
        </w:rPr>
        <w:t xml:space="preserve"> à sa cinqu</w:t>
      </w:r>
      <w:r w:rsidR="00DC328A">
        <w:rPr>
          <w:lang w:val="fr-CH"/>
        </w:rPr>
        <w:t>ième session</w:t>
      </w:r>
      <w:r w:rsidRPr="00C14F89">
        <w:rPr>
          <w:lang w:val="fr-CH"/>
        </w:rPr>
        <w:t xml:space="preserve"> et pourraient être résumés comme suit</w:t>
      </w:r>
      <w:r w:rsidR="00DC328A">
        <w:rPr>
          <w:lang w:val="fr-CH"/>
        </w:rPr>
        <w:t> :</w:t>
      </w:r>
    </w:p>
    <w:p w14:paraId="70623CDB" w14:textId="77777777" w:rsidR="00DC328A" w:rsidRDefault="00484542" w:rsidP="0000578F">
      <w:pPr>
        <w:pStyle w:val="ONUMFS"/>
        <w:keepNext/>
        <w:numPr>
          <w:ilvl w:val="1"/>
          <w:numId w:val="6"/>
        </w:numPr>
        <w:rPr>
          <w:lang w:val="fr-CH"/>
        </w:rPr>
      </w:pPr>
      <w:r w:rsidRPr="00C14F89">
        <w:rPr>
          <w:lang w:val="fr-CH"/>
        </w:rPr>
        <w:lastRenderedPageBreak/>
        <w:t>l</w:t>
      </w:r>
      <w:r w:rsidR="00A8243D" w:rsidRPr="00C14F89">
        <w:rPr>
          <w:lang w:val="fr-CH"/>
        </w:rPr>
        <w:t>es technologies recommandées sont obsolètes, par exemple, le format en mode mixte (ST.35);</w:t>
      </w:r>
    </w:p>
    <w:p w14:paraId="4E0DBCEE" w14:textId="2B83E4DF" w:rsidR="00CF24DC" w:rsidRPr="00C14F89" w:rsidRDefault="00484542" w:rsidP="0000578F">
      <w:pPr>
        <w:pStyle w:val="ONUMFS"/>
        <w:numPr>
          <w:ilvl w:val="1"/>
          <w:numId w:val="6"/>
        </w:numPr>
        <w:rPr>
          <w:lang w:val="fr-CH"/>
        </w:rPr>
      </w:pPr>
      <w:r w:rsidRPr="00C14F89">
        <w:rPr>
          <w:lang w:val="fr-CH"/>
        </w:rPr>
        <w:t>l</w:t>
      </w:r>
      <w:r w:rsidR="00A8243D" w:rsidRPr="00C14F89">
        <w:rPr>
          <w:lang w:val="fr-CH"/>
        </w:rPr>
        <w:t>es recommandations sont applicables aux publications sur papier mais ne s</w:t>
      </w:r>
      <w:r w:rsidR="00DC328A">
        <w:rPr>
          <w:lang w:val="fr-CH"/>
        </w:rPr>
        <w:t>’</w:t>
      </w:r>
      <w:r w:rsidR="00A8243D" w:rsidRPr="00C14F89">
        <w:rPr>
          <w:lang w:val="fr-CH"/>
        </w:rPr>
        <w:t xml:space="preserve">appliquent plus aux publications électroniques, notamment les </w:t>
      </w:r>
      <w:r w:rsidR="00912256">
        <w:rPr>
          <w:lang w:val="fr-CH"/>
        </w:rPr>
        <w:t>recommandations</w:t>
      </w:r>
      <w:r w:rsidR="00A8243D" w:rsidRPr="00C14F89">
        <w:rPr>
          <w:lang w:val="fr-CH"/>
        </w:rPr>
        <w:t xml:space="preserve"> relatives aux index des documents de brevet (ST.19), aux index des noms propres (ST.20) et à la réduction du volume des documents de priorité (ST.21)</w:t>
      </w:r>
      <w:r w:rsidR="00942848">
        <w:rPr>
          <w:lang w:val="fr-CH"/>
        </w:rPr>
        <w:t>;</w:t>
      </w:r>
    </w:p>
    <w:p w14:paraId="4E565E31" w14:textId="7DF01746" w:rsidR="00DC328A" w:rsidRDefault="00484542" w:rsidP="0000578F">
      <w:pPr>
        <w:pStyle w:val="ONUMFS"/>
        <w:numPr>
          <w:ilvl w:val="1"/>
          <w:numId w:val="6"/>
        </w:numPr>
        <w:rPr>
          <w:lang w:val="fr-CH"/>
        </w:rPr>
      </w:pPr>
      <w:r w:rsidRPr="00C14F89">
        <w:rPr>
          <w:lang w:val="fr-CH"/>
        </w:rPr>
        <w:t>d</w:t>
      </w:r>
      <w:r w:rsidR="00A8243D" w:rsidRPr="00C14F89">
        <w:rPr>
          <w:lang w:val="fr-CH"/>
        </w:rPr>
        <w:t xml:space="preserve">avantage de temps est requis pour mettre en </w:t>
      </w:r>
      <w:r w:rsidR="00DE4808" w:rsidRPr="00C14F89">
        <w:rPr>
          <w:lang w:val="fr-CH"/>
        </w:rPr>
        <w:t>œuvre</w:t>
      </w:r>
      <w:r w:rsidR="00A8243D" w:rsidRPr="00C14F89">
        <w:rPr>
          <w:lang w:val="fr-CH"/>
        </w:rPr>
        <w:t xml:space="preserve"> les normes de l</w:t>
      </w:r>
      <w:r w:rsidR="00DC328A">
        <w:rPr>
          <w:lang w:val="fr-CH"/>
        </w:rPr>
        <w:t>’</w:t>
      </w:r>
      <w:r w:rsidR="00A8243D" w:rsidRPr="00C14F89">
        <w:rPr>
          <w:lang w:val="fr-CH"/>
        </w:rPr>
        <w:t>OMPI adoptées récemment (normes</w:t>
      </w:r>
      <w:r w:rsidR="00942848">
        <w:rPr>
          <w:lang w:val="fr-CH"/>
        </w:rPr>
        <w:t> </w:t>
      </w:r>
      <w:r w:rsidR="00A8243D" w:rsidRPr="00C14F89">
        <w:rPr>
          <w:lang w:val="fr-CH"/>
        </w:rPr>
        <w:t>ST.26, ST.27, ST.37 et ST.68) dans les pratiques des offices de propriété intellectuelle;</w:t>
      </w:r>
    </w:p>
    <w:p w14:paraId="54360C83" w14:textId="01BC7972" w:rsidR="00CF24DC" w:rsidRPr="00C14F89" w:rsidRDefault="00484542" w:rsidP="0000578F">
      <w:pPr>
        <w:pStyle w:val="ONUMFS"/>
        <w:numPr>
          <w:ilvl w:val="1"/>
          <w:numId w:val="6"/>
        </w:numPr>
        <w:rPr>
          <w:lang w:val="fr-CH"/>
        </w:rPr>
      </w:pPr>
      <w:r w:rsidRPr="00C14F89">
        <w:rPr>
          <w:lang w:val="fr-CH"/>
        </w:rPr>
        <w:t>c</w:t>
      </w:r>
      <w:r w:rsidR="007A03C8" w:rsidRPr="00C14F89">
        <w:rPr>
          <w:lang w:val="fr-CH"/>
        </w:rPr>
        <w:t>ertains offices de propriété industrielle n</w:t>
      </w:r>
      <w:r w:rsidR="00DC328A">
        <w:rPr>
          <w:lang w:val="fr-CH"/>
        </w:rPr>
        <w:t>’</w:t>
      </w:r>
      <w:r w:rsidR="007A03C8" w:rsidRPr="00C14F89">
        <w:rPr>
          <w:lang w:val="fr-CH"/>
        </w:rPr>
        <w:t xml:space="preserve">avaient pas besoin de mettre en </w:t>
      </w:r>
      <w:r w:rsidR="00DE4808" w:rsidRPr="00C14F89">
        <w:rPr>
          <w:lang w:val="fr-CH"/>
        </w:rPr>
        <w:t>œuvre</w:t>
      </w:r>
      <w:r w:rsidR="007A03C8" w:rsidRPr="00C14F89">
        <w:rPr>
          <w:lang w:val="fr-CH"/>
        </w:rPr>
        <w:t xml:space="preserve"> certaines normes de l</w:t>
      </w:r>
      <w:r w:rsidR="00DC328A">
        <w:rPr>
          <w:lang w:val="fr-CH"/>
        </w:rPr>
        <w:t>’</w:t>
      </w:r>
      <w:r w:rsidR="007A03C8" w:rsidRPr="00C14F89">
        <w:rPr>
          <w:lang w:val="fr-CH"/>
        </w:rPr>
        <w:t>OMPI;</w:t>
      </w:r>
    </w:p>
    <w:p w14:paraId="4035771E" w14:textId="7EB9D794" w:rsidR="00CF24DC" w:rsidRPr="00C14F89" w:rsidRDefault="00484542" w:rsidP="0000578F">
      <w:pPr>
        <w:pStyle w:val="ONUMFS"/>
        <w:numPr>
          <w:ilvl w:val="1"/>
          <w:numId w:val="6"/>
        </w:numPr>
        <w:rPr>
          <w:lang w:val="fr-CH"/>
        </w:rPr>
      </w:pPr>
      <w:r w:rsidRPr="00C14F89">
        <w:rPr>
          <w:lang w:val="fr-CH"/>
        </w:rPr>
        <w:t>l</w:t>
      </w:r>
      <w:r w:rsidR="007A03C8" w:rsidRPr="00C14F89">
        <w:rPr>
          <w:lang w:val="fr-CH"/>
        </w:rPr>
        <w:t xml:space="preserve">a législation nationale ne contient pas les dispositions nécessaires à la mise en </w:t>
      </w:r>
      <w:r w:rsidR="006C63FA" w:rsidRPr="00C14F89">
        <w:rPr>
          <w:lang w:val="fr-CH"/>
        </w:rPr>
        <w:t>œuvre</w:t>
      </w:r>
      <w:r w:rsidR="007A03C8" w:rsidRPr="00C14F89">
        <w:rPr>
          <w:lang w:val="fr-CH"/>
        </w:rPr>
        <w:t xml:space="preserve"> de certaines normes de l</w:t>
      </w:r>
      <w:r w:rsidR="00DC328A">
        <w:rPr>
          <w:lang w:val="fr-CH"/>
        </w:rPr>
        <w:t>’</w:t>
      </w:r>
      <w:r w:rsidR="007A03C8" w:rsidRPr="00C14F89">
        <w:rPr>
          <w:lang w:val="fr-CH"/>
        </w:rPr>
        <w:t>OMPI, par exemple celle concernant la protection des marques sonores (norme</w:t>
      </w:r>
      <w:r w:rsidR="00942848">
        <w:rPr>
          <w:lang w:val="fr-CH"/>
        </w:rPr>
        <w:t> </w:t>
      </w:r>
      <w:r w:rsidR="007A03C8" w:rsidRPr="00C14F89">
        <w:rPr>
          <w:lang w:val="fr-CH"/>
        </w:rPr>
        <w:t>ST.68);</w:t>
      </w:r>
      <w:r w:rsidR="00942848">
        <w:rPr>
          <w:lang w:val="fr-CH"/>
        </w:rPr>
        <w:t xml:space="preserve"> </w:t>
      </w:r>
      <w:r w:rsidR="007A03C8" w:rsidRPr="00C14F89">
        <w:rPr>
          <w:lang w:val="fr-CH"/>
        </w:rPr>
        <w:t xml:space="preserve"> et</w:t>
      </w:r>
    </w:p>
    <w:p w14:paraId="2F784A0A" w14:textId="3804E4C0" w:rsidR="00CF24DC" w:rsidRPr="00C14F89" w:rsidRDefault="00484542" w:rsidP="0000578F">
      <w:pPr>
        <w:pStyle w:val="ONUMFS"/>
        <w:numPr>
          <w:ilvl w:val="1"/>
          <w:numId w:val="6"/>
        </w:numPr>
        <w:rPr>
          <w:lang w:val="fr-CH"/>
        </w:rPr>
      </w:pPr>
      <w:r w:rsidRPr="00C14F89">
        <w:rPr>
          <w:lang w:val="fr-CH"/>
        </w:rPr>
        <w:t>l</w:t>
      </w:r>
      <w:r w:rsidR="007A03C8" w:rsidRPr="00C14F89">
        <w:rPr>
          <w:lang w:val="fr-CH"/>
        </w:rPr>
        <w:t>es pratiques nationales (régionales) existantes ne suivent pas (totalement ou partiellement) les recommandations d</w:t>
      </w:r>
      <w:r w:rsidR="00DC328A">
        <w:rPr>
          <w:lang w:val="fr-CH"/>
        </w:rPr>
        <w:t>’</w:t>
      </w:r>
      <w:r w:rsidR="007A03C8" w:rsidRPr="00C14F89">
        <w:rPr>
          <w:lang w:val="fr-CH"/>
        </w:rPr>
        <w:t>une norme particulière de l</w:t>
      </w:r>
      <w:r w:rsidR="00DC328A">
        <w:rPr>
          <w:lang w:val="fr-CH"/>
        </w:rPr>
        <w:t>’</w:t>
      </w:r>
      <w:r w:rsidR="007A03C8" w:rsidRPr="00C14F89">
        <w:rPr>
          <w:lang w:val="fr-CH"/>
        </w:rPr>
        <w:t>OMPI.</w:t>
      </w:r>
    </w:p>
    <w:p w14:paraId="5A20E851" w14:textId="657A26E4" w:rsidR="00CF24DC" w:rsidRPr="00C773D7" w:rsidRDefault="007A03C8" w:rsidP="0000578F">
      <w:pPr>
        <w:pStyle w:val="ONUMFS"/>
        <w:rPr>
          <w:lang w:val="fr-CH"/>
        </w:rPr>
      </w:pPr>
      <w:r w:rsidRPr="00C773D7">
        <w:rPr>
          <w:lang w:val="fr-CH"/>
        </w:rPr>
        <w:t>Il a été indiqué que, dans certains cas</w:t>
      </w:r>
      <w:r w:rsidR="00624AC7">
        <w:rPr>
          <w:lang w:val="fr-CH"/>
        </w:rPr>
        <w:t>,</w:t>
      </w:r>
      <w:r w:rsidRPr="00C773D7">
        <w:rPr>
          <w:lang w:val="fr-CH"/>
        </w:rPr>
        <w:t xml:space="preserve"> les normes de l</w:t>
      </w:r>
      <w:r w:rsidR="00DC328A">
        <w:rPr>
          <w:lang w:val="fr-CH"/>
        </w:rPr>
        <w:t>’</w:t>
      </w:r>
      <w:r w:rsidRPr="00C773D7">
        <w:rPr>
          <w:lang w:val="fr-CH"/>
        </w:rPr>
        <w:t xml:space="preserve">OMPI étaient mises en </w:t>
      </w:r>
      <w:r w:rsidR="00DE4808" w:rsidRPr="00C773D7">
        <w:rPr>
          <w:lang w:val="fr-CH"/>
        </w:rPr>
        <w:t>œuvre</w:t>
      </w:r>
      <w:r w:rsidRPr="00C773D7">
        <w:rPr>
          <w:lang w:val="fr-CH"/>
        </w:rPr>
        <w:t xml:space="preserve"> au moyen des solutions logicielles que l</w:t>
      </w:r>
      <w:r w:rsidR="00DC328A">
        <w:rPr>
          <w:lang w:val="fr-CH"/>
        </w:rPr>
        <w:t>’</w:t>
      </w:r>
      <w:r w:rsidRPr="00C773D7">
        <w:rPr>
          <w:lang w:val="fr-CH"/>
        </w:rPr>
        <w:t>OMPI propose aux offices de propriété industrielle, tel</w:t>
      </w:r>
      <w:r w:rsidR="00E34EDC">
        <w:rPr>
          <w:lang w:val="fr-CH"/>
        </w:rPr>
        <w:t>le</w:t>
      </w:r>
      <w:r w:rsidRPr="00C773D7">
        <w:rPr>
          <w:lang w:val="fr-CH"/>
        </w:rPr>
        <w:t>s que le progiciel IPAS de l</w:t>
      </w:r>
      <w:r w:rsidR="00DC328A">
        <w:rPr>
          <w:lang w:val="fr-CH"/>
        </w:rPr>
        <w:t>’</w:t>
      </w:r>
      <w:r w:rsidRPr="00C773D7">
        <w:rPr>
          <w:lang w:val="fr-CH"/>
        </w:rPr>
        <w:t>OMPI pour les offices de propriété intellectuelle et WIPO Sc</w:t>
      </w:r>
      <w:r w:rsidR="009E7E81" w:rsidRPr="00C773D7">
        <w:rPr>
          <w:lang w:val="fr-CH"/>
        </w:rPr>
        <w:t>an</w:t>
      </w:r>
      <w:r w:rsidR="009E7E81">
        <w:rPr>
          <w:lang w:val="fr-CH"/>
        </w:rPr>
        <w:t xml:space="preserve">.  </w:t>
      </w:r>
      <w:r w:rsidR="009E7E81" w:rsidRPr="00C773D7">
        <w:rPr>
          <w:lang w:val="fr-CH"/>
        </w:rPr>
        <w:t>En</w:t>
      </w:r>
      <w:r w:rsidR="00933401" w:rsidRPr="00C773D7">
        <w:rPr>
          <w:lang w:val="fr-CH"/>
        </w:rPr>
        <w:t xml:space="preserve"> outre, aucun office de propriété industrielle n</w:t>
      </w:r>
      <w:r w:rsidR="00DC328A">
        <w:rPr>
          <w:lang w:val="fr-CH"/>
        </w:rPr>
        <w:t>’</w:t>
      </w:r>
      <w:r w:rsidR="00933401" w:rsidRPr="00C773D7">
        <w:rPr>
          <w:lang w:val="fr-CH"/>
        </w:rPr>
        <w:t xml:space="preserve">a présenté de demande de </w:t>
      </w:r>
      <w:r w:rsidR="00C773D7" w:rsidRPr="00C773D7">
        <w:rPr>
          <w:lang w:val="fr-CH"/>
        </w:rPr>
        <w:t>services consultatifs et d</w:t>
      </w:r>
      <w:r w:rsidR="00DC328A">
        <w:rPr>
          <w:lang w:val="fr-CH"/>
        </w:rPr>
        <w:t>’</w:t>
      </w:r>
      <w:r w:rsidR="00C773D7" w:rsidRPr="00C773D7">
        <w:rPr>
          <w:lang w:val="fr-CH"/>
        </w:rPr>
        <w:t>assistance technique</w:t>
      </w:r>
      <w:r w:rsidR="00C773D7" w:rsidRPr="00174ECC">
        <w:rPr>
          <w:lang w:val="fr-FR"/>
        </w:rPr>
        <w:t xml:space="preserve"> </w:t>
      </w:r>
      <w:r w:rsidR="00933401" w:rsidRPr="00C773D7">
        <w:rPr>
          <w:lang w:val="fr-CH"/>
        </w:rPr>
        <w:t xml:space="preserve">aux fins de la mise en </w:t>
      </w:r>
      <w:r w:rsidR="00DE4808" w:rsidRPr="00C773D7">
        <w:rPr>
          <w:lang w:val="fr-CH"/>
        </w:rPr>
        <w:t>œuvre</w:t>
      </w:r>
      <w:r w:rsidR="00933401" w:rsidRPr="00C773D7">
        <w:rPr>
          <w:lang w:val="fr-CH"/>
        </w:rPr>
        <w:t xml:space="preserve"> de normes de l</w:t>
      </w:r>
      <w:r w:rsidR="00DC328A">
        <w:rPr>
          <w:lang w:val="fr-CH"/>
        </w:rPr>
        <w:t>’</w:t>
      </w:r>
      <w:r w:rsidR="00933401" w:rsidRPr="00C773D7">
        <w:rPr>
          <w:lang w:val="fr-CH"/>
        </w:rPr>
        <w:t xml:space="preserve">OMPI </w:t>
      </w:r>
      <w:r w:rsidR="00DE4808" w:rsidRPr="00C773D7">
        <w:rPr>
          <w:lang w:val="fr-CH"/>
        </w:rPr>
        <w:t>depuis</w:t>
      </w:r>
      <w:r w:rsidR="00933401" w:rsidRPr="00C773D7">
        <w:rPr>
          <w:lang w:val="fr-CH"/>
        </w:rPr>
        <w:t xml:space="preserve"> la dernière session du comité. </w:t>
      </w:r>
      <w:r w:rsidR="007C62B8" w:rsidRPr="00C773D7">
        <w:rPr>
          <w:lang w:val="fr-CH"/>
        </w:rPr>
        <w:t xml:space="preserve"> </w:t>
      </w:r>
      <w:r w:rsidR="00933401" w:rsidRPr="00C773D7">
        <w:rPr>
          <w:lang w:val="fr-CH"/>
        </w:rPr>
        <w:t xml:space="preserve">Compte tenu des réponses reçues, le Bureau </w:t>
      </w:r>
      <w:r w:rsidR="009E7E81">
        <w:rPr>
          <w:lang w:val="fr-CH"/>
        </w:rPr>
        <w:t>i</w:t>
      </w:r>
      <w:r w:rsidR="00933401" w:rsidRPr="00C773D7">
        <w:rPr>
          <w:lang w:val="fr-CH"/>
        </w:rPr>
        <w:t>nternational continuera d</w:t>
      </w:r>
      <w:r w:rsidR="00DC328A">
        <w:rPr>
          <w:lang w:val="fr-CH"/>
        </w:rPr>
        <w:t>’</w:t>
      </w:r>
      <w:r w:rsidR="00933401" w:rsidRPr="00C773D7">
        <w:rPr>
          <w:lang w:val="fr-CH"/>
        </w:rPr>
        <w:t xml:space="preserve">appuyer la mise en </w:t>
      </w:r>
      <w:r w:rsidR="00DE4808" w:rsidRPr="00C773D7">
        <w:rPr>
          <w:lang w:val="fr-CH"/>
        </w:rPr>
        <w:t>œuvre</w:t>
      </w:r>
      <w:r w:rsidR="00933401" w:rsidRPr="00C773D7">
        <w:rPr>
          <w:lang w:val="fr-CH"/>
        </w:rPr>
        <w:t xml:space="preserve"> des normes de l</w:t>
      </w:r>
      <w:r w:rsidR="00DC328A">
        <w:rPr>
          <w:lang w:val="fr-CH"/>
        </w:rPr>
        <w:t>’</w:t>
      </w:r>
      <w:r w:rsidR="00933401" w:rsidRPr="00C773D7">
        <w:rPr>
          <w:lang w:val="fr-CH"/>
        </w:rPr>
        <w:t xml:space="preserve">OMPI grâce aux solutions logicielles de </w:t>
      </w:r>
      <w:r w:rsidR="00933401" w:rsidRPr="00EC217B">
        <w:rPr>
          <w:lang w:val="fr-CH"/>
        </w:rPr>
        <w:t>l</w:t>
      </w:r>
      <w:r w:rsidR="00DC328A">
        <w:rPr>
          <w:lang w:val="fr-CH"/>
        </w:rPr>
        <w:t>’</w:t>
      </w:r>
      <w:r w:rsidR="00933401" w:rsidRPr="00EC217B">
        <w:rPr>
          <w:lang w:val="fr-CH"/>
        </w:rPr>
        <w:t xml:space="preserve">Organisation, et fournira des </w:t>
      </w:r>
      <w:r w:rsidR="00C773D7" w:rsidRPr="00EC217B">
        <w:rPr>
          <w:lang w:val="fr-CH"/>
        </w:rPr>
        <w:t>services consultatifs et d</w:t>
      </w:r>
      <w:r w:rsidR="00DC328A">
        <w:rPr>
          <w:lang w:val="fr-CH"/>
        </w:rPr>
        <w:t>’</w:t>
      </w:r>
      <w:r w:rsidR="00C773D7" w:rsidRPr="00EC217B">
        <w:rPr>
          <w:lang w:val="fr-CH"/>
        </w:rPr>
        <w:t xml:space="preserve">assistance technique </w:t>
      </w:r>
      <w:r w:rsidR="00933401" w:rsidRPr="00EC217B">
        <w:rPr>
          <w:lang w:val="fr-CH"/>
        </w:rPr>
        <w:t xml:space="preserve">pour la mise en </w:t>
      </w:r>
      <w:r w:rsidR="00DE4808" w:rsidRPr="00EC217B">
        <w:rPr>
          <w:lang w:val="fr-CH"/>
        </w:rPr>
        <w:t>œuvre</w:t>
      </w:r>
      <w:r w:rsidR="00933401" w:rsidRPr="00EC217B">
        <w:rPr>
          <w:lang w:val="fr-CH"/>
        </w:rPr>
        <w:t xml:space="preserve"> des normes de l</w:t>
      </w:r>
      <w:r w:rsidR="00DC328A">
        <w:rPr>
          <w:lang w:val="fr-CH"/>
        </w:rPr>
        <w:t>’</w:t>
      </w:r>
      <w:r w:rsidR="00933401" w:rsidRPr="00EC217B">
        <w:rPr>
          <w:lang w:val="fr-CH"/>
        </w:rPr>
        <w:t>OMPI</w:t>
      </w:r>
      <w:r w:rsidR="00471EE2" w:rsidRPr="00471EE2">
        <w:rPr>
          <w:lang w:val="fr-CH"/>
        </w:rPr>
        <w:t xml:space="preserve"> </w:t>
      </w:r>
      <w:r w:rsidR="00471EE2" w:rsidRPr="00EC217B">
        <w:rPr>
          <w:lang w:val="fr-CH"/>
        </w:rPr>
        <w:t>aux offices de propriété industrielle</w:t>
      </w:r>
      <w:r w:rsidR="00471EE2">
        <w:rPr>
          <w:lang w:val="fr-CH"/>
        </w:rPr>
        <w:t xml:space="preserve"> qui en feront la demande</w:t>
      </w:r>
      <w:r w:rsidR="00933401" w:rsidRPr="00EC217B">
        <w:rPr>
          <w:lang w:val="fr-CH"/>
        </w:rPr>
        <w:t>.</w:t>
      </w:r>
    </w:p>
    <w:p w14:paraId="53F3240A" w14:textId="0614A7A7" w:rsidR="00CF24DC" w:rsidRPr="00C14F89" w:rsidRDefault="00BE3EE5" w:rsidP="0000578F">
      <w:pPr>
        <w:pStyle w:val="ONUMFS"/>
        <w:rPr>
          <w:lang w:val="fr-CH"/>
        </w:rPr>
      </w:pPr>
      <w:r w:rsidRPr="00C14F89">
        <w:rPr>
          <w:lang w:val="fr-CH"/>
        </w:rPr>
        <w:t>L</w:t>
      </w:r>
      <w:r w:rsidR="00DC328A">
        <w:rPr>
          <w:lang w:val="fr-CH"/>
        </w:rPr>
        <w:t>’</w:t>
      </w:r>
      <w:r w:rsidRPr="00C14F89">
        <w:rPr>
          <w:lang w:val="fr-CH"/>
        </w:rPr>
        <w:t xml:space="preserve">enquête a </w:t>
      </w:r>
      <w:r w:rsidR="00C40B94">
        <w:rPr>
          <w:lang w:val="fr-CH"/>
        </w:rPr>
        <w:t>permis d</w:t>
      </w:r>
      <w:r w:rsidR="00DC328A">
        <w:rPr>
          <w:lang w:val="fr-CH"/>
        </w:rPr>
        <w:t>’</w:t>
      </w:r>
      <w:r w:rsidR="00C40B94">
        <w:rPr>
          <w:lang w:val="fr-CH"/>
        </w:rPr>
        <w:t xml:space="preserve">établir </w:t>
      </w:r>
      <w:r w:rsidRPr="00C14F89">
        <w:rPr>
          <w:lang w:val="fr-CH"/>
        </w:rPr>
        <w:t>l</w:t>
      </w:r>
      <w:r w:rsidR="00DC328A">
        <w:rPr>
          <w:lang w:val="fr-CH"/>
        </w:rPr>
        <w:t>’</w:t>
      </w:r>
      <w:r w:rsidRPr="00C14F89">
        <w:rPr>
          <w:lang w:val="fr-CH"/>
        </w:rPr>
        <w:t>état d</w:t>
      </w:r>
      <w:r w:rsidR="00DC328A">
        <w:rPr>
          <w:lang w:val="fr-CH"/>
        </w:rPr>
        <w:t>’</w:t>
      </w:r>
      <w:r w:rsidRPr="00C14F89">
        <w:rPr>
          <w:lang w:val="fr-CH"/>
        </w:rPr>
        <w:t xml:space="preserve">avancement de la mise en </w:t>
      </w:r>
      <w:r w:rsidR="00DE4808" w:rsidRPr="00C14F89">
        <w:rPr>
          <w:lang w:val="fr-CH"/>
        </w:rPr>
        <w:t>œuvre</w:t>
      </w:r>
      <w:r w:rsidRPr="00C14F89">
        <w:rPr>
          <w:lang w:val="fr-CH"/>
        </w:rPr>
        <w:t xml:space="preserve"> des normes de l</w:t>
      </w:r>
      <w:r w:rsidR="00DC328A">
        <w:rPr>
          <w:lang w:val="fr-CH"/>
        </w:rPr>
        <w:t>’</w:t>
      </w:r>
      <w:r w:rsidRPr="00C14F89">
        <w:rPr>
          <w:lang w:val="fr-CH"/>
        </w:rPr>
        <w:t xml:space="preserve">OMPI au sein des offices de propriété intellectuelle; </w:t>
      </w:r>
      <w:r w:rsidR="00942848">
        <w:rPr>
          <w:lang w:val="fr-CH"/>
        </w:rPr>
        <w:t xml:space="preserve"> </w:t>
      </w:r>
      <w:r w:rsidRPr="00C14F89">
        <w:rPr>
          <w:lang w:val="fr-CH"/>
        </w:rPr>
        <w:t xml:space="preserve">de mettre en évidence des problèmes liés à la mise en </w:t>
      </w:r>
      <w:r w:rsidR="00DE4808" w:rsidRPr="00C14F89">
        <w:rPr>
          <w:lang w:val="fr-CH"/>
        </w:rPr>
        <w:t>œuvre</w:t>
      </w:r>
      <w:r w:rsidRPr="00C14F89">
        <w:rPr>
          <w:lang w:val="fr-CH"/>
        </w:rPr>
        <w:t xml:space="preserve"> de ces normes ainsi que les causes de ces problèmes; </w:t>
      </w:r>
      <w:r w:rsidR="00942848">
        <w:rPr>
          <w:lang w:val="fr-CH"/>
        </w:rPr>
        <w:t xml:space="preserve"> </w:t>
      </w:r>
      <w:r w:rsidRPr="00C14F89">
        <w:rPr>
          <w:lang w:val="fr-CH"/>
        </w:rPr>
        <w:t>et de faire ressortir les besoins des offices concernant la poursuite de la normalisation de l</w:t>
      </w:r>
      <w:r w:rsidR="00DC328A">
        <w:rPr>
          <w:lang w:val="fr-CH"/>
        </w:rPr>
        <w:t>’</w:t>
      </w:r>
      <w:r w:rsidRPr="00C14F89">
        <w:rPr>
          <w:lang w:val="fr-CH"/>
        </w:rPr>
        <w:t>information en matière de propriété intellectuelle dans ce domai</w:t>
      </w:r>
      <w:r w:rsidR="009E7E81" w:rsidRPr="00C14F89">
        <w:rPr>
          <w:lang w:val="fr-CH"/>
        </w:rPr>
        <w:t>ne</w:t>
      </w:r>
      <w:r w:rsidR="009E7E81">
        <w:rPr>
          <w:lang w:val="fr-CH"/>
        </w:rPr>
        <w:t xml:space="preserve">.  </w:t>
      </w:r>
      <w:r w:rsidR="009E7E81" w:rsidRPr="00C14F89">
        <w:rPr>
          <w:lang w:val="fr-CH"/>
        </w:rPr>
        <w:t>L</w:t>
      </w:r>
      <w:r w:rsidR="009E7E81">
        <w:rPr>
          <w:lang w:val="fr-CH"/>
        </w:rPr>
        <w:t>’</w:t>
      </w:r>
      <w:r w:rsidR="009E7E81" w:rsidRPr="00C14F89">
        <w:rPr>
          <w:lang w:val="fr-CH"/>
        </w:rPr>
        <w:t>e</w:t>
      </w:r>
      <w:r w:rsidRPr="00C14F89">
        <w:rPr>
          <w:lang w:val="fr-CH"/>
        </w:rPr>
        <w:t xml:space="preserve">nquête montre également que, malgré les différences qui existent en ce qui concerne leur mise en </w:t>
      </w:r>
      <w:r w:rsidR="00DE4808" w:rsidRPr="00C14F89">
        <w:rPr>
          <w:lang w:val="fr-CH"/>
        </w:rPr>
        <w:t>œuvre</w:t>
      </w:r>
      <w:r w:rsidRPr="00C14F89">
        <w:rPr>
          <w:lang w:val="fr-CH"/>
        </w:rPr>
        <w:t xml:space="preserve"> par les offices de propriété intellectuelle, les normes de l</w:t>
      </w:r>
      <w:r w:rsidR="00DC328A">
        <w:rPr>
          <w:lang w:val="fr-CH"/>
        </w:rPr>
        <w:t>’</w:t>
      </w:r>
      <w:r w:rsidRPr="00C14F89">
        <w:rPr>
          <w:lang w:val="fr-CH"/>
        </w:rPr>
        <w:t>OMPI demeurent un outil précieux pour l</w:t>
      </w:r>
      <w:r w:rsidR="00DC328A">
        <w:rPr>
          <w:lang w:val="fr-CH"/>
        </w:rPr>
        <w:t>’</w:t>
      </w:r>
      <w:r w:rsidRPr="00C14F89">
        <w:rPr>
          <w:lang w:val="fr-CH"/>
        </w:rPr>
        <w:t>échange international d</w:t>
      </w:r>
      <w:r w:rsidR="00DC328A">
        <w:rPr>
          <w:lang w:val="fr-CH"/>
        </w:rPr>
        <w:t>’</w:t>
      </w:r>
      <w:r w:rsidRPr="00C14F89">
        <w:rPr>
          <w:lang w:val="fr-CH"/>
        </w:rPr>
        <w:t>informations et de documents en matière de propriété intellectuelle.</w:t>
      </w:r>
    </w:p>
    <w:p w14:paraId="57D761AC" w14:textId="5B8F2FAD" w:rsidR="00DC328A" w:rsidRDefault="00BE3EE5" w:rsidP="0000578F">
      <w:pPr>
        <w:pStyle w:val="ONUMFS"/>
        <w:rPr>
          <w:lang w:val="fr-CH"/>
        </w:rPr>
      </w:pPr>
      <w:r w:rsidRPr="00C14F89">
        <w:rPr>
          <w:lang w:val="fr-CH"/>
        </w:rPr>
        <w:t xml:space="preserve">Les réponses fournies par les offices de propriété intellectuelle, en particulier celles concernant la mise en </w:t>
      </w:r>
      <w:r w:rsidR="00DE4808" w:rsidRPr="00C14F89">
        <w:rPr>
          <w:lang w:val="fr-CH"/>
        </w:rPr>
        <w:t>œuvre</w:t>
      </w:r>
      <w:r w:rsidRPr="00C14F89">
        <w:rPr>
          <w:lang w:val="fr-CH"/>
        </w:rPr>
        <w:t xml:space="preserve"> ou non des normes de l</w:t>
      </w:r>
      <w:r w:rsidR="00DC328A">
        <w:rPr>
          <w:lang w:val="fr-CH"/>
        </w:rPr>
        <w:t>’</w:t>
      </w:r>
      <w:r w:rsidRPr="00C14F89">
        <w:rPr>
          <w:lang w:val="fr-CH"/>
        </w:rPr>
        <w:t>OMPI dans leurs pratiques, peuvent aider les utilisateurs de l</w:t>
      </w:r>
      <w:r w:rsidR="00DC328A">
        <w:rPr>
          <w:lang w:val="fr-CH"/>
        </w:rPr>
        <w:t>’</w:t>
      </w:r>
      <w:r w:rsidRPr="00C14F89">
        <w:rPr>
          <w:lang w:val="fr-CH"/>
        </w:rPr>
        <w:t xml:space="preserve">information en matière de propriété intellectuelle à analyser les documents connexes; </w:t>
      </w:r>
      <w:r w:rsidR="00942848">
        <w:rPr>
          <w:lang w:val="fr-CH"/>
        </w:rPr>
        <w:t xml:space="preserve"> </w:t>
      </w:r>
      <w:r w:rsidRPr="00C14F89">
        <w:rPr>
          <w:lang w:val="fr-CH"/>
        </w:rPr>
        <w:t>pour d</w:t>
      </w:r>
      <w:r w:rsidR="00DC328A">
        <w:rPr>
          <w:lang w:val="fr-CH"/>
        </w:rPr>
        <w:t>’</w:t>
      </w:r>
      <w:r w:rsidRPr="00C14F89">
        <w:rPr>
          <w:lang w:val="fr-CH"/>
        </w:rPr>
        <w:t>autres offices, elles constituent une précieuse source d</w:t>
      </w:r>
      <w:r w:rsidR="00DC328A">
        <w:rPr>
          <w:lang w:val="fr-CH"/>
        </w:rPr>
        <w:t>’</w:t>
      </w:r>
      <w:r w:rsidRPr="00C14F89">
        <w:rPr>
          <w:lang w:val="fr-CH"/>
        </w:rPr>
        <w:t>informations sur les pratiques existantes dans le domaine de l</w:t>
      </w:r>
      <w:r w:rsidR="00DC328A">
        <w:rPr>
          <w:lang w:val="fr-CH"/>
        </w:rPr>
        <w:t>’</w:t>
      </w:r>
      <w:r w:rsidRPr="00C14F89">
        <w:rPr>
          <w:lang w:val="fr-CH"/>
        </w:rPr>
        <w:t>information et de la documentation en matière de propriété intellectuel</w:t>
      </w:r>
      <w:r w:rsidR="009E7E81" w:rsidRPr="00C14F89">
        <w:rPr>
          <w:lang w:val="fr-CH"/>
        </w:rPr>
        <w:t>le</w:t>
      </w:r>
      <w:r w:rsidR="009E7E81">
        <w:rPr>
          <w:lang w:val="fr-CH"/>
        </w:rPr>
        <w:t xml:space="preserve">.  </w:t>
      </w:r>
      <w:r w:rsidR="009E7E81" w:rsidRPr="00C14F89">
        <w:rPr>
          <w:lang w:val="fr-CH"/>
        </w:rPr>
        <w:t>Pa</w:t>
      </w:r>
      <w:r w:rsidRPr="00C14F89">
        <w:rPr>
          <w:lang w:val="fr-CH"/>
        </w:rPr>
        <w:t>r conséquent, il est proposé que</w:t>
      </w:r>
      <w:r w:rsidR="00DC328A" w:rsidRPr="00C14F89">
        <w:rPr>
          <w:lang w:val="fr-CH"/>
        </w:rPr>
        <w:t xml:space="preserve"> le</w:t>
      </w:r>
      <w:r w:rsidR="00DC328A">
        <w:rPr>
          <w:lang w:val="fr-CH"/>
        </w:rPr>
        <w:t> </w:t>
      </w:r>
      <w:r w:rsidR="00DC328A" w:rsidRPr="00C14F89">
        <w:rPr>
          <w:lang w:val="fr-CH"/>
        </w:rPr>
        <w:t>CWS</w:t>
      </w:r>
      <w:r w:rsidRPr="00C14F89">
        <w:rPr>
          <w:lang w:val="fr-CH"/>
        </w:rPr>
        <w:t xml:space="preserve"> encourage les offices de propriété industrielle qui n</w:t>
      </w:r>
      <w:r w:rsidR="00DC328A">
        <w:rPr>
          <w:lang w:val="fr-CH"/>
        </w:rPr>
        <w:t>’</w:t>
      </w:r>
      <w:r w:rsidRPr="00C14F89">
        <w:rPr>
          <w:lang w:val="fr-CH"/>
        </w:rPr>
        <w:t>ont pas communiqué leurs réponses à l</w:t>
      </w:r>
      <w:r w:rsidR="00DC328A">
        <w:rPr>
          <w:lang w:val="fr-CH"/>
        </w:rPr>
        <w:t>’</w:t>
      </w:r>
      <w:r w:rsidRPr="00C14F89">
        <w:rPr>
          <w:lang w:val="fr-CH"/>
        </w:rPr>
        <w:t>enquête à le faire.</w:t>
      </w:r>
    </w:p>
    <w:p w14:paraId="0E939F94" w14:textId="77777777" w:rsidR="00DC328A" w:rsidRPr="0000578F" w:rsidRDefault="00BE3EE5" w:rsidP="0000578F">
      <w:pPr>
        <w:pStyle w:val="ONUMFS"/>
        <w:ind w:left="5533"/>
        <w:rPr>
          <w:i/>
          <w:lang w:val="fr-CH"/>
        </w:rPr>
      </w:pPr>
      <w:r w:rsidRPr="0000578F">
        <w:rPr>
          <w:i/>
          <w:lang w:val="fr-CH"/>
        </w:rPr>
        <w:t>Le CWS est invité</w:t>
      </w:r>
    </w:p>
    <w:p w14:paraId="3A0011D7" w14:textId="3FA8037E" w:rsidR="00CF24DC" w:rsidRPr="0000578F" w:rsidRDefault="00BE3EE5" w:rsidP="0000578F">
      <w:pPr>
        <w:pStyle w:val="ONUMFS"/>
        <w:numPr>
          <w:ilvl w:val="1"/>
          <w:numId w:val="6"/>
        </w:numPr>
        <w:ind w:left="5533"/>
        <w:rPr>
          <w:i/>
          <w:lang w:val="fr-CH"/>
        </w:rPr>
      </w:pPr>
      <w:r w:rsidRPr="0000578F">
        <w:rPr>
          <w:i/>
          <w:lang w:val="fr-CH"/>
        </w:rPr>
        <w:t>à prendre note du contenu du présent document et</w:t>
      </w:r>
    </w:p>
    <w:p w14:paraId="7093DCE0" w14:textId="0CF624DF" w:rsidR="00CF24DC" w:rsidRPr="0000578F" w:rsidRDefault="00BE3EE5" w:rsidP="0000578F">
      <w:pPr>
        <w:pStyle w:val="ONUMFS"/>
        <w:numPr>
          <w:ilvl w:val="1"/>
          <w:numId w:val="6"/>
        </w:numPr>
        <w:ind w:left="5533"/>
        <w:rPr>
          <w:i/>
          <w:lang w:val="fr-CH"/>
        </w:rPr>
      </w:pPr>
      <w:r w:rsidRPr="0000578F">
        <w:rPr>
          <w:i/>
          <w:lang w:val="fr-CH"/>
        </w:rPr>
        <w:t>à prier le Secrétariat de diffuser une circulaire invitant les offices de propriété industrielle à soumettre leurs réponses à l</w:t>
      </w:r>
      <w:r w:rsidR="00DC328A" w:rsidRPr="0000578F">
        <w:rPr>
          <w:i/>
          <w:lang w:val="fr-CH"/>
        </w:rPr>
        <w:t>’</w:t>
      </w:r>
      <w:r w:rsidRPr="0000578F">
        <w:rPr>
          <w:i/>
          <w:lang w:val="fr-CH"/>
        </w:rPr>
        <w:t>enquête concernant l</w:t>
      </w:r>
      <w:r w:rsidR="00DC328A" w:rsidRPr="0000578F">
        <w:rPr>
          <w:i/>
          <w:lang w:val="fr-CH"/>
        </w:rPr>
        <w:t>’</w:t>
      </w:r>
      <w:r w:rsidRPr="0000578F">
        <w:rPr>
          <w:i/>
          <w:lang w:val="fr-CH"/>
        </w:rPr>
        <w:t>utilisation des normes de l</w:t>
      </w:r>
      <w:r w:rsidR="00DC328A" w:rsidRPr="0000578F">
        <w:rPr>
          <w:i/>
          <w:lang w:val="fr-CH"/>
        </w:rPr>
        <w:t>’</w:t>
      </w:r>
      <w:r w:rsidRPr="0000578F">
        <w:rPr>
          <w:i/>
          <w:lang w:val="fr-CH"/>
        </w:rPr>
        <w:t xml:space="preserve">OMPI, comme indiqué au </w:t>
      </w:r>
      <w:r w:rsidR="00DC328A" w:rsidRPr="0000578F">
        <w:rPr>
          <w:i/>
          <w:lang w:val="fr-CH"/>
        </w:rPr>
        <w:t>paragraphe 9</w:t>
      </w:r>
      <w:r w:rsidRPr="0000578F">
        <w:rPr>
          <w:i/>
          <w:lang w:val="fr-CH"/>
        </w:rPr>
        <w:t>.</w:t>
      </w:r>
    </w:p>
    <w:p w14:paraId="738D7FF9" w14:textId="77777777" w:rsidR="00CF24DC" w:rsidRPr="00C14F89" w:rsidRDefault="00CF24DC" w:rsidP="0005745F">
      <w:pPr>
        <w:pStyle w:val="Endofdocument-Annex"/>
        <w:rPr>
          <w:lang w:val="fr-CH"/>
        </w:rPr>
      </w:pPr>
    </w:p>
    <w:p w14:paraId="16736460" w14:textId="77777777" w:rsidR="00CF24DC" w:rsidRPr="00C14F89" w:rsidRDefault="00CF24DC" w:rsidP="0005745F">
      <w:pPr>
        <w:pStyle w:val="Endofdocument-Annex"/>
        <w:rPr>
          <w:lang w:val="fr-CH"/>
        </w:rPr>
      </w:pPr>
    </w:p>
    <w:p w14:paraId="6ADB9FBD" w14:textId="685E16F7" w:rsidR="00CF24DC" w:rsidRPr="00C14F89" w:rsidRDefault="00BE3EE5" w:rsidP="0005745F">
      <w:pPr>
        <w:pStyle w:val="Endofdocument-Annex"/>
        <w:rPr>
          <w:lang w:val="fr-CH"/>
        </w:rPr>
      </w:pPr>
      <w:r w:rsidRPr="00C14F89">
        <w:rPr>
          <w:lang w:val="fr-CH"/>
        </w:rPr>
        <w:t>[Fin du document]</w:t>
      </w:r>
    </w:p>
    <w:sectPr w:rsidR="00CF24DC" w:rsidRPr="00C14F89" w:rsidSect="0000578F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AB574" w14:textId="77777777" w:rsidR="00595E99" w:rsidRDefault="00595E99">
      <w:r>
        <w:separator/>
      </w:r>
    </w:p>
  </w:endnote>
  <w:endnote w:type="continuationSeparator" w:id="0">
    <w:p w14:paraId="250AF0B3" w14:textId="77777777" w:rsidR="00595E99" w:rsidRDefault="00595E99" w:rsidP="003B38C1">
      <w:r>
        <w:separator/>
      </w:r>
    </w:p>
    <w:p w14:paraId="2FC0CA10" w14:textId="77777777" w:rsidR="00595E99" w:rsidRPr="003B38C1" w:rsidRDefault="00595E9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7EA0A9F" w14:textId="77777777" w:rsidR="00595E99" w:rsidRPr="003B38C1" w:rsidRDefault="00595E9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97DFF" w14:textId="77777777" w:rsidR="00595E99" w:rsidRDefault="00595E99">
      <w:r>
        <w:separator/>
      </w:r>
    </w:p>
  </w:footnote>
  <w:footnote w:type="continuationSeparator" w:id="0">
    <w:p w14:paraId="40C2B6D3" w14:textId="77777777" w:rsidR="00595E99" w:rsidRDefault="00595E99" w:rsidP="008B60B2">
      <w:r>
        <w:separator/>
      </w:r>
    </w:p>
    <w:p w14:paraId="08EC9958" w14:textId="77777777" w:rsidR="00595E99" w:rsidRPr="00ED77FB" w:rsidRDefault="00595E9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F2773A7" w14:textId="77777777" w:rsidR="00595E99" w:rsidRPr="00ED77FB" w:rsidRDefault="00595E9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41FC1" w14:textId="4252F11B" w:rsidR="004C4A98" w:rsidRDefault="004C4A98" w:rsidP="004C4A98">
    <w:pPr>
      <w:pStyle w:val="Header"/>
      <w:jc w:val="right"/>
    </w:pPr>
    <w:r>
      <w:t>CWS/6/2</w:t>
    </w:r>
  </w:p>
  <w:p w14:paraId="5D077DC1" w14:textId="1171F5E6" w:rsidR="004C4A98" w:rsidRDefault="004C4A98" w:rsidP="004C4A98">
    <w:pPr>
      <w:pStyle w:val="Header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="005360E5">
      <w:rPr>
        <w:noProof/>
      </w:rPr>
      <w:t>4</w:t>
    </w:r>
    <w:r>
      <w:fldChar w:fldCharType="end"/>
    </w:r>
  </w:p>
  <w:p w14:paraId="03703327" w14:textId="77777777" w:rsidR="004C4A98" w:rsidRDefault="004C4A98" w:rsidP="004C4A98">
    <w:pPr>
      <w:pStyle w:val="Header"/>
      <w:jc w:val="right"/>
    </w:pPr>
  </w:p>
  <w:p w14:paraId="7D6FBA81" w14:textId="550ADECC" w:rsidR="004C4A98" w:rsidRDefault="004C4A98" w:rsidP="004C4A9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81C5354"/>
    <w:multiLevelType w:val="multilevel"/>
    <w:tmpl w:val="E9EEE93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 w15:restartNumberingAfterBreak="0">
    <w:nsid w:val="6F431A07"/>
    <w:multiLevelType w:val="hybridMultilevel"/>
    <w:tmpl w:val="43F0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ministration &amp; Finance\PBC|TextBase TMs\WorkspaceFTS\Development\Development|TextBase TMs\WorkspaceFTS\Administration &amp; Finance\Administration|TextBase TMs\WorkspaceFTS\Ad-hoc\Glossaires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Default|TextBase TMs\MyDatabase"/>
    <w:docVar w:name="TextBaseURL" w:val="empty"/>
    <w:docVar w:name="UILng" w:val="en"/>
  </w:docVars>
  <w:rsids>
    <w:rsidRoot w:val="00595E99"/>
    <w:rsid w:val="00003417"/>
    <w:rsid w:val="0000578F"/>
    <w:rsid w:val="000210A6"/>
    <w:rsid w:val="000360AB"/>
    <w:rsid w:val="00037ECA"/>
    <w:rsid w:val="00043CAA"/>
    <w:rsid w:val="00057446"/>
    <w:rsid w:val="0005745F"/>
    <w:rsid w:val="000736DC"/>
    <w:rsid w:val="00075432"/>
    <w:rsid w:val="000968ED"/>
    <w:rsid w:val="00096E45"/>
    <w:rsid w:val="000B169D"/>
    <w:rsid w:val="000B7B94"/>
    <w:rsid w:val="000C062B"/>
    <w:rsid w:val="000E0C6F"/>
    <w:rsid w:val="000F5E56"/>
    <w:rsid w:val="00101F56"/>
    <w:rsid w:val="001200EA"/>
    <w:rsid w:val="001362EE"/>
    <w:rsid w:val="00154C07"/>
    <w:rsid w:val="001647D5"/>
    <w:rsid w:val="00171E28"/>
    <w:rsid w:val="00174ECC"/>
    <w:rsid w:val="001832A6"/>
    <w:rsid w:val="00186B08"/>
    <w:rsid w:val="00205DBE"/>
    <w:rsid w:val="0021217E"/>
    <w:rsid w:val="00216E77"/>
    <w:rsid w:val="00247FC0"/>
    <w:rsid w:val="002634C4"/>
    <w:rsid w:val="002705C6"/>
    <w:rsid w:val="002854A2"/>
    <w:rsid w:val="002928D3"/>
    <w:rsid w:val="002E534E"/>
    <w:rsid w:val="002F1FE6"/>
    <w:rsid w:val="002F4E68"/>
    <w:rsid w:val="00312F7F"/>
    <w:rsid w:val="003408A3"/>
    <w:rsid w:val="003569F0"/>
    <w:rsid w:val="00361450"/>
    <w:rsid w:val="00365CE2"/>
    <w:rsid w:val="003673CF"/>
    <w:rsid w:val="003845C1"/>
    <w:rsid w:val="00386FCE"/>
    <w:rsid w:val="0039118E"/>
    <w:rsid w:val="003A6F89"/>
    <w:rsid w:val="003B38C1"/>
    <w:rsid w:val="003C27E9"/>
    <w:rsid w:val="003D0090"/>
    <w:rsid w:val="003E1376"/>
    <w:rsid w:val="00423E3E"/>
    <w:rsid w:val="00427AF4"/>
    <w:rsid w:val="00435C79"/>
    <w:rsid w:val="00452611"/>
    <w:rsid w:val="004647DA"/>
    <w:rsid w:val="00471EE2"/>
    <w:rsid w:val="00474062"/>
    <w:rsid w:val="00477D6B"/>
    <w:rsid w:val="004803ED"/>
    <w:rsid w:val="00484542"/>
    <w:rsid w:val="00494619"/>
    <w:rsid w:val="004A6661"/>
    <w:rsid w:val="004B725A"/>
    <w:rsid w:val="004C0048"/>
    <w:rsid w:val="004C4A98"/>
    <w:rsid w:val="004D4E26"/>
    <w:rsid w:val="005019FF"/>
    <w:rsid w:val="0053057A"/>
    <w:rsid w:val="005360E5"/>
    <w:rsid w:val="00536E89"/>
    <w:rsid w:val="0054421D"/>
    <w:rsid w:val="00560A29"/>
    <w:rsid w:val="00595E99"/>
    <w:rsid w:val="005A1EEA"/>
    <w:rsid w:val="005A66A0"/>
    <w:rsid w:val="005C6649"/>
    <w:rsid w:val="005F3989"/>
    <w:rsid w:val="00605827"/>
    <w:rsid w:val="0061082F"/>
    <w:rsid w:val="00624AC7"/>
    <w:rsid w:val="00646050"/>
    <w:rsid w:val="006615EB"/>
    <w:rsid w:val="006713CA"/>
    <w:rsid w:val="00676C5C"/>
    <w:rsid w:val="006C2BEE"/>
    <w:rsid w:val="006C63FA"/>
    <w:rsid w:val="006D6C78"/>
    <w:rsid w:val="006F7488"/>
    <w:rsid w:val="00710D3F"/>
    <w:rsid w:val="00765F2D"/>
    <w:rsid w:val="00796C61"/>
    <w:rsid w:val="007A03C8"/>
    <w:rsid w:val="007C62B8"/>
    <w:rsid w:val="007C7480"/>
    <w:rsid w:val="007D1613"/>
    <w:rsid w:val="007D375C"/>
    <w:rsid w:val="007E25DF"/>
    <w:rsid w:val="007E4958"/>
    <w:rsid w:val="007E4C0E"/>
    <w:rsid w:val="007F38DB"/>
    <w:rsid w:val="0083250A"/>
    <w:rsid w:val="00850331"/>
    <w:rsid w:val="008A7EF3"/>
    <w:rsid w:val="008B2CC1"/>
    <w:rsid w:val="008B60B2"/>
    <w:rsid w:val="008B66FE"/>
    <w:rsid w:val="008C0BD9"/>
    <w:rsid w:val="008D7CD9"/>
    <w:rsid w:val="008E00B8"/>
    <w:rsid w:val="008E0BBD"/>
    <w:rsid w:val="008F3968"/>
    <w:rsid w:val="0090731E"/>
    <w:rsid w:val="00911626"/>
    <w:rsid w:val="00911B10"/>
    <w:rsid w:val="00912256"/>
    <w:rsid w:val="00912839"/>
    <w:rsid w:val="00916EE2"/>
    <w:rsid w:val="00933401"/>
    <w:rsid w:val="0093776D"/>
    <w:rsid w:val="00942848"/>
    <w:rsid w:val="00943D9F"/>
    <w:rsid w:val="00961922"/>
    <w:rsid w:val="00966A22"/>
    <w:rsid w:val="0096722F"/>
    <w:rsid w:val="00980843"/>
    <w:rsid w:val="009B75B0"/>
    <w:rsid w:val="009C0269"/>
    <w:rsid w:val="009C0D95"/>
    <w:rsid w:val="009C5915"/>
    <w:rsid w:val="009E2791"/>
    <w:rsid w:val="009E3F6F"/>
    <w:rsid w:val="009E7E81"/>
    <w:rsid w:val="009F499F"/>
    <w:rsid w:val="00A03F44"/>
    <w:rsid w:val="00A1434F"/>
    <w:rsid w:val="00A22AD9"/>
    <w:rsid w:val="00A42DAF"/>
    <w:rsid w:val="00A4321A"/>
    <w:rsid w:val="00A45BD8"/>
    <w:rsid w:val="00A81E52"/>
    <w:rsid w:val="00A8243D"/>
    <w:rsid w:val="00A8699D"/>
    <w:rsid w:val="00A869B7"/>
    <w:rsid w:val="00AA0C03"/>
    <w:rsid w:val="00AA69DF"/>
    <w:rsid w:val="00AC205C"/>
    <w:rsid w:val="00AC4747"/>
    <w:rsid w:val="00AF0A6B"/>
    <w:rsid w:val="00B05A69"/>
    <w:rsid w:val="00B33C2D"/>
    <w:rsid w:val="00B3408C"/>
    <w:rsid w:val="00B8033D"/>
    <w:rsid w:val="00B9734B"/>
    <w:rsid w:val="00BA30E2"/>
    <w:rsid w:val="00BD27D8"/>
    <w:rsid w:val="00BE3EE5"/>
    <w:rsid w:val="00BE68D7"/>
    <w:rsid w:val="00C04DA7"/>
    <w:rsid w:val="00C11BFE"/>
    <w:rsid w:val="00C130D0"/>
    <w:rsid w:val="00C14F89"/>
    <w:rsid w:val="00C32FD4"/>
    <w:rsid w:val="00C40B94"/>
    <w:rsid w:val="00C45DA8"/>
    <w:rsid w:val="00C5068F"/>
    <w:rsid w:val="00C6362B"/>
    <w:rsid w:val="00C63817"/>
    <w:rsid w:val="00C716B9"/>
    <w:rsid w:val="00C773D7"/>
    <w:rsid w:val="00C86D74"/>
    <w:rsid w:val="00C921E2"/>
    <w:rsid w:val="00CB654B"/>
    <w:rsid w:val="00CD04F1"/>
    <w:rsid w:val="00CE26F0"/>
    <w:rsid w:val="00CF24DC"/>
    <w:rsid w:val="00CF3059"/>
    <w:rsid w:val="00D3034E"/>
    <w:rsid w:val="00D45252"/>
    <w:rsid w:val="00D61E2A"/>
    <w:rsid w:val="00D63E32"/>
    <w:rsid w:val="00D71B4D"/>
    <w:rsid w:val="00D93D55"/>
    <w:rsid w:val="00D94563"/>
    <w:rsid w:val="00DC328A"/>
    <w:rsid w:val="00DE4808"/>
    <w:rsid w:val="00E15015"/>
    <w:rsid w:val="00E25D90"/>
    <w:rsid w:val="00E335FE"/>
    <w:rsid w:val="00E34EDC"/>
    <w:rsid w:val="00E36C47"/>
    <w:rsid w:val="00E43DCD"/>
    <w:rsid w:val="00E82B22"/>
    <w:rsid w:val="00EA0CDA"/>
    <w:rsid w:val="00EA6BF4"/>
    <w:rsid w:val="00EB7CD5"/>
    <w:rsid w:val="00EC217B"/>
    <w:rsid w:val="00EC2D7B"/>
    <w:rsid w:val="00EC4E49"/>
    <w:rsid w:val="00ED77FB"/>
    <w:rsid w:val="00EE45FA"/>
    <w:rsid w:val="00EF0FCA"/>
    <w:rsid w:val="00F30774"/>
    <w:rsid w:val="00F52D0B"/>
    <w:rsid w:val="00F55E9B"/>
    <w:rsid w:val="00F66152"/>
    <w:rsid w:val="00F7055C"/>
    <w:rsid w:val="00F8569B"/>
    <w:rsid w:val="00FC04B8"/>
    <w:rsid w:val="00FE2415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7C08D962"/>
  <w15:docId w15:val="{30BC2B8E-766C-433B-B87D-4D787066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95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5E99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595E99"/>
    <w:rPr>
      <w:color w:val="0000FF" w:themeColor="hyperlink"/>
      <w:u w:val="single"/>
    </w:rPr>
  </w:style>
  <w:style w:type="table" w:styleId="TableGrid">
    <w:name w:val="Table Grid"/>
    <w:basedOn w:val="TableNormal"/>
    <w:rsid w:val="00595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6C2BE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2BE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2BE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C2BEE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216E77"/>
    <w:rPr>
      <w:color w:val="800080" w:themeColor="followedHyperlink"/>
      <w:u w:val="single"/>
    </w:rPr>
  </w:style>
  <w:style w:type="character" w:customStyle="1" w:styleId="HeaderChar">
    <w:name w:val="Header Char"/>
    <w:link w:val="Header"/>
    <w:uiPriority w:val="99"/>
    <w:rsid w:val="004C4A9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3.wipo.int/confluence/x/OALD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onfluence/x/OADD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C2BF8-69FA-49B0-8200-46B32CEB6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90</TotalTime>
  <Pages>4</Pages>
  <Words>1137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 (in French)</vt:lpstr>
    </vt:vector>
  </TitlesOfParts>
  <Company>WIPO</Company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 (in French)</dc:title>
  <dc:subject>RAPPORT SUR L’ENQUÊTE CONCERNANT L’UTILISATION DES NORMES DE L’OMPI</dc:subject>
  <dc:creator>WIPO</dc:creator>
  <cp:keywords>CWS</cp:keywords>
  <cp:lastModifiedBy>DRAKE Sophie</cp:lastModifiedBy>
  <cp:revision>8</cp:revision>
  <cp:lastPrinted>2018-09-10T06:56:00Z</cp:lastPrinted>
  <dcterms:created xsi:type="dcterms:W3CDTF">2018-09-10T11:06:00Z</dcterms:created>
  <dcterms:modified xsi:type="dcterms:W3CDTF">2018-09-13T12:18:00Z</dcterms:modified>
  <cp:category>CWS (in French)</cp:category>
</cp:coreProperties>
</file>