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A509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A509F" w:rsidRDefault="00CA509F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A509F" w:rsidRDefault="00296839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900" cy="128905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A509F" w:rsidRDefault="00A9726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A509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A509F" w:rsidRDefault="00A9726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CWS/7/25</w:t>
            </w:r>
          </w:p>
        </w:tc>
      </w:tr>
      <w:tr w:rsidR="00CA509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A509F" w:rsidRDefault="00A9726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CA509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A509F" w:rsidRDefault="00A9726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21 МАЯ 2019 г. </w:t>
            </w:r>
          </w:p>
        </w:tc>
      </w:tr>
    </w:tbl>
    <w:p w:rsidR="00CA509F" w:rsidRDefault="00CA509F"/>
    <w:p w:rsidR="00CA509F" w:rsidRDefault="00CA509F"/>
    <w:p w:rsidR="00CA509F" w:rsidRDefault="00CA509F"/>
    <w:p w:rsidR="00CA509F" w:rsidRDefault="00CA509F"/>
    <w:p w:rsidR="00CA509F" w:rsidRDefault="00CA509F"/>
    <w:p w:rsidR="00CA509F" w:rsidRDefault="00A9726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CA509F" w:rsidRDefault="00CA509F">
      <w:pPr>
        <w:rPr>
          <w:lang w:val="ru-RU"/>
        </w:rPr>
      </w:pPr>
    </w:p>
    <w:p w:rsidR="00CA509F" w:rsidRDefault="00CA509F">
      <w:pPr>
        <w:rPr>
          <w:lang w:val="ru-RU"/>
        </w:rPr>
      </w:pPr>
    </w:p>
    <w:p w:rsidR="00CA509F" w:rsidRDefault="00A972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CA509F" w:rsidRDefault="00A972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июля 2019 г.</w:t>
      </w:r>
    </w:p>
    <w:p w:rsidR="00CA509F" w:rsidRDefault="00CA509F">
      <w:pPr>
        <w:rPr>
          <w:lang w:val="ru-RU"/>
        </w:rPr>
      </w:pPr>
    </w:p>
    <w:p w:rsidR="00CA509F" w:rsidRDefault="00CA509F">
      <w:pPr>
        <w:rPr>
          <w:lang w:val="ru-RU"/>
        </w:rPr>
      </w:pPr>
    </w:p>
    <w:p w:rsidR="00CA509F" w:rsidRDefault="00CA509F">
      <w:pPr>
        <w:rPr>
          <w:lang w:val="ru-RU"/>
        </w:rPr>
      </w:pPr>
    </w:p>
    <w:p w:rsidR="00CA509F" w:rsidRDefault="00A97266">
      <w:pPr>
        <w:rPr>
          <w:caps/>
          <w:sz w:val="24"/>
          <w:lang w:val="ru-RU"/>
        </w:rPr>
      </w:pPr>
      <w:bookmarkStart w:id="0" w:name="_GoBack"/>
      <w:r>
        <w:rPr>
          <w:caps/>
          <w:sz w:val="24"/>
          <w:lang w:val="ru-RU"/>
        </w:rPr>
        <w:t xml:space="preserve">Предложение Целевой группы по ОДПИ о вопроснике </w:t>
      </w:r>
      <w:r w:rsidR="00296839">
        <w:rPr>
          <w:caps/>
          <w:sz w:val="24"/>
          <w:lang w:val="ru-RU"/>
        </w:rPr>
        <w:t xml:space="preserve">ПО </w:t>
      </w:r>
      <w:r>
        <w:rPr>
          <w:caps/>
          <w:sz w:val="24"/>
          <w:lang w:val="ru-RU"/>
        </w:rPr>
        <w:t>обеспечени</w:t>
      </w:r>
      <w:r w:rsidR="00296839">
        <w:rPr>
          <w:caps/>
          <w:sz w:val="24"/>
          <w:lang w:val="ru-RU"/>
        </w:rPr>
        <w:t>Ю</w:t>
      </w:r>
      <w:r>
        <w:rPr>
          <w:caps/>
          <w:sz w:val="24"/>
          <w:lang w:val="ru-RU"/>
        </w:rPr>
        <w:t xml:space="preserve"> доступа к открытой патентной информации </w:t>
      </w:r>
    </w:p>
    <w:bookmarkEnd w:id="0"/>
    <w:p w:rsidR="00CA509F" w:rsidRDefault="00CA509F">
      <w:pPr>
        <w:rPr>
          <w:lang w:val="ru-RU"/>
        </w:rPr>
      </w:pPr>
    </w:p>
    <w:p w:rsidR="00CA509F" w:rsidRDefault="00A97266">
      <w:pPr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:rsidR="00CA509F" w:rsidRDefault="00CA509F">
      <w:pPr>
        <w:rPr>
          <w:lang w:val="ru-RU"/>
        </w:rPr>
      </w:pPr>
    </w:p>
    <w:p w:rsidR="00CA509F" w:rsidRDefault="00CA509F">
      <w:pPr>
        <w:rPr>
          <w:lang w:val="ru-RU"/>
        </w:rPr>
      </w:pPr>
    </w:p>
    <w:p w:rsidR="00CA509F" w:rsidRDefault="00CA509F">
      <w:pPr>
        <w:rPr>
          <w:u w:val="single"/>
          <w:lang w:val="ru-RU"/>
        </w:rPr>
      </w:pPr>
    </w:p>
    <w:p w:rsidR="00CA509F" w:rsidRDefault="00CA509F">
      <w:pPr>
        <w:rPr>
          <w:lang w:val="ru-RU"/>
        </w:rPr>
      </w:pPr>
    </w:p>
    <w:p w:rsidR="00CA509F" w:rsidRDefault="00CA509F">
      <w:pPr>
        <w:rPr>
          <w:lang w:val="ru-RU"/>
        </w:rPr>
      </w:pPr>
    </w:p>
    <w:p w:rsidR="00CA509F" w:rsidRDefault="00A97266">
      <w:pPr>
        <w:pStyle w:val="Heading2"/>
        <w:spacing w:before="0"/>
        <w:rPr>
          <w:rFonts w:eastAsia="Malgun Gothic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:rsidR="00CA509F" w:rsidRDefault="00A97266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В ходе своей возобновленной четвертой сессии, состоявшейся в марте 2016 г., Комитет по стандартам ВОИС (КСВ) принял к сведению запрос и информацию, полученные от Группы по патентной документации (ГПД) в отношении требований к национальным и региональным патентным реестрам. КСВ, в частности, принял решение собрать сведения о практике работы ведомств промышленной собственности (ВПС) по вопросам содержания, функций и будущих планов в отношении их патентных реестров (см. Приложение </w:t>
      </w:r>
      <w:r>
        <w:t>III</w:t>
      </w:r>
      <w:r>
        <w:rPr>
          <w:lang w:val="ru-RU"/>
        </w:rPr>
        <w:t xml:space="preserve"> к документу CWS/4</w:t>
      </w:r>
      <w:r>
        <w:t>BIS</w:t>
      </w:r>
      <w:r>
        <w:rPr>
          <w:lang w:val="ru-RU"/>
        </w:rPr>
        <w:t xml:space="preserve">/6). </w:t>
      </w:r>
    </w:p>
    <w:p w:rsidR="00CA509F" w:rsidRDefault="00A97266">
      <w:pPr>
        <w:pStyle w:val="ONUME"/>
        <w:rPr>
          <w:rFonts w:eastAsia="Malgun Gothic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пятой сессии в 2017</w:t>
      </w:r>
      <w:r>
        <w:t> </w:t>
      </w:r>
      <w:r>
        <w:rPr>
          <w:lang w:val="ru-RU"/>
        </w:rPr>
        <w:t xml:space="preserve">г. КСВ сформулировал новую задачу № 52: </w:t>
      </w:r>
    </w:p>
    <w:p w:rsidR="00CA509F" w:rsidRDefault="00A97266">
      <w:pPr>
        <w:pStyle w:val="ONUME"/>
        <w:ind w:left="567"/>
        <w:rPr>
          <w:rFonts w:eastAsia="Malgun Gothic"/>
          <w:lang w:val="ru-RU"/>
        </w:rPr>
      </w:pPr>
      <w:r>
        <w:rPr>
          <w:rFonts w:eastAsia="Malgun Gothic"/>
          <w:lang w:val="ru-RU"/>
        </w:rPr>
        <w:t xml:space="preserve">«Подготовить обследование содержания и функциональных возможностей систем обеспечения доступа к опубликованной патентной информации ведомств промышленной собственности, а также дальнейших планов в отношении методов публикации; подготовить рекомендации в отношении систем обеспечения доступа к опубликованной патентной информации ведомств промышленной собственности» (пункты 94 - 96 документа CWS/5/22). </w:t>
      </w:r>
    </w:p>
    <w:p w:rsidR="00CA509F" w:rsidRDefault="00A97266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Для выполнения задачи №52 КСВ также сформировал Целевую группу по открытому доступу к патентной информации (ОДПИ) и назначил ее руководителем Международное бюро ВОИС. КСВ просил вновь созданную Целевую группу учесть знания, накопленные в процессе работы портала патентных реестров, а также результаты работы Целевой группы по правовому статусу (см. пункты 97 - 100 документа CWS/5/22.) </w:t>
      </w:r>
    </w:p>
    <w:p w:rsidR="00CA509F" w:rsidRDefault="00A97266">
      <w:pPr>
        <w:keepLines/>
        <w:rPr>
          <w:lang w:val="ru-RU"/>
        </w:rPr>
      </w:pPr>
      <w:r>
        <w:rPr>
          <w:rFonts w:eastAsia="Malgun Gothic"/>
        </w:rPr>
        <w:lastRenderedPageBreak/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  <w:t>Целевая группа по ОДПИ начала работу в сентябре 2017</w:t>
      </w:r>
      <w:r>
        <w:rPr>
          <w:rFonts w:eastAsia="Malgun Gothic"/>
        </w:rPr>
        <w:t> </w:t>
      </w:r>
      <w:r>
        <w:rPr>
          <w:rFonts w:eastAsia="Malgun Gothic"/>
          <w:lang w:val="ru-RU"/>
        </w:rPr>
        <w:t xml:space="preserve">г., и в настоящее время в ее состав входят 32 эксперта, назначенные ведомствами </w:t>
      </w:r>
      <w:r>
        <w:rPr>
          <w:rFonts w:eastAsia="Malgun Gothic"/>
          <w:iCs/>
          <w:szCs w:val="22"/>
          <w:lang w:val="ru-RU"/>
        </w:rPr>
        <w:t xml:space="preserve">интеллектуальной собственности </w:t>
      </w:r>
      <w:r>
        <w:rPr>
          <w:rFonts w:eastAsia="Malgun Gothic"/>
          <w:lang w:val="ru-RU"/>
        </w:rPr>
        <w:t>(ВИС), отраслевыми объединениями и Международным бюро</w:t>
      </w:r>
      <w:r>
        <w:rPr>
          <w:lang w:val="ru-RU"/>
        </w:rPr>
        <w:t xml:space="preserve">.  Членами Целевой группы являются </w:t>
      </w:r>
      <w:r>
        <w:rPr>
          <w:rFonts w:eastAsia="Malgun Gothic"/>
          <w:lang w:val="ru-RU"/>
        </w:rPr>
        <w:t>Чили, Китай, Германия, Соединенное Королевство, Индия, Япония, Республика Корея, Российская Федерация, Словакия и Украина, а также Конфедерация европейских групп пользователей патентной информации (</w:t>
      </w:r>
      <w:r>
        <w:rPr>
          <w:rFonts w:eastAsia="Malgun Gothic"/>
        </w:rPr>
        <w:t>CEPIUG</w:t>
      </w:r>
      <w:r>
        <w:rPr>
          <w:rFonts w:eastAsia="Malgun Gothic"/>
          <w:lang w:val="ru-RU"/>
        </w:rPr>
        <w:t>) и Группа патентной документации (ГПД).</w:t>
      </w:r>
    </w:p>
    <w:p w:rsidR="00CA509F" w:rsidRDefault="00A97266">
      <w:pPr>
        <w:pStyle w:val="Heading2"/>
        <w:rPr>
          <w:lang w:val="ru-RU"/>
        </w:rPr>
      </w:pPr>
      <w:r>
        <w:rPr>
          <w:caps w:val="0"/>
          <w:lang w:val="ru-RU"/>
        </w:rPr>
        <w:t>ПРОЕКТ ВОПРОСНИКА</w:t>
      </w:r>
    </w:p>
    <w:p w:rsidR="00CA509F" w:rsidRDefault="00A97266">
      <w:pPr>
        <w:spacing w:after="220"/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  <w:t xml:space="preserve">В соответствии с решением КСВ Целевая группа по ОДПИ провела перед шестой сессией КСВ пять раундов обсуждений для подготовки проекта вопросника о содержании и функционале систем, обеспечивающих доступ к открытой патентной информации. Вопросник был вынесен на </w:t>
      </w:r>
      <w:r>
        <w:rPr>
          <w:rFonts w:eastAsia="Malgun Gothic"/>
          <w:szCs w:val="22"/>
          <w:lang w:val="ru-RU"/>
        </w:rPr>
        <w:t>рассмотрени</w:t>
      </w:r>
      <w:r>
        <w:rPr>
          <w:rFonts w:eastAsia="Malgun Gothic"/>
          <w:lang w:val="ru-RU"/>
        </w:rPr>
        <w:t xml:space="preserve">е шестой сессии КСВ.  Международное бюро </w:t>
      </w:r>
      <w:r>
        <w:rPr>
          <w:szCs w:val="22"/>
          <w:lang w:val="ru-RU"/>
        </w:rPr>
        <w:t>просило делегации дать пояснения по ряду вопросов, затрагиваемых в вопроснике. КСВ вернула вопросник Целевой группе по ОДПИ для дальнейшего изучения. КСВ просил группу представить пересмотренный проект вопросника на его седьмой сессии.</w:t>
      </w:r>
    </w:p>
    <w:p w:rsidR="00CA509F" w:rsidRDefault="00A97266">
      <w:pPr>
        <w:spacing w:after="220"/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  <w:t xml:space="preserve">Целевая группа по ОДПИ провела три раунда обсуждения вопросов, затронутых на шестой сессии КСВ.  Целевая группа также </w:t>
      </w:r>
      <w:r>
        <w:rPr>
          <w:rFonts w:eastAsia="Malgun Gothic"/>
          <w:szCs w:val="22"/>
          <w:lang w:val="ru-RU"/>
        </w:rPr>
        <w:t xml:space="preserve">рассмотрела способы активизации участия в </w:t>
      </w:r>
      <w:r>
        <w:rPr>
          <w:rFonts w:eastAsia="Malgun Gothic"/>
          <w:lang w:val="ru-RU"/>
        </w:rPr>
        <w:t>опросе.  Для этого вопросник был разделен на две части.  После того, как текст опроса будет утвержден КСВ, Международное бюро распространит среди ведомств его первую часть, посвященную основной патентной информации.  В первой части предлагаются несложные вопросы.  После того, как ведомства сдают ответы на первую часть опроса, им высылается вторая часть, где необходимы более детальные ответы.  Окончательный проект вопросника, представленный на рассмотрение и утверждение КСВ, воспроизводится в виде приложения к настоящему документу.</w:t>
      </w:r>
    </w:p>
    <w:p w:rsidR="00CA509F" w:rsidRDefault="00A97266">
      <w:pPr>
        <w:spacing w:after="220"/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  <w:t xml:space="preserve">Предлагаемый проект вопросника состоит из двух частей, которые охватывают шесть </w:t>
      </w:r>
      <w:r>
        <w:rPr>
          <w:rFonts w:eastAsia="Malgun Gothic"/>
          <w:szCs w:val="22"/>
          <w:lang w:val="ru-RU" w:eastAsia="es-PE"/>
        </w:rPr>
        <w:t>областей</w:t>
      </w:r>
      <w:r>
        <w:rPr>
          <w:rFonts w:eastAsia="Malgun Gothic"/>
          <w:lang w:val="ru-RU"/>
        </w:rPr>
        <w:t>:</w:t>
      </w:r>
    </w:p>
    <w:p w:rsidR="00CA509F" w:rsidRDefault="00A97266">
      <w:pPr>
        <w:spacing w:after="220"/>
        <w:ind w:left="562"/>
        <w:rPr>
          <w:szCs w:val="22"/>
          <w:u w:val="single"/>
          <w:lang w:val="ru-RU"/>
        </w:rPr>
      </w:pPr>
      <w:r>
        <w:rPr>
          <w:rFonts w:eastAsia="Malgun Gothic"/>
          <w:u w:val="single"/>
          <w:lang w:val="ru-RU"/>
        </w:rPr>
        <w:t xml:space="preserve">Часть </w:t>
      </w:r>
      <w:r>
        <w:rPr>
          <w:rFonts w:eastAsia="Malgun Gothic"/>
          <w:u w:val="single"/>
        </w:rPr>
        <w:t>I</w:t>
      </w:r>
      <w:r>
        <w:rPr>
          <w:rFonts w:eastAsia="Malgun Gothic"/>
          <w:u w:val="single"/>
          <w:lang w:val="ru-RU"/>
        </w:rPr>
        <w:t xml:space="preserve">. Основные вопросы, касающиеся наличия </w:t>
      </w:r>
      <w:r>
        <w:rPr>
          <w:szCs w:val="22"/>
          <w:u w:val="single"/>
          <w:lang w:val="ru-RU"/>
        </w:rPr>
        <w:t>систем онлайнового обмена информацией и уровня охвата информации</w:t>
      </w:r>
    </w:p>
    <w:p w:rsidR="00CA509F" w:rsidRDefault="00A97266">
      <w:pPr>
        <w:pStyle w:val="ListParagraph"/>
        <w:spacing w:after="220"/>
        <w:ind w:left="562"/>
        <w:contextualSpacing w:val="0"/>
        <w:rPr>
          <w:szCs w:val="22"/>
          <w:u w:val="single"/>
          <w:lang w:val="ru-RU"/>
        </w:rPr>
      </w:pPr>
      <w:r w:rsidRPr="003065B7">
        <w:rPr>
          <w:rFonts w:eastAsia="Malgun Gothic"/>
          <w:u w:val="single"/>
          <w:lang w:val="ru-RU"/>
        </w:rPr>
        <w:t xml:space="preserve">Часть </w:t>
      </w:r>
      <w:r>
        <w:rPr>
          <w:rFonts w:eastAsia="Malgun Gothic"/>
          <w:u w:val="single"/>
        </w:rPr>
        <w:t>II</w:t>
      </w:r>
      <w:r w:rsidRPr="003065B7">
        <w:rPr>
          <w:rFonts w:eastAsia="Malgun Gothic"/>
          <w:u w:val="single"/>
          <w:lang w:val="ru-RU"/>
        </w:rPr>
        <w:t xml:space="preserve">. </w:t>
      </w:r>
      <w:r>
        <w:rPr>
          <w:rFonts w:eastAsia="Malgun Gothic"/>
          <w:u w:val="single"/>
          <w:lang w:val="ru-RU"/>
        </w:rPr>
        <w:t xml:space="preserve">Детальные сведения </w:t>
      </w:r>
      <w:r>
        <w:rPr>
          <w:szCs w:val="22"/>
          <w:u w:val="single"/>
          <w:lang w:val="ru-RU"/>
        </w:rPr>
        <w:t>о характеристиках систем онлайнового обмена информацией</w:t>
      </w:r>
    </w:p>
    <w:p w:rsidR="00CA509F" w:rsidRDefault="00A97266">
      <w:pPr>
        <w:pStyle w:val="ONUME"/>
        <w:numPr>
          <w:ilvl w:val="0"/>
          <w:numId w:val="20"/>
        </w:numPr>
        <w:tabs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Условия доступа к системам патентной информации</w:t>
      </w:r>
    </w:p>
    <w:p w:rsidR="00CA509F" w:rsidRDefault="00A97266">
      <w:pPr>
        <w:pStyle w:val="ONUME"/>
        <w:numPr>
          <w:ilvl w:val="0"/>
          <w:numId w:val="20"/>
        </w:numPr>
        <w:tabs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Виды информации, которые могут быть получены через такие системы</w:t>
      </w:r>
    </w:p>
    <w:p w:rsidR="00CA509F" w:rsidRDefault="00A97266">
      <w:pPr>
        <w:pStyle w:val="ONUME"/>
        <w:numPr>
          <w:ilvl w:val="0"/>
          <w:numId w:val="20"/>
        </w:numPr>
        <w:tabs>
          <w:tab w:val="num" w:pos="1701"/>
        </w:tabs>
        <w:ind w:left="1134" w:firstLine="0"/>
        <w:rPr>
          <w:szCs w:val="22"/>
        </w:rPr>
      </w:pPr>
      <w:r>
        <w:rPr>
          <w:szCs w:val="22"/>
        </w:rPr>
        <w:t>Функциональные возможности систем</w:t>
      </w:r>
    </w:p>
    <w:p w:rsidR="00CA509F" w:rsidRDefault="00A97266">
      <w:pPr>
        <w:pStyle w:val="ONUME"/>
        <w:numPr>
          <w:ilvl w:val="0"/>
          <w:numId w:val="20"/>
        </w:numPr>
        <w:tabs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К каким видам сведений ведомство хотело бы иметь доступ через системы других ведомств</w:t>
      </w:r>
    </w:p>
    <w:p w:rsidR="00CA509F" w:rsidRDefault="00A97266">
      <w:pPr>
        <w:pStyle w:val="ONUME"/>
        <w:numPr>
          <w:ilvl w:val="0"/>
          <w:numId w:val="20"/>
        </w:numPr>
        <w:tabs>
          <w:tab w:val="num" w:pos="1701"/>
        </w:tabs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Планы ведомства на будущее в отношении дальнейшего развития их систем патентной информации и области, в которых могли бы быть полезны рекомендации ВОИС.</w:t>
      </w:r>
    </w:p>
    <w:p w:rsidR="00CA509F" w:rsidRDefault="00A97266">
      <w:pPr>
        <w:pStyle w:val="Heading2"/>
        <w:keepLines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lastRenderedPageBreak/>
        <w:t>ПЛАН РАБОТЫ</w:t>
      </w:r>
    </w:p>
    <w:p w:rsidR="00CA509F" w:rsidRDefault="00A97266">
      <w:pPr>
        <w:keepNext/>
        <w:keepLines/>
        <w:spacing w:after="220"/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>
        <w:rPr>
          <w:rFonts w:eastAsia="Malgun Gothic"/>
          <w:lang w:val="ru-RU"/>
        </w:rPr>
        <w:tab/>
        <w:t>Целевая группа предлагает следующий план работы по выполнению задачи № 52: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7"/>
        <w:gridCol w:w="3798"/>
        <w:gridCol w:w="2420"/>
      </w:tblGrid>
      <w:tr w:rsidR="00CA509F">
        <w:trPr>
          <w:cantSplit/>
        </w:trPr>
        <w:tc>
          <w:tcPr>
            <w:tcW w:w="3127" w:type="dxa"/>
            <w:shd w:val="clear" w:color="auto" w:fill="D9D9D9"/>
          </w:tcPr>
          <w:p w:rsidR="00CA509F" w:rsidRDefault="00A97266">
            <w:pPr>
              <w:keepNext/>
              <w:keepLine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Мероприятие</w:t>
            </w:r>
          </w:p>
        </w:tc>
        <w:tc>
          <w:tcPr>
            <w:tcW w:w="3798" w:type="dxa"/>
            <w:shd w:val="clear" w:color="auto" w:fill="D9D9D9"/>
          </w:tcPr>
          <w:p w:rsidR="00CA509F" w:rsidRDefault="00A97266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2420" w:type="dxa"/>
            <w:shd w:val="clear" w:color="auto" w:fill="D9D9D9"/>
          </w:tcPr>
          <w:p w:rsidR="00CA509F" w:rsidRDefault="00A97266">
            <w:pPr>
              <w:keepNext/>
              <w:keepLines/>
              <w:jc w:val="center"/>
              <w:rPr>
                <w:b/>
              </w:rPr>
            </w:pPr>
            <w:bookmarkStart w:id="1" w:name="c"/>
            <w:r>
              <w:rPr>
                <w:b/>
              </w:rPr>
              <w:t>План</w:t>
            </w:r>
            <w:r>
              <w:rPr>
                <w:b/>
                <w:lang w:val="ru-RU"/>
              </w:rPr>
              <w:t>овый срок</w:t>
            </w:r>
            <w:bookmarkEnd w:id="1"/>
          </w:p>
        </w:tc>
      </w:tr>
      <w:tr w:rsidR="00CA509F">
        <w:trPr>
          <w:cantSplit/>
        </w:trPr>
        <w:tc>
          <w:tcPr>
            <w:tcW w:w="3127" w:type="dxa"/>
            <w:shd w:val="clear" w:color="auto" w:fill="auto"/>
          </w:tcPr>
          <w:p w:rsidR="00CA509F" w:rsidRDefault="00A97266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 xml:space="preserve">Представление отчета о ходе работы, включая </w:t>
            </w:r>
            <w:r>
              <w:rPr>
                <w:szCs w:val="22"/>
                <w:lang w:val="ru-RU"/>
              </w:rPr>
              <w:t>рассмотрени</w:t>
            </w:r>
            <w:r>
              <w:rPr>
                <w:lang w:val="ru-RU"/>
              </w:rPr>
              <w:t>е на седьмой сессии КСВ окончательного проекта вопросника относительно систем, обеспечивающих доступ к открытой патентной информации</w:t>
            </w:r>
          </w:p>
        </w:tc>
        <w:tc>
          <w:tcPr>
            <w:tcW w:w="3798" w:type="dxa"/>
            <w:shd w:val="clear" w:color="auto" w:fill="auto"/>
          </w:tcPr>
          <w:p w:rsidR="00CA509F" w:rsidRDefault="00A97266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 xml:space="preserve">Ожидается, что КСВ </w:t>
            </w:r>
            <w:r>
              <w:rPr>
                <w:szCs w:val="22"/>
                <w:lang w:val="ru-RU"/>
              </w:rPr>
              <w:t xml:space="preserve">рассмотрит </w:t>
            </w:r>
            <w:r>
              <w:rPr>
                <w:lang w:val="ru-RU"/>
              </w:rPr>
              <w:t xml:space="preserve">и утвердит проект вопросника на этой сессии. </w:t>
            </w:r>
          </w:p>
          <w:p w:rsidR="00CA509F" w:rsidRDefault="00CA509F">
            <w:pPr>
              <w:keepNext/>
              <w:keepLines/>
              <w:rPr>
                <w:lang w:val="ru-RU"/>
              </w:rPr>
            </w:pPr>
          </w:p>
        </w:tc>
        <w:tc>
          <w:tcPr>
            <w:tcW w:w="2420" w:type="dxa"/>
            <w:shd w:val="clear" w:color="auto" w:fill="auto"/>
          </w:tcPr>
          <w:p w:rsidR="00CA509F" w:rsidRDefault="00A97266">
            <w:pPr>
              <w:keepNext/>
              <w:keepLines/>
            </w:pPr>
            <w:r>
              <w:t>Июл</w:t>
            </w:r>
            <w:r>
              <w:rPr>
                <w:lang w:val="ru-RU"/>
              </w:rPr>
              <w:t>ь</w:t>
            </w:r>
            <w:r>
              <w:t xml:space="preserve"> 2019 г.</w:t>
            </w:r>
          </w:p>
        </w:tc>
      </w:tr>
      <w:tr w:rsidR="00CA509F">
        <w:trPr>
          <w:cantSplit/>
        </w:trPr>
        <w:tc>
          <w:tcPr>
            <w:tcW w:w="3127" w:type="dxa"/>
            <w:shd w:val="clear" w:color="auto" w:fill="auto"/>
          </w:tcPr>
          <w:p w:rsidR="00CA509F" w:rsidRDefault="00A97266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Проведение опроса на основе утвержденного вопросника</w:t>
            </w:r>
            <w:r>
              <w:rPr>
                <w:lang w:val="ru-RU"/>
              </w:rPr>
              <w:br/>
            </w:r>
            <w:r>
              <w:rPr>
                <w:i/>
                <w:lang w:val="ru-RU"/>
              </w:rPr>
              <w:t>[Примечание: Секретариат выяснит вопрос об оптимальном инструменте для проведения опроса]</w:t>
            </w:r>
          </w:p>
        </w:tc>
        <w:tc>
          <w:tcPr>
            <w:tcW w:w="3798" w:type="dxa"/>
            <w:shd w:val="clear" w:color="auto" w:fill="auto"/>
          </w:tcPr>
          <w:p w:rsidR="00CA509F" w:rsidRDefault="00A97266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Секретариат разошлет циркулярное письмо с предложением ведомствам ИС участвовать в опросе</w:t>
            </w:r>
          </w:p>
        </w:tc>
        <w:tc>
          <w:tcPr>
            <w:tcW w:w="2420" w:type="dxa"/>
            <w:shd w:val="clear" w:color="auto" w:fill="auto"/>
          </w:tcPr>
          <w:p w:rsidR="00CA509F" w:rsidRDefault="00A97266">
            <w:pPr>
              <w:keepNext/>
              <w:keepLines/>
            </w:pPr>
            <w:r>
              <w:t>Окт</w:t>
            </w:r>
            <w:r w:rsidR="00A47570">
              <w:rPr>
                <w:lang w:val="ru-RU"/>
              </w:rPr>
              <w:t>ябрь</w:t>
            </w:r>
            <w:r>
              <w:t xml:space="preserve"> 2019 г.</w:t>
            </w:r>
          </w:p>
        </w:tc>
      </w:tr>
      <w:tr w:rsidR="00CA509F">
        <w:trPr>
          <w:cantSplit/>
        </w:trPr>
        <w:tc>
          <w:tcPr>
            <w:tcW w:w="3127" w:type="dxa"/>
            <w:shd w:val="clear" w:color="auto" w:fill="auto"/>
          </w:tcPr>
          <w:p w:rsidR="00CA509F" w:rsidRDefault="00A97266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Сбор и анализ ответов</w:t>
            </w:r>
          </w:p>
        </w:tc>
        <w:tc>
          <w:tcPr>
            <w:tcW w:w="3798" w:type="dxa"/>
            <w:shd w:val="clear" w:color="auto" w:fill="auto"/>
          </w:tcPr>
          <w:p w:rsidR="00CA509F" w:rsidRDefault="00A97266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 xml:space="preserve">Ведомства ИС направят ответы на вопросник; Целевая группа проанализирует </w:t>
            </w:r>
            <w:r>
              <w:rPr>
                <w:szCs w:val="22"/>
                <w:lang w:val="ru-RU"/>
              </w:rPr>
              <w:t>результат</w:t>
            </w:r>
            <w:r>
              <w:rPr>
                <w:lang w:val="ru-RU"/>
              </w:rPr>
              <w:t>ы опроса.</w:t>
            </w:r>
          </w:p>
        </w:tc>
        <w:tc>
          <w:tcPr>
            <w:tcW w:w="2420" w:type="dxa"/>
            <w:shd w:val="clear" w:color="auto" w:fill="auto"/>
          </w:tcPr>
          <w:p w:rsidR="00CA509F" w:rsidRDefault="00A97266">
            <w:pPr>
              <w:keepNext/>
              <w:keepLines/>
            </w:pPr>
            <w:r>
              <w:t>Фев</w:t>
            </w:r>
            <w:r w:rsidR="00A47570">
              <w:rPr>
                <w:lang w:val="ru-RU"/>
              </w:rPr>
              <w:t>раль</w:t>
            </w:r>
            <w:r>
              <w:t xml:space="preserve"> 2020</w:t>
            </w:r>
          </w:p>
        </w:tc>
      </w:tr>
      <w:tr w:rsidR="00CA509F">
        <w:trPr>
          <w:cantSplit/>
        </w:trPr>
        <w:tc>
          <w:tcPr>
            <w:tcW w:w="3127" w:type="dxa"/>
            <w:shd w:val="clear" w:color="auto" w:fill="auto"/>
          </w:tcPr>
          <w:p w:rsidR="00CA509F" w:rsidRDefault="00A97266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Подготовка отчета о результатах опроса</w:t>
            </w:r>
          </w:p>
        </w:tc>
        <w:tc>
          <w:tcPr>
            <w:tcW w:w="3798" w:type="dxa"/>
            <w:shd w:val="clear" w:color="auto" w:fill="auto"/>
          </w:tcPr>
          <w:p w:rsidR="00CA509F" w:rsidRDefault="00A97266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Целевая группа подготовит краткий анализ результатов опроса и предложит необходимые дальнейшие действия на 8-й сессии КСВ.</w:t>
            </w:r>
          </w:p>
        </w:tc>
        <w:tc>
          <w:tcPr>
            <w:tcW w:w="2420" w:type="dxa"/>
            <w:shd w:val="clear" w:color="auto" w:fill="auto"/>
          </w:tcPr>
          <w:p w:rsidR="00CA509F" w:rsidRDefault="00A97266">
            <w:pPr>
              <w:keepNext/>
              <w:keepLines/>
            </w:pPr>
            <w:r>
              <w:rPr>
                <w:lang w:val="ru-RU"/>
              </w:rPr>
              <w:t>8-я сессия КСВ</w:t>
            </w:r>
          </w:p>
        </w:tc>
      </w:tr>
    </w:tbl>
    <w:p w:rsidR="00CA509F" w:rsidRDefault="00CA509F">
      <w:pPr>
        <w:pStyle w:val="ONUME"/>
      </w:pPr>
    </w:p>
    <w:p w:rsidR="00CA509F" w:rsidRDefault="00A97266">
      <w:pPr>
        <w:pStyle w:val="ONUME"/>
        <w:ind w:firstLine="5580"/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КСВ предлагается:</w:t>
      </w:r>
      <w:r>
        <w:t xml:space="preserve"> </w:t>
      </w:r>
    </w:p>
    <w:p w:rsidR="00CA509F" w:rsidRDefault="00A97266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принять к сведению содержание настоящего документа;</w:t>
      </w:r>
    </w:p>
    <w:p w:rsidR="00CA509F" w:rsidRDefault="00A97266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b</w:t>
      </w:r>
      <w:r>
        <w:rPr>
          <w:i/>
          <w:lang w:val="ru-RU"/>
        </w:rPr>
        <w:t>)</w:t>
      </w:r>
      <w:r>
        <w:rPr>
          <w:i/>
          <w:lang w:val="ru-RU"/>
        </w:rPr>
        <w:tab/>
        <w:t>рассмотреть и утвердить проект вопросника, воспроизводимый в Приложении к настоящему документу; и</w:t>
      </w:r>
    </w:p>
    <w:p w:rsidR="00CA509F" w:rsidRDefault="00A97266">
      <w:pPr>
        <w:pStyle w:val="BodyText"/>
        <w:tabs>
          <w:tab w:val="left" w:pos="6160"/>
          <w:tab w:val="left" w:pos="6710"/>
        </w:tabs>
        <w:spacing w:after="0"/>
        <w:ind w:left="5533"/>
        <w:rPr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c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просить Секретариат разослать ведомствам ИС циркулярное письмо с предложением принять участие в опросе, упомянутом в пункте 7 выше.</w:t>
      </w:r>
    </w:p>
    <w:p w:rsidR="00CA509F" w:rsidRDefault="00CA509F">
      <w:pPr>
        <w:pStyle w:val="BodyText"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:rsidR="00CA509F" w:rsidRDefault="00CA509F">
      <w:pPr>
        <w:pStyle w:val="BodyText"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:rsidR="00A97266" w:rsidRDefault="00A97266">
      <w:pPr>
        <w:pStyle w:val="Endofdocument-Annex"/>
        <w:rPr>
          <w:lang w:val="en-GB"/>
        </w:rPr>
      </w:pPr>
      <w:r>
        <w:rPr>
          <w:lang w:val="en-GB"/>
        </w:rPr>
        <w:t>[Приложение следует]</w:t>
      </w:r>
      <w:bookmarkStart w:id="2" w:name="a"/>
      <w:bookmarkEnd w:id="2"/>
    </w:p>
    <w:sectPr w:rsidR="00A9726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66" w:rsidRDefault="00A97266">
      <w:r>
        <w:separator/>
      </w:r>
    </w:p>
  </w:endnote>
  <w:endnote w:type="continuationSeparator" w:id="0">
    <w:p w:rsidR="00A97266" w:rsidRDefault="00A97266">
      <w:r>
        <w:separator/>
      </w:r>
    </w:p>
    <w:p w:rsidR="00A97266" w:rsidRDefault="00A97266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7266" w:rsidRDefault="00A9726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66" w:rsidRDefault="00A97266">
      <w:r>
        <w:separator/>
      </w:r>
    </w:p>
  </w:footnote>
  <w:footnote w:type="continuationSeparator" w:id="0">
    <w:p w:rsidR="00A97266" w:rsidRDefault="00A97266">
      <w:r>
        <w:separator/>
      </w:r>
    </w:p>
    <w:p w:rsidR="00A97266" w:rsidRDefault="00A97266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A97266" w:rsidRDefault="00A9726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09F" w:rsidRDefault="00A97266">
    <w:pPr>
      <w:jc w:val="right"/>
    </w:pPr>
    <w:bookmarkStart w:id="3" w:name="Code2"/>
    <w:bookmarkEnd w:id="3"/>
    <w:r>
      <w:t>CWS/7/</w:t>
    </w:r>
    <w:r w:rsidR="00A47570">
      <w:t>2</w:t>
    </w:r>
    <w:r>
      <w:t>5</w:t>
    </w:r>
  </w:p>
  <w:p w:rsidR="00CA509F" w:rsidRDefault="00A47570">
    <w:pPr>
      <w:jc w:val="right"/>
    </w:pPr>
    <w:r>
      <w:rPr>
        <w:lang w:val="ru-RU"/>
      </w:rPr>
      <w:t xml:space="preserve">стр. </w:t>
    </w:r>
    <w:r w:rsidR="00A97266">
      <w:fldChar w:fldCharType="begin"/>
    </w:r>
    <w:r w:rsidR="00A97266">
      <w:instrText xml:space="preserve"> PAGE  \* MERGEFORMAT </w:instrText>
    </w:r>
    <w:r w:rsidR="00A97266">
      <w:fldChar w:fldCharType="separate"/>
    </w:r>
    <w:r w:rsidR="003065B7">
      <w:rPr>
        <w:noProof/>
      </w:rPr>
      <w:t>2</w:t>
    </w:r>
    <w:r w:rsidR="00A97266">
      <w:fldChar w:fldCharType="end"/>
    </w:r>
  </w:p>
  <w:p w:rsidR="00CA509F" w:rsidRDefault="00CA509F">
    <w:pPr>
      <w:jc w:val="right"/>
    </w:pPr>
  </w:p>
  <w:p w:rsidR="00CA509F" w:rsidRDefault="00CA509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44804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1CC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68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01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8E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25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8F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45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CF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0D803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1AD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0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CE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85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29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A0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8A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6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491AB4"/>
    <w:multiLevelType w:val="hybridMultilevel"/>
    <w:tmpl w:val="F942EF68"/>
    <w:lvl w:ilvl="0" w:tplc="0D749990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93D49D30" w:tentative="1">
      <w:start w:val="1"/>
      <w:numFmt w:val="lowerLetter"/>
      <w:lvlText w:val="%2."/>
      <w:lvlJc w:val="left"/>
      <w:pPr>
        <w:ind w:left="5616" w:hanging="360"/>
      </w:pPr>
    </w:lvl>
    <w:lvl w:ilvl="2" w:tplc="E9DAE6D2" w:tentative="1">
      <w:start w:val="1"/>
      <w:numFmt w:val="lowerRoman"/>
      <w:lvlText w:val="%3."/>
      <w:lvlJc w:val="right"/>
      <w:pPr>
        <w:ind w:left="6336" w:hanging="180"/>
      </w:pPr>
    </w:lvl>
    <w:lvl w:ilvl="3" w:tplc="8436776C" w:tentative="1">
      <w:start w:val="1"/>
      <w:numFmt w:val="decimal"/>
      <w:lvlText w:val="%4."/>
      <w:lvlJc w:val="left"/>
      <w:pPr>
        <w:ind w:left="7056" w:hanging="360"/>
      </w:pPr>
    </w:lvl>
    <w:lvl w:ilvl="4" w:tplc="E0026460" w:tentative="1">
      <w:start w:val="1"/>
      <w:numFmt w:val="lowerLetter"/>
      <w:lvlText w:val="%5."/>
      <w:lvlJc w:val="left"/>
      <w:pPr>
        <w:ind w:left="7776" w:hanging="360"/>
      </w:pPr>
    </w:lvl>
    <w:lvl w:ilvl="5" w:tplc="1068A474" w:tentative="1">
      <w:start w:val="1"/>
      <w:numFmt w:val="lowerRoman"/>
      <w:lvlText w:val="%6."/>
      <w:lvlJc w:val="right"/>
      <w:pPr>
        <w:ind w:left="8496" w:hanging="180"/>
      </w:pPr>
    </w:lvl>
    <w:lvl w:ilvl="6" w:tplc="8E886F78" w:tentative="1">
      <w:start w:val="1"/>
      <w:numFmt w:val="decimal"/>
      <w:lvlText w:val="%7."/>
      <w:lvlJc w:val="left"/>
      <w:pPr>
        <w:ind w:left="9216" w:hanging="360"/>
      </w:pPr>
    </w:lvl>
    <w:lvl w:ilvl="7" w:tplc="EEB40748" w:tentative="1">
      <w:start w:val="1"/>
      <w:numFmt w:val="lowerLetter"/>
      <w:lvlText w:val="%8."/>
      <w:lvlJc w:val="left"/>
      <w:pPr>
        <w:ind w:left="9936" w:hanging="360"/>
      </w:pPr>
    </w:lvl>
    <w:lvl w:ilvl="8" w:tplc="956CF78C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34920CF8"/>
    <w:multiLevelType w:val="hybridMultilevel"/>
    <w:tmpl w:val="540240AC"/>
    <w:lvl w:ilvl="0" w:tplc="516037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E1D8A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B6273"/>
    <w:multiLevelType w:val="hybridMultilevel"/>
    <w:tmpl w:val="50264F88"/>
    <w:lvl w:ilvl="0" w:tplc="91420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594E6E0" w:tentative="1">
      <w:start w:val="1"/>
      <w:numFmt w:val="lowerLetter"/>
      <w:lvlText w:val="%2."/>
      <w:lvlJc w:val="left"/>
      <w:pPr>
        <w:ind w:left="1440" w:hanging="360"/>
      </w:pPr>
    </w:lvl>
    <w:lvl w:ilvl="2" w:tplc="B3CC094C" w:tentative="1">
      <w:start w:val="1"/>
      <w:numFmt w:val="lowerRoman"/>
      <w:lvlText w:val="%3."/>
      <w:lvlJc w:val="right"/>
      <w:pPr>
        <w:ind w:left="2160" w:hanging="180"/>
      </w:pPr>
    </w:lvl>
    <w:lvl w:ilvl="3" w:tplc="FAB48484" w:tentative="1">
      <w:start w:val="1"/>
      <w:numFmt w:val="decimal"/>
      <w:lvlText w:val="%4."/>
      <w:lvlJc w:val="left"/>
      <w:pPr>
        <w:ind w:left="2880" w:hanging="360"/>
      </w:pPr>
    </w:lvl>
    <w:lvl w:ilvl="4" w:tplc="1C30A68C" w:tentative="1">
      <w:start w:val="1"/>
      <w:numFmt w:val="lowerLetter"/>
      <w:lvlText w:val="%5."/>
      <w:lvlJc w:val="left"/>
      <w:pPr>
        <w:ind w:left="3600" w:hanging="360"/>
      </w:pPr>
    </w:lvl>
    <w:lvl w:ilvl="5" w:tplc="FCF4DD5C" w:tentative="1">
      <w:start w:val="1"/>
      <w:numFmt w:val="lowerRoman"/>
      <w:lvlText w:val="%6."/>
      <w:lvlJc w:val="right"/>
      <w:pPr>
        <w:ind w:left="4320" w:hanging="180"/>
      </w:pPr>
    </w:lvl>
    <w:lvl w:ilvl="6" w:tplc="8B1E7976" w:tentative="1">
      <w:start w:val="1"/>
      <w:numFmt w:val="decimal"/>
      <w:lvlText w:val="%7."/>
      <w:lvlJc w:val="left"/>
      <w:pPr>
        <w:ind w:left="5040" w:hanging="360"/>
      </w:pPr>
    </w:lvl>
    <w:lvl w:ilvl="7" w:tplc="0D1ADF24" w:tentative="1">
      <w:start w:val="1"/>
      <w:numFmt w:val="lowerLetter"/>
      <w:lvlText w:val="%8."/>
      <w:lvlJc w:val="left"/>
      <w:pPr>
        <w:ind w:left="5760" w:hanging="360"/>
      </w:pPr>
    </w:lvl>
    <w:lvl w:ilvl="8" w:tplc="2CE21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5F96"/>
    <w:multiLevelType w:val="hybridMultilevel"/>
    <w:tmpl w:val="8DFA548C"/>
    <w:lvl w:ilvl="0" w:tplc="1CAA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F273E"/>
    <w:multiLevelType w:val="hybridMultilevel"/>
    <w:tmpl w:val="79460802"/>
    <w:lvl w:ilvl="0" w:tplc="DB1E9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CB1EDEF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8B2A3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44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4F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C8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CA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22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4A2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1AD6277"/>
    <w:multiLevelType w:val="hybridMultilevel"/>
    <w:tmpl w:val="64CED25A"/>
    <w:lvl w:ilvl="0" w:tplc="2ED4C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666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EF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66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6F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81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88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E6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E6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F24ED"/>
    <w:multiLevelType w:val="hybridMultilevel"/>
    <w:tmpl w:val="5582D2AE"/>
    <w:lvl w:ilvl="0" w:tplc="AEB04A72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C2693"/>
    <w:multiLevelType w:val="hybridMultilevel"/>
    <w:tmpl w:val="3F585D9A"/>
    <w:lvl w:ilvl="0" w:tplc="E1D8A5F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3FB25CD"/>
    <w:multiLevelType w:val="hybridMultilevel"/>
    <w:tmpl w:val="D9E00FA4"/>
    <w:lvl w:ilvl="0" w:tplc="0F6AB9FA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2D4060BC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8F506ACA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555629CE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44F497CC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EC40057E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FB48A2F4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F2740698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3AB46C14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9" w15:restartNumberingAfterBreak="0">
    <w:nsid w:val="7CA777CB"/>
    <w:multiLevelType w:val="hybridMultilevel"/>
    <w:tmpl w:val="EF6496FA"/>
    <w:lvl w:ilvl="0" w:tplc="81749CC0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E5A80FF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C7EC5AB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932D7D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43EFD3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DC62171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CA0B4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ADA4F09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4D90F6D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F274097"/>
    <w:multiLevelType w:val="hybridMultilevel"/>
    <w:tmpl w:val="326E0DB6"/>
    <w:lvl w:ilvl="0" w:tplc="636457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19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15"/>
  </w:num>
  <w:num w:numId="6">
    <w:abstractNumId w:val="10"/>
  </w:num>
  <w:num w:numId="7">
    <w:abstractNumId w:val="2"/>
  </w:num>
  <w:num w:numId="8">
    <w:abstractNumId w:val="20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3"/>
  </w:num>
  <w:num w:numId="14">
    <w:abstractNumId w:val="0"/>
  </w:num>
  <w:num w:numId="15">
    <w:abstractNumId w:val="19"/>
  </w:num>
  <w:num w:numId="16">
    <w:abstractNumId w:val="18"/>
  </w:num>
  <w:num w:numId="17">
    <w:abstractNumId w:val="16"/>
  </w:num>
  <w:num w:numId="18">
    <w:abstractNumId w:val="7"/>
  </w:num>
  <w:num w:numId="19">
    <w:abstractNumId w:val="9"/>
  </w:num>
  <w:num w:numId="20">
    <w:abstractNumId w:val="8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39"/>
    <w:rsid w:val="00296839"/>
    <w:rsid w:val="003065B7"/>
    <w:rsid w:val="00A47570"/>
    <w:rsid w:val="00A97266"/>
    <w:rsid w:val="00CA509F"/>
    <w:rsid w:val="00ED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8F17FA-6180-4926-B570-10E32615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extended-textshort">
    <w:name w:val="extended-text__short"/>
    <w:basedOn w:val="DefaultParagraphFont"/>
  </w:style>
  <w:style w:type="paragraph" w:customStyle="1" w:styleId="TrowF">
    <w:name w:val="TrowF"/>
    <w:basedOn w:val="Normal"/>
    <w:pPr>
      <w:spacing w:before="60"/>
    </w:pPr>
    <w:rPr>
      <w:rFonts w:eastAsia="Times New Roman" w:cs="Times New Roman"/>
      <w:sz w:val="17"/>
      <w:lang w:eastAsia="en-US"/>
    </w:rPr>
  </w:style>
  <w:style w:type="character" w:customStyle="1" w:styleId="a">
    <w:name w:val="Основной текст_"/>
    <w:basedOn w:val="DefaultParagraphFont"/>
    <w:rPr>
      <w:spacing w:val="1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3</Pages>
  <Words>722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CWS/7/25 (in Russian)</vt:lpstr>
      <vt:lpstr>CWS/7/5 (in English)</vt:lpstr>
    </vt:vector>
  </TitlesOfParts>
  <Company>WIPO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(in Russian)</dc:title>
  <dc:subject>ПРЕДЛОЖЕНИЕ ЦЕЛЕВОЙ ГРУППЫ ПО ОДПИ О ВОПРОСНИКЕ ПО ОБЕСПЕЧЕНИЮ ДОСТУПА К ОТКРЫТОЙ ПАТЕНТНОЙ ИНФОРМАЦИИ </dc:subject>
  <dc:creator>WIPO</dc:creator>
  <cp:keywords>CWS, WIPO</cp:keywords>
  <cp:lastModifiedBy>DRAKE Sophie</cp:lastModifiedBy>
  <cp:revision>5</cp:revision>
  <cp:lastPrinted>2011-02-15T11:56:00Z</cp:lastPrinted>
  <dcterms:created xsi:type="dcterms:W3CDTF">2019-05-22T12:57:00Z</dcterms:created>
  <dcterms:modified xsi:type="dcterms:W3CDTF">2019-05-28T15:13:00Z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